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B2CEC">
      <w:pPr>
        <w:keepNext w:val="0"/>
        <w:keepLines w:val="0"/>
        <w:pageBreakBefore w:val="0"/>
        <w:wordWrap/>
        <w:bidi w:val="0"/>
        <w:adjustRightInd w:val="0"/>
        <w:snapToGrid w:val="0"/>
        <w:spacing w:line="255" w:lineRule="auto"/>
        <w:jc w:val="both"/>
        <w:rPr>
          <w:rFonts w:hint="default" w:ascii="Times New Roman" w:hAnsi="Times New Roman" w:cs="Times New Roman"/>
          <w:color w:val="auto"/>
          <w:sz w:val="21"/>
          <w:highlight w:val="none"/>
        </w:rPr>
      </w:pPr>
      <w:bookmarkStart w:id="16" w:name="_GoBack"/>
      <w:bookmarkEnd w:id="16"/>
    </w:p>
    <w:p w14:paraId="4C37CFB5">
      <w:pPr>
        <w:keepNext w:val="0"/>
        <w:keepLines w:val="0"/>
        <w:pageBreakBefore w:val="0"/>
        <w:wordWrap/>
        <w:bidi w:val="0"/>
        <w:adjustRightInd w:val="0"/>
        <w:snapToGrid w:val="0"/>
        <w:spacing w:line="255" w:lineRule="auto"/>
        <w:rPr>
          <w:rFonts w:hint="default" w:ascii="Times New Roman" w:hAnsi="Times New Roman" w:cs="Times New Roman"/>
          <w:color w:val="auto"/>
          <w:sz w:val="21"/>
          <w:highlight w:val="none"/>
        </w:rPr>
      </w:pPr>
    </w:p>
    <w:p w14:paraId="7106D91C">
      <w:pPr>
        <w:keepNext w:val="0"/>
        <w:keepLines w:val="0"/>
        <w:pageBreakBefore w:val="0"/>
        <w:wordWrap/>
        <w:bidi w:val="0"/>
        <w:adjustRightInd w:val="0"/>
        <w:snapToGrid w:val="0"/>
        <w:spacing w:line="255" w:lineRule="auto"/>
        <w:rPr>
          <w:rFonts w:hint="default" w:ascii="Times New Roman" w:hAnsi="Times New Roman" w:cs="Times New Roman"/>
          <w:color w:val="auto"/>
          <w:sz w:val="21"/>
          <w:highlight w:val="none"/>
        </w:rPr>
      </w:pPr>
    </w:p>
    <w:p w14:paraId="6873031E">
      <w:pPr>
        <w:keepNext w:val="0"/>
        <w:keepLines w:val="0"/>
        <w:pageBreakBefore w:val="0"/>
        <w:wordWrap/>
        <w:bidi w:val="0"/>
        <w:adjustRightInd w:val="0"/>
        <w:snapToGrid w:val="0"/>
        <w:spacing w:line="255" w:lineRule="auto"/>
        <w:rPr>
          <w:rFonts w:hint="default" w:ascii="Times New Roman" w:hAnsi="Times New Roman" w:cs="Times New Roman"/>
          <w:color w:val="auto"/>
          <w:sz w:val="21"/>
          <w:highlight w:val="none"/>
        </w:rPr>
      </w:pPr>
    </w:p>
    <w:p w14:paraId="70F596CE">
      <w:pPr>
        <w:keepNext w:val="0"/>
        <w:keepLines w:val="0"/>
        <w:pageBreakBefore w:val="0"/>
        <w:wordWrap/>
        <w:bidi w:val="0"/>
        <w:adjustRightInd w:val="0"/>
        <w:snapToGrid w:val="0"/>
        <w:spacing w:line="256" w:lineRule="auto"/>
        <w:rPr>
          <w:rFonts w:hint="default" w:ascii="Times New Roman" w:hAnsi="Times New Roman" w:cs="Times New Roman"/>
          <w:color w:val="auto"/>
          <w:sz w:val="21"/>
          <w:highlight w:val="none"/>
        </w:rPr>
      </w:pPr>
    </w:p>
    <w:p w14:paraId="44B06A8B">
      <w:pPr>
        <w:keepNext w:val="0"/>
        <w:keepLines w:val="0"/>
        <w:pageBreakBefore w:val="0"/>
        <w:wordWrap/>
        <w:bidi w:val="0"/>
        <w:adjustRightInd w:val="0"/>
        <w:snapToGrid w:val="0"/>
        <w:spacing w:line="256" w:lineRule="auto"/>
        <w:rPr>
          <w:rFonts w:hint="default" w:ascii="Times New Roman" w:hAnsi="Times New Roman" w:cs="Times New Roman"/>
          <w:color w:val="auto"/>
          <w:sz w:val="21"/>
          <w:highlight w:val="none"/>
        </w:rPr>
      </w:pPr>
    </w:p>
    <w:p w14:paraId="57C8291A">
      <w:pPr>
        <w:keepNext w:val="0"/>
        <w:keepLines w:val="0"/>
        <w:pageBreakBefore w:val="0"/>
        <w:wordWrap/>
        <w:bidi w:val="0"/>
        <w:adjustRightInd w:val="0"/>
        <w:snapToGrid w:val="0"/>
        <w:spacing w:line="256" w:lineRule="auto"/>
        <w:rPr>
          <w:rFonts w:hint="default" w:ascii="Times New Roman" w:hAnsi="Times New Roman" w:cs="Times New Roman"/>
          <w:color w:val="auto"/>
          <w:sz w:val="21"/>
          <w:highlight w:val="none"/>
        </w:rPr>
      </w:pPr>
    </w:p>
    <w:p w14:paraId="6C3526A3">
      <w:pPr>
        <w:keepNext w:val="0"/>
        <w:keepLines w:val="0"/>
        <w:pageBreakBefore w:val="0"/>
        <w:wordWrap/>
        <w:bidi w:val="0"/>
        <w:adjustRightInd w:val="0"/>
        <w:snapToGrid w:val="0"/>
        <w:spacing w:line="256" w:lineRule="auto"/>
        <w:rPr>
          <w:rFonts w:hint="default" w:ascii="Times New Roman" w:hAnsi="Times New Roman" w:cs="Times New Roman"/>
          <w:color w:val="auto"/>
          <w:sz w:val="21"/>
          <w:highlight w:val="none"/>
        </w:rPr>
      </w:pPr>
    </w:p>
    <w:p w14:paraId="2B2ACEB3">
      <w:pPr>
        <w:keepNext w:val="0"/>
        <w:keepLines w:val="0"/>
        <w:pageBreakBefore w:val="0"/>
        <w:widowControl/>
        <w:kinsoku w:val="0"/>
        <w:wordWrap/>
        <w:overflowPunct/>
        <w:topLinePunct w:val="0"/>
        <w:autoSpaceDE w:val="0"/>
        <w:autoSpaceDN w:val="0"/>
        <w:bidi w:val="0"/>
        <w:adjustRightInd w:val="0"/>
        <w:snapToGrid w:val="0"/>
        <w:spacing w:line="288" w:lineRule="auto"/>
        <w:ind w:left="0"/>
        <w:jc w:val="center"/>
        <w:textAlignment w:val="baseline"/>
        <w:outlineLvl w:val="2"/>
        <w:rPr>
          <w:rFonts w:hint="default" w:ascii="Times New Roman" w:hAnsi="Times New Roman" w:eastAsia="微软雅黑" w:cs="Times New Roman"/>
          <w:color w:val="auto"/>
          <w:sz w:val="71"/>
          <w:szCs w:val="71"/>
          <w:highlight w:val="none"/>
        </w:rPr>
      </w:pPr>
      <w:r>
        <w:rPr>
          <w:rFonts w:hint="default" w:ascii="Times New Roman" w:hAnsi="Times New Roman" w:eastAsia="微软雅黑" w:cs="Times New Roman"/>
          <w:color w:val="auto"/>
          <w:spacing w:val="8"/>
          <w:sz w:val="71"/>
          <w:szCs w:val="71"/>
          <w:highlight w:val="none"/>
        </w:rPr>
        <w:t>建设项目环</w:t>
      </w:r>
      <w:r>
        <w:rPr>
          <w:rFonts w:hint="eastAsia" w:ascii="Times New Roman" w:hAnsi="Times New Roman" w:eastAsia="微软雅黑" w:cs="Times New Roman"/>
          <w:color w:val="auto"/>
          <w:spacing w:val="8"/>
          <w:sz w:val="71"/>
          <w:szCs w:val="71"/>
          <w:highlight w:val="none"/>
          <w:lang w:eastAsia="zh-CN"/>
        </w:rPr>
        <w:t>境影</w:t>
      </w:r>
      <w:r>
        <w:rPr>
          <w:rFonts w:hint="default" w:ascii="Times New Roman" w:hAnsi="Times New Roman" w:eastAsia="微软雅黑" w:cs="Times New Roman"/>
          <w:color w:val="auto"/>
          <w:spacing w:val="8"/>
          <w:sz w:val="71"/>
          <w:szCs w:val="71"/>
          <w:highlight w:val="none"/>
        </w:rPr>
        <w:t>响报告</w:t>
      </w:r>
      <w:r>
        <w:rPr>
          <w:rFonts w:hint="default" w:ascii="Times New Roman" w:hAnsi="Times New Roman" w:eastAsia="微软雅黑" w:cs="Times New Roman"/>
          <w:color w:val="auto"/>
          <w:spacing w:val="6"/>
          <w:sz w:val="71"/>
          <w:szCs w:val="71"/>
          <w:highlight w:val="none"/>
        </w:rPr>
        <w:t>表</w:t>
      </w:r>
    </w:p>
    <w:p w14:paraId="3B925AB1">
      <w:pPr>
        <w:keepNext w:val="0"/>
        <w:keepLines w:val="0"/>
        <w:pageBreakBefore w:val="0"/>
        <w:widowControl/>
        <w:kinsoku w:val="0"/>
        <w:wordWrap/>
        <w:overflowPunct/>
        <w:topLinePunct w:val="0"/>
        <w:autoSpaceDE w:val="0"/>
        <w:autoSpaceDN w:val="0"/>
        <w:bidi w:val="0"/>
        <w:adjustRightInd w:val="0"/>
        <w:snapToGrid w:val="0"/>
        <w:spacing w:line="288" w:lineRule="auto"/>
        <w:ind w:left="0"/>
        <w:jc w:val="center"/>
        <w:textAlignment w:val="baseline"/>
        <w:rPr>
          <w:rFonts w:hint="default" w:ascii="Times New Roman" w:hAnsi="Times New Roman" w:eastAsia="楷体" w:cs="Times New Roman"/>
          <w:color w:val="auto"/>
          <w:spacing w:val="34"/>
          <w:sz w:val="47"/>
          <w:szCs w:val="47"/>
          <w:highlight w:val="none"/>
          <w:lang w:eastAsia="zh-CN"/>
        </w:rPr>
      </w:pPr>
      <w:r>
        <w:rPr>
          <w:rFonts w:hint="default" w:ascii="Times New Roman" w:hAnsi="Times New Roman" w:eastAsia="楷体" w:cs="Times New Roman"/>
          <w:color w:val="auto"/>
          <w:spacing w:val="35"/>
          <w:sz w:val="47"/>
          <w:szCs w:val="47"/>
          <w:highlight w:val="none"/>
          <w:lang w:eastAsia="zh-CN"/>
        </w:rPr>
        <w:t>（</w:t>
      </w:r>
      <w:r>
        <w:rPr>
          <w:rFonts w:hint="default" w:ascii="Times New Roman" w:hAnsi="Times New Roman" w:eastAsia="楷体" w:cs="Times New Roman"/>
          <w:color w:val="auto"/>
          <w:spacing w:val="34"/>
          <w:sz w:val="47"/>
          <w:szCs w:val="47"/>
          <w:highlight w:val="none"/>
        </w:rPr>
        <w:t>污染影响类</w:t>
      </w:r>
      <w:r>
        <w:rPr>
          <w:rFonts w:hint="default" w:ascii="Times New Roman" w:hAnsi="Times New Roman" w:eastAsia="楷体" w:cs="Times New Roman"/>
          <w:color w:val="auto"/>
          <w:spacing w:val="34"/>
          <w:sz w:val="47"/>
          <w:szCs w:val="47"/>
          <w:highlight w:val="none"/>
          <w:lang w:eastAsia="zh-CN"/>
        </w:rPr>
        <w:t>）</w:t>
      </w:r>
    </w:p>
    <w:p w14:paraId="183545D0">
      <w:pPr>
        <w:keepNext w:val="0"/>
        <w:keepLines w:val="0"/>
        <w:pageBreakBefore w:val="0"/>
        <w:widowControl/>
        <w:kinsoku w:val="0"/>
        <w:wordWrap/>
        <w:overflowPunct/>
        <w:topLinePunct w:val="0"/>
        <w:autoSpaceDE w:val="0"/>
        <w:autoSpaceDN w:val="0"/>
        <w:bidi w:val="0"/>
        <w:adjustRightInd w:val="0"/>
        <w:snapToGrid w:val="0"/>
        <w:spacing w:line="288" w:lineRule="auto"/>
        <w:ind w:left="0"/>
        <w:jc w:val="center"/>
        <w:textAlignment w:val="baseline"/>
        <w:rPr>
          <w:rFonts w:hint="default" w:ascii="Times New Roman" w:hAnsi="Times New Roman" w:eastAsia="楷体" w:cs="Times New Roman"/>
          <w:color w:val="auto"/>
          <w:spacing w:val="34"/>
          <w:sz w:val="47"/>
          <w:szCs w:val="47"/>
          <w:highlight w:val="none"/>
          <w:lang w:eastAsia="zh-CN"/>
        </w:rPr>
      </w:pPr>
      <w:r>
        <w:rPr>
          <w:rFonts w:hint="default" w:ascii="Times New Roman" w:hAnsi="Times New Roman" w:eastAsia="楷体" w:cs="Times New Roman"/>
          <w:color w:val="auto"/>
          <w:spacing w:val="34"/>
          <w:sz w:val="47"/>
          <w:szCs w:val="47"/>
          <w:highlight w:val="none"/>
          <w:lang w:eastAsia="zh-CN"/>
        </w:rPr>
        <w:t>（</w:t>
      </w:r>
      <w:r>
        <w:rPr>
          <w:rFonts w:hint="eastAsia" w:ascii="Times New Roman" w:hAnsi="Times New Roman" w:eastAsia="楷体" w:cs="Times New Roman"/>
          <w:color w:val="auto"/>
          <w:spacing w:val="34"/>
          <w:sz w:val="47"/>
          <w:szCs w:val="47"/>
          <w:highlight w:val="none"/>
          <w:lang w:val="en-US" w:eastAsia="zh-CN"/>
        </w:rPr>
        <w:t>报批</w:t>
      </w:r>
      <w:r>
        <w:rPr>
          <w:rFonts w:hint="default" w:ascii="Times New Roman" w:hAnsi="Times New Roman" w:eastAsia="楷体" w:cs="Times New Roman"/>
          <w:color w:val="auto"/>
          <w:spacing w:val="34"/>
          <w:sz w:val="47"/>
          <w:szCs w:val="47"/>
          <w:highlight w:val="none"/>
          <w:lang w:val="en-US" w:eastAsia="zh-CN"/>
        </w:rPr>
        <w:t>稿</w:t>
      </w:r>
      <w:r>
        <w:rPr>
          <w:rFonts w:hint="default" w:ascii="Times New Roman" w:hAnsi="Times New Roman" w:eastAsia="楷体" w:cs="Times New Roman"/>
          <w:color w:val="auto"/>
          <w:spacing w:val="34"/>
          <w:sz w:val="47"/>
          <w:szCs w:val="47"/>
          <w:highlight w:val="none"/>
          <w:lang w:eastAsia="zh-CN"/>
        </w:rPr>
        <w:t>）</w:t>
      </w:r>
    </w:p>
    <w:p w14:paraId="4A2BA8E5">
      <w:pPr>
        <w:keepNext w:val="0"/>
        <w:keepLines w:val="0"/>
        <w:pageBreakBefore w:val="0"/>
        <w:wordWrap/>
        <w:bidi w:val="0"/>
        <w:adjustRightInd w:val="0"/>
        <w:snapToGrid w:val="0"/>
        <w:spacing w:line="252" w:lineRule="auto"/>
        <w:rPr>
          <w:rFonts w:hint="default" w:ascii="Times New Roman" w:hAnsi="Times New Roman" w:cs="Times New Roman"/>
          <w:color w:val="auto"/>
          <w:sz w:val="21"/>
          <w:highlight w:val="none"/>
        </w:rPr>
      </w:pPr>
    </w:p>
    <w:p w14:paraId="0775DE68">
      <w:pPr>
        <w:keepNext w:val="0"/>
        <w:keepLines w:val="0"/>
        <w:pageBreakBefore w:val="0"/>
        <w:wordWrap/>
        <w:bidi w:val="0"/>
        <w:adjustRightInd w:val="0"/>
        <w:snapToGrid w:val="0"/>
        <w:spacing w:line="252" w:lineRule="auto"/>
        <w:rPr>
          <w:rFonts w:hint="default" w:ascii="Times New Roman" w:hAnsi="Times New Roman" w:cs="Times New Roman"/>
          <w:color w:val="auto"/>
          <w:sz w:val="21"/>
          <w:highlight w:val="none"/>
        </w:rPr>
      </w:pPr>
    </w:p>
    <w:p w14:paraId="4D7FD40A">
      <w:pPr>
        <w:keepNext w:val="0"/>
        <w:keepLines w:val="0"/>
        <w:pageBreakBefore w:val="0"/>
        <w:wordWrap/>
        <w:bidi w:val="0"/>
        <w:adjustRightInd w:val="0"/>
        <w:snapToGrid w:val="0"/>
        <w:spacing w:line="252" w:lineRule="auto"/>
        <w:rPr>
          <w:rFonts w:hint="default" w:ascii="Times New Roman" w:hAnsi="Times New Roman" w:cs="Times New Roman"/>
          <w:color w:val="auto"/>
          <w:sz w:val="21"/>
          <w:highlight w:val="none"/>
        </w:rPr>
      </w:pPr>
    </w:p>
    <w:p w14:paraId="5EC25E03">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0325CC9F">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6CA8C646">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66A0DE7B">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3ED24DD5">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4963302F">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3169E486">
      <w:pPr>
        <w:keepNext w:val="0"/>
        <w:keepLines w:val="0"/>
        <w:pageBreakBefore w:val="0"/>
        <w:wordWrap/>
        <w:bidi w:val="0"/>
        <w:adjustRightInd w:val="0"/>
        <w:snapToGrid w:val="0"/>
        <w:spacing w:line="253" w:lineRule="auto"/>
        <w:rPr>
          <w:rFonts w:hint="default" w:ascii="Times New Roman" w:hAnsi="Times New Roman" w:cs="Times New Roman"/>
          <w:color w:val="auto"/>
          <w:sz w:val="21"/>
          <w:highlight w:val="none"/>
        </w:rPr>
      </w:pPr>
    </w:p>
    <w:p w14:paraId="7DF76A6E">
      <w:pPr>
        <w:keepNext w:val="0"/>
        <w:keepLines w:val="0"/>
        <w:pageBreakBefore w:val="0"/>
        <w:widowControl/>
        <w:kinsoku w:val="0"/>
        <w:wordWrap/>
        <w:overflowPunct/>
        <w:topLinePunct w:val="0"/>
        <w:autoSpaceDE w:val="0"/>
        <w:autoSpaceDN w:val="0"/>
        <w:bidi w:val="0"/>
        <w:adjustRightInd w:val="0"/>
        <w:snapToGrid w:val="0"/>
        <w:spacing w:before="114" w:line="240" w:lineRule="auto"/>
        <w:ind w:left="808" w:right="0" w:firstLine="1"/>
        <w:jc w:val="both"/>
        <w:textAlignment w:val="baseline"/>
        <w:rPr>
          <w:rFonts w:hint="default" w:ascii="Times New Roman" w:hAnsi="Times New Roman" w:eastAsia="仿宋_GB2312" w:cs="Times New Roman"/>
          <w:b w:val="0"/>
          <w:bCs w:val="0"/>
          <w:color w:val="auto"/>
          <w:spacing w:val="-5"/>
          <w:sz w:val="36"/>
          <w:szCs w:val="36"/>
          <w:highlight w:val="none"/>
          <w:u w:val="single" w:color="auto"/>
          <w:lang w:val="en-US" w:eastAsia="zh-CN"/>
        </w:rPr>
      </w:pPr>
      <w:r>
        <w:rPr>
          <w:rFonts w:hint="default" w:ascii="Times New Roman" w:hAnsi="Times New Roman" w:eastAsia="仿宋_GB2312" w:cs="Times New Roman"/>
          <w:b w:val="0"/>
          <w:bCs w:val="0"/>
          <w:color w:val="auto"/>
          <w:spacing w:val="-10"/>
          <w:sz w:val="36"/>
          <w:szCs w:val="36"/>
          <w:highlight w:val="none"/>
        </w:rPr>
        <w:t>项目名称</w:t>
      </w:r>
      <w:r>
        <w:rPr>
          <w:rFonts w:hint="default" w:ascii="Times New Roman" w:hAnsi="Times New Roman" w:eastAsia="仿宋_GB2312" w:cs="Times New Roman"/>
          <w:b w:val="0"/>
          <w:bCs w:val="0"/>
          <w:color w:val="auto"/>
          <w:spacing w:val="-6"/>
          <w:sz w:val="36"/>
          <w:szCs w:val="36"/>
          <w:highlight w:val="none"/>
        </w:rPr>
        <w:t>：</w:t>
      </w:r>
      <w:r>
        <w:rPr>
          <w:rFonts w:hint="default" w:ascii="Times New Roman" w:hAnsi="Times New Roman" w:eastAsia="仿宋_GB2312" w:cs="Times New Roman"/>
          <w:b w:val="0"/>
          <w:bCs w:val="0"/>
          <w:color w:val="auto"/>
          <w:spacing w:val="-5"/>
          <w:sz w:val="36"/>
          <w:szCs w:val="36"/>
          <w:highlight w:val="none"/>
          <w:u w:val="single" w:color="auto"/>
          <w:lang w:val="en-US" w:eastAsia="zh-CN"/>
        </w:rPr>
        <w:t>新疆东瑞精工管道制造有限公司年产</w:t>
      </w:r>
    </w:p>
    <w:p w14:paraId="6896E8A7">
      <w:pPr>
        <w:keepNext w:val="0"/>
        <w:keepLines w:val="0"/>
        <w:pageBreakBefore w:val="0"/>
        <w:widowControl/>
        <w:kinsoku w:val="0"/>
        <w:wordWrap/>
        <w:overflowPunct/>
        <w:topLinePunct w:val="0"/>
        <w:autoSpaceDE w:val="0"/>
        <w:autoSpaceDN w:val="0"/>
        <w:bidi w:val="0"/>
        <w:adjustRightInd w:val="0"/>
        <w:snapToGrid w:val="0"/>
        <w:spacing w:before="114" w:line="240" w:lineRule="auto"/>
        <w:ind w:left="811" w:right="0" w:firstLine="1750" w:firstLineChars="500"/>
        <w:jc w:val="both"/>
        <w:textAlignment w:val="baseline"/>
        <w:rPr>
          <w:rFonts w:hint="default" w:ascii="Times New Roman" w:hAnsi="Times New Roman" w:eastAsia="仿宋_GB2312" w:cs="Times New Roman"/>
          <w:b w:val="0"/>
          <w:bCs w:val="0"/>
          <w:color w:val="auto"/>
          <w:spacing w:val="-5"/>
          <w:sz w:val="36"/>
          <w:szCs w:val="36"/>
          <w:highlight w:val="none"/>
          <w:u w:val="single" w:color="auto"/>
          <w:lang w:val="en-US" w:eastAsia="zh-CN"/>
        </w:rPr>
      </w:pPr>
      <w:r>
        <w:rPr>
          <w:rFonts w:hint="default" w:ascii="Times New Roman" w:hAnsi="Times New Roman" w:eastAsia="仿宋_GB2312" w:cs="Times New Roman"/>
          <w:b w:val="0"/>
          <w:bCs w:val="0"/>
          <w:color w:val="auto"/>
          <w:spacing w:val="-5"/>
          <w:sz w:val="36"/>
          <w:szCs w:val="36"/>
          <w:highlight w:val="none"/>
          <w:u w:val="single" w:color="auto"/>
          <w:lang w:val="en-US" w:eastAsia="zh-CN"/>
        </w:rPr>
        <w:t xml:space="preserve">十万件管件生产建设项目         </w:t>
      </w:r>
    </w:p>
    <w:p w14:paraId="0BE17004">
      <w:pPr>
        <w:keepNext w:val="0"/>
        <w:keepLines w:val="0"/>
        <w:pageBreakBefore w:val="0"/>
        <w:widowControl/>
        <w:kinsoku w:val="0"/>
        <w:wordWrap/>
        <w:overflowPunct/>
        <w:topLinePunct w:val="0"/>
        <w:autoSpaceDE w:val="0"/>
        <w:autoSpaceDN w:val="0"/>
        <w:bidi w:val="0"/>
        <w:adjustRightInd w:val="0"/>
        <w:snapToGrid w:val="0"/>
        <w:spacing w:before="114" w:line="240" w:lineRule="auto"/>
        <w:ind w:left="811" w:right="0" w:firstLine="0"/>
        <w:jc w:val="both"/>
        <w:textAlignment w:val="baseline"/>
        <w:rPr>
          <w:rFonts w:hint="default" w:ascii="Times New Roman" w:hAnsi="Times New Roman" w:eastAsia="仿宋_GB2312" w:cs="Times New Roman"/>
          <w:b w:val="0"/>
          <w:bCs w:val="0"/>
          <w:color w:val="auto"/>
          <w:spacing w:val="-5"/>
          <w:sz w:val="36"/>
          <w:szCs w:val="36"/>
          <w:highlight w:val="none"/>
          <w:u w:val="single" w:color="auto"/>
          <w:lang w:val="en-US" w:eastAsia="zh-CN"/>
        </w:rPr>
      </w:pPr>
      <w:r>
        <w:rPr>
          <w:rFonts w:hint="default" w:ascii="Times New Roman" w:hAnsi="Times New Roman" w:eastAsia="仿宋_GB2312" w:cs="Times New Roman"/>
          <w:b w:val="0"/>
          <w:bCs w:val="0"/>
          <w:color w:val="auto"/>
          <w:spacing w:val="4"/>
          <w:sz w:val="36"/>
          <w:szCs w:val="36"/>
          <w:highlight w:val="none"/>
        </w:rPr>
        <w:t>建设单</w:t>
      </w:r>
      <w:r>
        <w:rPr>
          <w:rFonts w:hint="default" w:ascii="Times New Roman" w:hAnsi="Times New Roman" w:eastAsia="仿宋_GB2312" w:cs="Times New Roman"/>
          <w:b w:val="0"/>
          <w:bCs w:val="0"/>
          <w:color w:val="auto"/>
          <w:spacing w:val="3"/>
          <w:sz w:val="36"/>
          <w:szCs w:val="36"/>
          <w:highlight w:val="none"/>
        </w:rPr>
        <w:t>位</w:t>
      </w:r>
      <w:r>
        <w:rPr>
          <w:rFonts w:hint="default" w:ascii="Times New Roman" w:hAnsi="Times New Roman" w:eastAsia="仿宋_GB2312" w:cs="Times New Roman"/>
          <w:b w:val="0"/>
          <w:bCs w:val="0"/>
          <w:color w:val="auto"/>
          <w:spacing w:val="2"/>
          <w:sz w:val="36"/>
          <w:szCs w:val="36"/>
          <w:highlight w:val="none"/>
          <w:lang w:eastAsia="zh-CN"/>
        </w:rPr>
        <w:t>（</w:t>
      </w:r>
      <w:r>
        <w:rPr>
          <w:rFonts w:hint="default" w:ascii="Times New Roman" w:hAnsi="Times New Roman" w:eastAsia="仿宋_GB2312" w:cs="Times New Roman"/>
          <w:b w:val="0"/>
          <w:bCs w:val="0"/>
          <w:color w:val="auto"/>
          <w:spacing w:val="2"/>
          <w:sz w:val="36"/>
          <w:szCs w:val="36"/>
          <w:highlight w:val="none"/>
        </w:rPr>
        <w:t>盖章</w:t>
      </w:r>
      <w:r>
        <w:rPr>
          <w:rFonts w:hint="default" w:ascii="Times New Roman" w:hAnsi="Times New Roman" w:eastAsia="仿宋_GB2312" w:cs="Times New Roman"/>
          <w:b w:val="0"/>
          <w:bCs w:val="0"/>
          <w:color w:val="auto"/>
          <w:spacing w:val="2"/>
          <w:sz w:val="36"/>
          <w:szCs w:val="36"/>
          <w:highlight w:val="none"/>
          <w:lang w:eastAsia="zh-CN"/>
        </w:rPr>
        <w:t>）</w:t>
      </w:r>
      <w:r>
        <w:rPr>
          <w:rFonts w:hint="default" w:ascii="Times New Roman" w:hAnsi="Times New Roman" w:eastAsia="仿宋_GB2312" w:cs="Times New Roman"/>
          <w:b w:val="0"/>
          <w:bCs w:val="0"/>
          <w:color w:val="auto"/>
          <w:spacing w:val="2"/>
          <w:sz w:val="36"/>
          <w:szCs w:val="36"/>
          <w:highlight w:val="none"/>
        </w:rPr>
        <w:t>：</w:t>
      </w:r>
      <w:r>
        <w:rPr>
          <w:rFonts w:hint="default" w:ascii="Times New Roman" w:hAnsi="Times New Roman" w:eastAsia="仿宋_GB2312" w:cs="Times New Roman"/>
          <w:b w:val="0"/>
          <w:bCs w:val="0"/>
          <w:color w:val="auto"/>
          <w:spacing w:val="-5"/>
          <w:sz w:val="36"/>
          <w:szCs w:val="36"/>
          <w:highlight w:val="none"/>
          <w:u w:val="single" w:color="auto"/>
          <w:lang w:val="en-US" w:eastAsia="zh-CN"/>
        </w:rPr>
        <w:t>新疆东瑞精工管道制造有限</w:t>
      </w:r>
    </w:p>
    <w:p w14:paraId="685D1752">
      <w:pPr>
        <w:pStyle w:val="38"/>
        <w:keepNext w:val="0"/>
        <w:keepLines w:val="0"/>
        <w:pageBreakBefore w:val="0"/>
        <w:widowControl/>
        <w:kinsoku w:val="0"/>
        <w:wordWrap/>
        <w:overflowPunct/>
        <w:topLinePunct w:val="0"/>
        <w:autoSpaceDE w:val="0"/>
        <w:autoSpaceDN w:val="0"/>
        <w:bidi w:val="0"/>
        <w:adjustRightInd w:val="0"/>
        <w:snapToGrid w:val="0"/>
        <w:spacing w:before="0"/>
        <w:ind w:left="1890" w:leftChars="900"/>
        <w:textAlignment w:val="baseline"/>
        <w:rPr>
          <w:rFonts w:hint="default" w:ascii="Times New Roman" w:hAnsi="Times New Roman" w:eastAsia="仿宋_GB2312" w:cs="Times New Roman"/>
          <w:b w:val="0"/>
          <w:bCs w:val="0"/>
          <w:color w:val="auto"/>
          <w:spacing w:val="-5"/>
          <w:sz w:val="36"/>
          <w:szCs w:val="36"/>
          <w:highlight w:val="none"/>
          <w:u w:val="single" w:color="auto"/>
          <w:lang w:val="en-US" w:eastAsia="zh-CN"/>
        </w:rPr>
      </w:pPr>
      <w:r>
        <w:rPr>
          <w:rFonts w:hint="default" w:ascii="Times New Roman" w:hAnsi="Times New Roman" w:eastAsia="仿宋_GB2312" w:cs="Times New Roman"/>
          <w:b w:val="0"/>
          <w:bCs w:val="0"/>
          <w:color w:val="auto"/>
          <w:spacing w:val="-5"/>
          <w:sz w:val="36"/>
          <w:szCs w:val="36"/>
          <w:highlight w:val="none"/>
          <w:u w:val="single" w:color="auto"/>
          <w:lang w:val="en-US" w:eastAsia="zh-CN"/>
        </w:rPr>
        <w:t xml:space="preserve">公司                             </w:t>
      </w:r>
    </w:p>
    <w:p w14:paraId="4E894033">
      <w:pPr>
        <w:pStyle w:val="38"/>
        <w:pageBreakBefore w:val="0"/>
        <w:wordWrap/>
        <w:bidi w:val="0"/>
        <w:adjustRightInd w:val="0"/>
        <w:snapToGrid w:val="0"/>
        <w:rPr>
          <w:rFonts w:hint="default" w:ascii="Times New Roman" w:hAnsi="Times New Roman" w:eastAsia="仿宋_GB2312" w:cs="Times New Roman"/>
          <w:color w:val="auto"/>
          <w:sz w:val="36"/>
          <w:szCs w:val="36"/>
          <w:highlight w:val="none"/>
          <w:lang w:val="en-US"/>
        </w:rPr>
      </w:pPr>
      <w:r>
        <w:rPr>
          <w:rFonts w:hint="default" w:ascii="Times New Roman" w:hAnsi="Times New Roman" w:eastAsia="仿宋_GB2312" w:cs="Times New Roman"/>
          <w:b w:val="0"/>
          <w:bCs w:val="0"/>
          <w:color w:val="auto"/>
          <w:spacing w:val="4"/>
          <w:sz w:val="36"/>
          <w:szCs w:val="36"/>
          <w:highlight w:val="none"/>
        </w:rPr>
        <w:t>编</w:t>
      </w:r>
      <w:r>
        <w:rPr>
          <w:rFonts w:hint="default" w:ascii="Times New Roman" w:hAnsi="Times New Roman" w:eastAsia="仿宋_GB2312" w:cs="Times New Roman"/>
          <w:b w:val="0"/>
          <w:bCs w:val="0"/>
          <w:color w:val="auto"/>
          <w:spacing w:val="3"/>
          <w:sz w:val="36"/>
          <w:szCs w:val="36"/>
          <w:highlight w:val="none"/>
        </w:rPr>
        <w:t>制</w:t>
      </w:r>
      <w:r>
        <w:rPr>
          <w:rFonts w:hint="default" w:ascii="Times New Roman" w:hAnsi="Times New Roman" w:eastAsia="仿宋_GB2312" w:cs="Times New Roman"/>
          <w:b w:val="0"/>
          <w:bCs w:val="0"/>
          <w:color w:val="auto"/>
          <w:spacing w:val="2"/>
          <w:sz w:val="36"/>
          <w:szCs w:val="36"/>
          <w:highlight w:val="none"/>
        </w:rPr>
        <w:t>日期：</w:t>
      </w:r>
      <w:r>
        <w:rPr>
          <w:rFonts w:hint="default" w:ascii="Times New Roman" w:hAnsi="Times New Roman" w:eastAsia="仿宋_GB2312" w:cs="Times New Roman"/>
          <w:b w:val="0"/>
          <w:bCs w:val="0"/>
          <w:color w:val="auto"/>
          <w:sz w:val="36"/>
          <w:szCs w:val="36"/>
          <w:highlight w:val="none"/>
          <w:u w:val="single" w:color="auto"/>
        </w:rPr>
        <w:t xml:space="preserve">       </w:t>
      </w:r>
      <w:r>
        <w:rPr>
          <w:rFonts w:hint="default" w:ascii="Times New Roman" w:hAnsi="Times New Roman" w:eastAsia="仿宋_GB2312" w:cs="Times New Roman"/>
          <w:b w:val="0"/>
          <w:bCs w:val="0"/>
          <w:color w:val="auto"/>
          <w:sz w:val="36"/>
          <w:szCs w:val="36"/>
          <w:highlight w:val="none"/>
          <w:u w:val="single" w:color="auto"/>
          <w:lang w:val="en-US" w:eastAsia="zh-CN"/>
        </w:rPr>
        <w:t>2025年</w:t>
      </w:r>
      <w:r>
        <w:rPr>
          <w:rFonts w:hint="eastAsia" w:ascii="Times New Roman" w:hAnsi="Times New Roman" w:eastAsia="仿宋_GB2312" w:cs="Times New Roman"/>
          <w:b w:val="0"/>
          <w:bCs w:val="0"/>
          <w:color w:val="auto"/>
          <w:sz w:val="36"/>
          <w:szCs w:val="36"/>
          <w:highlight w:val="none"/>
          <w:u w:val="single" w:color="auto"/>
          <w:lang w:val="en-US" w:eastAsia="zh-CN"/>
        </w:rPr>
        <w:t>12</w:t>
      </w:r>
      <w:r>
        <w:rPr>
          <w:rFonts w:hint="default" w:ascii="Times New Roman" w:hAnsi="Times New Roman" w:eastAsia="仿宋_GB2312" w:cs="Times New Roman"/>
          <w:b w:val="0"/>
          <w:bCs w:val="0"/>
          <w:color w:val="auto"/>
          <w:sz w:val="36"/>
          <w:szCs w:val="36"/>
          <w:highlight w:val="none"/>
          <w:u w:val="single" w:color="auto"/>
          <w:lang w:val="en-US" w:eastAsia="zh-CN"/>
        </w:rPr>
        <w:t xml:space="preserve">月         </w:t>
      </w:r>
      <w:r>
        <w:rPr>
          <w:rFonts w:hint="default" w:ascii="Times New Roman" w:hAnsi="Times New Roman" w:eastAsia="仿宋_GB2312" w:cs="Times New Roman"/>
          <w:b w:val="0"/>
          <w:bCs w:val="0"/>
          <w:color w:val="auto"/>
          <w:sz w:val="36"/>
          <w:szCs w:val="36"/>
          <w:highlight w:val="none"/>
          <w:u w:val="single" w:color="auto"/>
        </w:rPr>
        <w:t xml:space="preserve">      </w:t>
      </w:r>
      <w:r>
        <w:rPr>
          <w:rFonts w:hint="default" w:ascii="Times New Roman" w:hAnsi="Times New Roman" w:eastAsia="仿宋_GB2312" w:cs="Times New Roman"/>
          <w:b w:val="0"/>
          <w:bCs w:val="0"/>
          <w:color w:val="auto"/>
          <w:sz w:val="36"/>
          <w:szCs w:val="36"/>
          <w:highlight w:val="none"/>
          <w:u w:val="single" w:color="auto"/>
          <w:lang w:val="en-US" w:eastAsia="zh-CN"/>
        </w:rPr>
        <w:t xml:space="preserve"> </w:t>
      </w:r>
    </w:p>
    <w:p w14:paraId="0AF78D11">
      <w:pPr>
        <w:keepNext w:val="0"/>
        <w:keepLines w:val="0"/>
        <w:pageBreakBefore w:val="0"/>
        <w:wordWrap/>
        <w:bidi w:val="0"/>
        <w:adjustRightInd w:val="0"/>
        <w:snapToGrid w:val="0"/>
        <w:spacing w:line="254" w:lineRule="auto"/>
        <w:rPr>
          <w:rFonts w:hint="default" w:ascii="Times New Roman" w:hAnsi="Times New Roman" w:cs="Times New Roman"/>
          <w:color w:val="auto"/>
          <w:sz w:val="21"/>
          <w:highlight w:val="none"/>
        </w:rPr>
      </w:pPr>
    </w:p>
    <w:p w14:paraId="452E8D2A">
      <w:pPr>
        <w:keepNext w:val="0"/>
        <w:keepLines w:val="0"/>
        <w:pageBreakBefore w:val="0"/>
        <w:wordWrap/>
        <w:bidi w:val="0"/>
        <w:adjustRightInd w:val="0"/>
        <w:snapToGrid w:val="0"/>
        <w:spacing w:line="255" w:lineRule="auto"/>
        <w:rPr>
          <w:rFonts w:hint="default" w:ascii="Times New Roman" w:hAnsi="Times New Roman" w:cs="Times New Roman"/>
          <w:color w:val="auto"/>
          <w:sz w:val="21"/>
          <w:highlight w:val="none"/>
        </w:rPr>
      </w:pPr>
    </w:p>
    <w:p w14:paraId="0E5BD96D">
      <w:pPr>
        <w:pStyle w:val="2"/>
        <w:rPr>
          <w:rFonts w:hint="default" w:ascii="Times New Roman" w:hAnsi="Times New Roman" w:cs="Times New Roman"/>
          <w:color w:val="auto"/>
          <w:sz w:val="21"/>
          <w:highlight w:val="none"/>
        </w:rPr>
      </w:pPr>
    </w:p>
    <w:p w14:paraId="5918CBB9">
      <w:pPr>
        <w:rPr>
          <w:rFonts w:hint="default" w:ascii="Times New Roman" w:hAnsi="Times New Roman" w:cs="Times New Roman"/>
          <w:color w:val="auto"/>
          <w:sz w:val="21"/>
          <w:highlight w:val="none"/>
        </w:rPr>
      </w:pPr>
    </w:p>
    <w:p w14:paraId="2A940940">
      <w:pPr>
        <w:pStyle w:val="2"/>
        <w:rPr>
          <w:rFonts w:hint="default" w:ascii="Times New Roman" w:hAnsi="Times New Roman" w:cs="Times New Roman"/>
          <w:color w:val="auto"/>
          <w:sz w:val="21"/>
          <w:highlight w:val="none"/>
        </w:rPr>
      </w:pPr>
    </w:p>
    <w:p w14:paraId="31E37CDA">
      <w:pPr>
        <w:rPr>
          <w:rFonts w:hint="default"/>
          <w:color w:val="auto"/>
          <w:highlight w:val="none"/>
        </w:rPr>
      </w:pPr>
    </w:p>
    <w:p w14:paraId="7D6E2C48">
      <w:pPr>
        <w:rPr>
          <w:rFonts w:hint="default"/>
          <w:color w:val="auto"/>
          <w:highlight w:val="none"/>
        </w:rPr>
      </w:pPr>
    </w:p>
    <w:p w14:paraId="2E23AAAD">
      <w:pPr>
        <w:keepNext w:val="0"/>
        <w:keepLines w:val="0"/>
        <w:pageBreakBefore w:val="0"/>
        <w:wordWrap/>
        <w:bidi w:val="0"/>
        <w:adjustRightInd w:val="0"/>
        <w:snapToGrid w:val="0"/>
        <w:spacing w:line="255" w:lineRule="auto"/>
        <w:rPr>
          <w:rFonts w:hint="default" w:ascii="Times New Roman" w:hAnsi="Times New Roman" w:cs="Times New Roman"/>
          <w:color w:val="auto"/>
          <w:sz w:val="21"/>
          <w:highlight w:val="none"/>
        </w:rPr>
      </w:pPr>
    </w:p>
    <w:p w14:paraId="68161401">
      <w:pPr>
        <w:keepNext w:val="0"/>
        <w:keepLines w:val="0"/>
        <w:pageBreakBefore w:val="0"/>
        <w:wordWrap/>
        <w:bidi w:val="0"/>
        <w:adjustRightInd w:val="0"/>
        <w:snapToGrid w:val="0"/>
        <w:spacing w:before="115" w:line="230" w:lineRule="auto"/>
        <w:ind w:left="1882"/>
        <w:rPr>
          <w:rFonts w:hint="default" w:ascii="Times New Roman" w:hAnsi="Times New Roman" w:eastAsia="楷体" w:cs="Times New Roman"/>
          <w:color w:val="auto"/>
          <w:sz w:val="35"/>
          <w:szCs w:val="35"/>
          <w:highlight w:val="none"/>
        </w:rPr>
      </w:pPr>
      <w:r>
        <w:rPr>
          <w:rFonts w:hint="default" w:ascii="Times New Roman" w:hAnsi="Times New Roman" w:eastAsia="楷体" w:cs="Times New Roman"/>
          <w:color w:val="auto"/>
          <w:spacing w:val="10"/>
          <w:sz w:val="35"/>
          <w:szCs w:val="35"/>
          <w:highlight w:val="none"/>
        </w:rPr>
        <w:t>中</w:t>
      </w:r>
      <w:r>
        <w:rPr>
          <w:rFonts w:hint="default" w:ascii="Times New Roman" w:hAnsi="Times New Roman" w:eastAsia="楷体" w:cs="Times New Roman"/>
          <w:color w:val="auto"/>
          <w:spacing w:val="8"/>
          <w:sz w:val="35"/>
          <w:szCs w:val="35"/>
          <w:highlight w:val="none"/>
        </w:rPr>
        <w:t>华</w:t>
      </w:r>
      <w:r>
        <w:rPr>
          <w:rFonts w:hint="default" w:ascii="Times New Roman" w:hAnsi="Times New Roman" w:eastAsia="楷体" w:cs="Times New Roman"/>
          <w:color w:val="auto"/>
          <w:spacing w:val="5"/>
          <w:sz w:val="35"/>
          <w:szCs w:val="35"/>
          <w:highlight w:val="none"/>
        </w:rPr>
        <w:t>人民共和国生态环境部制</w:t>
      </w:r>
    </w:p>
    <w:p w14:paraId="66DC09A1">
      <w:pPr>
        <w:keepNext w:val="0"/>
        <w:keepLines w:val="0"/>
        <w:pageBreakBefore w:val="0"/>
        <w:wordWrap/>
        <w:bidi w:val="0"/>
        <w:adjustRightInd w:val="0"/>
        <w:snapToGrid w:val="0"/>
        <w:rPr>
          <w:rFonts w:hint="default" w:ascii="Times New Roman" w:hAnsi="Times New Roman" w:cs="Times New Roman"/>
          <w:color w:val="auto"/>
          <w:highlight w:val="none"/>
        </w:rPr>
        <w:sectPr>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4A8B0468">
      <w:pPr>
        <w:pStyle w:val="12"/>
        <w:rPr>
          <w:rFonts w:hint="default"/>
          <w:color w:val="auto"/>
          <w:highlight w:val="none"/>
        </w:rPr>
        <w:sectPr>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r>
        <w:rPr>
          <w:color w:val="auto"/>
          <w:highlight w:val="none"/>
        </w:rPr>
        <w:drawing>
          <wp:inline distT="0" distB="0" distL="114300" distR="114300">
            <wp:extent cx="5505450" cy="7820025"/>
            <wp:effectExtent l="0" t="0" r="0"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3"/>
                    <a:stretch>
                      <a:fillRect/>
                    </a:stretch>
                  </pic:blipFill>
                  <pic:spPr>
                    <a:xfrm>
                      <a:off x="0" y="0"/>
                      <a:ext cx="5505450" cy="7820025"/>
                    </a:xfrm>
                    <a:prstGeom prst="rect">
                      <a:avLst/>
                    </a:prstGeom>
                    <a:noFill/>
                    <a:ln>
                      <a:noFill/>
                    </a:ln>
                  </pic:spPr>
                </pic:pic>
              </a:graphicData>
            </a:graphic>
          </wp:inline>
        </w:drawing>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544"/>
      </w:tblGrid>
      <w:tr w14:paraId="4920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4" w:hRule="atLeast"/>
          <w:jc w:val="center"/>
        </w:trPr>
        <w:tc>
          <w:tcPr>
            <w:tcW w:w="2491" w:type="pct"/>
            <w:noWrap w:val="0"/>
            <w:vAlign w:val="center"/>
          </w:tcPr>
          <w:p w14:paraId="672D6846">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drawing>
                <wp:inline distT="0" distB="0" distL="114300" distR="114300">
                  <wp:extent cx="2719070" cy="2294255"/>
                  <wp:effectExtent l="0" t="0" r="5080" b="10795"/>
                  <wp:docPr id="150" name="图片 150" descr="微信图片_20250825170548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微信图片_20250825170548_41"/>
                          <pic:cNvPicPr>
                            <a:picLocks noChangeAspect="1"/>
                          </pic:cNvPicPr>
                        </pic:nvPicPr>
                        <pic:blipFill>
                          <a:blip r:embed="rId14"/>
                          <a:stretch>
                            <a:fillRect/>
                          </a:stretch>
                        </pic:blipFill>
                        <pic:spPr>
                          <a:xfrm>
                            <a:off x="0" y="0"/>
                            <a:ext cx="2719070" cy="2294255"/>
                          </a:xfrm>
                          <a:prstGeom prst="rect">
                            <a:avLst/>
                          </a:prstGeom>
                        </pic:spPr>
                      </pic:pic>
                    </a:graphicData>
                  </a:graphic>
                </wp:inline>
              </w:drawing>
            </w:r>
          </w:p>
        </w:tc>
        <w:tc>
          <w:tcPr>
            <w:tcW w:w="2508" w:type="pct"/>
            <w:noWrap w:val="0"/>
            <w:vAlign w:val="center"/>
          </w:tcPr>
          <w:p w14:paraId="0A1FBF92">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drawing>
                <wp:inline distT="0" distB="0" distL="114300" distR="114300">
                  <wp:extent cx="2743200" cy="2314575"/>
                  <wp:effectExtent l="0" t="0" r="0" b="9525"/>
                  <wp:docPr id="149" name="图片 149" descr="微信图片_20250825170549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微信图片_20250825170549_38"/>
                          <pic:cNvPicPr>
                            <a:picLocks noChangeAspect="1"/>
                          </pic:cNvPicPr>
                        </pic:nvPicPr>
                        <pic:blipFill>
                          <a:blip r:embed="rId15"/>
                          <a:stretch>
                            <a:fillRect/>
                          </a:stretch>
                        </pic:blipFill>
                        <pic:spPr>
                          <a:xfrm>
                            <a:off x="0" y="0"/>
                            <a:ext cx="2743200" cy="2314575"/>
                          </a:xfrm>
                          <a:prstGeom prst="rect">
                            <a:avLst/>
                          </a:prstGeom>
                        </pic:spPr>
                      </pic:pic>
                    </a:graphicData>
                  </a:graphic>
                </wp:inline>
              </w:drawing>
            </w:r>
          </w:p>
        </w:tc>
      </w:tr>
      <w:tr w14:paraId="18A9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491" w:type="pct"/>
            <w:noWrap w:val="0"/>
            <w:vAlign w:val="center"/>
          </w:tcPr>
          <w:p w14:paraId="74CC2254">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t>项目区东侧秦川机械</w:t>
            </w:r>
          </w:p>
        </w:tc>
        <w:tc>
          <w:tcPr>
            <w:tcW w:w="2508" w:type="pct"/>
            <w:noWrap w:val="0"/>
            <w:vAlign w:val="center"/>
          </w:tcPr>
          <w:p w14:paraId="794CD6D1">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t>项目区西侧空地</w:t>
            </w:r>
          </w:p>
        </w:tc>
      </w:tr>
      <w:tr w14:paraId="6BCF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2491" w:type="pct"/>
            <w:noWrap w:val="0"/>
            <w:vAlign w:val="center"/>
          </w:tcPr>
          <w:p w14:paraId="6E7E9FD6">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drawing>
                <wp:inline distT="0" distB="0" distL="114300" distR="114300">
                  <wp:extent cx="2719070" cy="2294255"/>
                  <wp:effectExtent l="0" t="0" r="5080" b="10795"/>
                  <wp:docPr id="117" name="图片 117" descr="微信图片_20250825170547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微信图片_20250825170547_42"/>
                          <pic:cNvPicPr>
                            <a:picLocks noChangeAspect="1"/>
                          </pic:cNvPicPr>
                        </pic:nvPicPr>
                        <pic:blipFill>
                          <a:blip r:embed="rId16"/>
                          <a:stretch>
                            <a:fillRect/>
                          </a:stretch>
                        </pic:blipFill>
                        <pic:spPr>
                          <a:xfrm>
                            <a:off x="0" y="0"/>
                            <a:ext cx="2719070" cy="2294255"/>
                          </a:xfrm>
                          <a:prstGeom prst="rect">
                            <a:avLst/>
                          </a:prstGeom>
                        </pic:spPr>
                      </pic:pic>
                    </a:graphicData>
                  </a:graphic>
                </wp:inline>
              </w:drawing>
            </w:r>
          </w:p>
        </w:tc>
        <w:tc>
          <w:tcPr>
            <w:tcW w:w="2508" w:type="pct"/>
            <w:noWrap w:val="0"/>
            <w:vAlign w:val="center"/>
          </w:tcPr>
          <w:p w14:paraId="7EFBFE9E">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drawing>
                <wp:inline distT="0" distB="0" distL="114300" distR="114300">
                  <wp:extent cx="2743200" cy="2314575"/>
                  <wp:effectExtent l="0" t="0" r="0" b="9525"/>
                  <wp:docPr id="151" name="图片 151" descr="微信图片_20250825170550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微信图片_20250825170550_35"/>
                          <pic:cNvPicPr>
                            <a:picLocks noChangeAspect="1"/>
                          </pic:cNvPicPr>
                        </pic:nvPicPr>
                        <pic:blipFill>
                          <a:blip r:embed="rId17"/>
                          <a:stretch>
                            <a:fillRect/>
                          </a:stretch>
                        </pic:blipFill>
                        <pic:spPr>
                          <a:xfrm>
                            <a:off x="0" y="0"/>
                            <a:ext cx="2743200" cy="2314575"/>
                          </a:xfrm>
                          <a:prstGeom prst="rect">
                            <a:avLst/>
                          </a:prstGeom>
                        </pic:spPr>
                      </pic:pic>
                    </a:graphicData>
                  </a:graphic>
                </wp:inline>
              </w:drawing>
            </w:r>
          </w:p>
        </w:tc>
      </w:tr>
      <w:tr w14:paraId="34A2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491" w:type="pct"/>
            <w:noWrap w:val="0"/>
            <w:vAlign w:val="center"/>
          </w:tcPr>
          <w:p w14:paraId="729F5BC2">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t>项目区南侧京泰管业</w:t>
            </w:r>
          </w:p>
        </w:tc>
        <w:tc>
          <w:tcPr>
            <w:tcW w:w="2508" w:type="pct"/>
            <w:noWrap w:val="0"/>
            <w:vAlign w:val="center"/>
          </w:tcPr>
          <w:p w14:paraId="6642C509">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t>项目区北侧昊宇鑫鹏</w:t>
            </w:r>
          </w:p>
        </w:tc>
      </w:tr>
      <w:tr w14:paraId="7434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jc w:val="center"/>
        </w:trPr>
        <w:tc>
          <w:tcPr>
            <w:tcW w:w="2491" w:type="pct"/>
            <w:noWrap w:val="0"/>
            <w:vAlign w:val="center"/>
          </w:tcPr>
          <w:p w14:paraId="4299797D">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drawing>
                <wp:inline distT="0" distB="0" distL="114300" distR="114300">
                  <wp:extent cx="2719070" cy="2294255"/>
                  <wp:effectExtent l="0" t="0" r="5080" b="10795"/>
                  <wp:docPr id="152" name="图片 152" descr="微信图片_20250825170543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微信图片_20250825170543_56"/>
                          <pic:cNvPicPr>
                            <a:picLocks noChangeAspect="1"/>
                          </pic:cNvPicPr>
                        </pic:nvPicPr>
                        <pic:blipFill>
                          <a:blip r:embed="rId18"/>
                          <a:stretch>
                            <a:fillRect/>
                          </a:stretch>
                        </pic:blipFill>
                        <pic:spPr>
                          <a:xfrm>
                            <a:off x="0" y="0"/>
                            <a:ext cx="2719070" cy="2294255"/>
                          </a:xfrm>
                          <a:prstGeom prst="rect">
                            <a:avLst/>
                          </a:prstGeom>
                        </pic:spPr>
                      </pic:pic>
                    </a:graphicData>
                  </a:graphic>
                </wp:inline>
              </w:drawing>
            </w:r>
          </w:p>
        </w:tc>
        <w:tc>
          <w:tcPr>
            <w:tcW w:w="2508" w:type="pct"/>
            <w:noWrap w:val="0"/>
            <w:vAlign w:val="center"/>
          </w:tcPr>
          <w:p w14:paraId="30523742">
            <w:pPr>
              <w:pStyle w:val="28"/>
              <w:adjustRightInd w:val="0"/>
              <w:snapToGrid w:val="0"/>
              <w:spacing w:before="0" w:beforeAutospacing="0" w:after="0" w:afterAutospacing="0"/>
              <w:jc w:val="center"/>
              <w:rPr>
                <w:rFonts w:hint="default" w:ascii="Times New Roman" w:hAnsi="Times New Roman" w:cs="Times New Roman"/>
                <w:color w:val="auto"/>
                <w:sz w:val="32"/>
                <w:szCs w:val="40"/>
                <w:highlight w:val="none"/>
                <w:lang w:val="en-US" w:eastAsia="zh-CN"/>
              </w:rPr>
            </w:pPr>
            <w:r>
              <w:rPr>
                <w:rFonts w:hint="default" w:ascii="Times New Roman" w:hAnsi="Times New Roman" w:cs="Times New Roman"/>
                <w:color w:val="auto"/>
                <w:sz w:val="32"/>
                <w:szCs w:val="40"/>
                <w:highlight w:val="none"/>
                <w:lang w:val="en-US" w:eastAsia="zh-CN"/>
              </w:rPr>
              <w:drawing>
                <wp:inline distT="0" distB="0" distL="114300" distR="114300">
                  <wp:extent cx="2743200" cy="2314575"/>
                  <wp:effectExtent l="0" t="0" r="0" b="9525"/>
                  <wp:docPr id="153" name="图片 153" descr="微信图片_20250825170544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微信图片_20250825170544_57"/>
                          <pic:cNvPicPr>
                            <a:picLocks noChangeAspect="1"/>
                          </pic:cNvPicPr>
                        </pic:nvPicPr>
                        <pic:blipFill>
                          <a:blip r:embed="rId19"/>
                          <a:stretch>
                            <a:fillRect/>
                          </a:stretch>
                        </pic:blipFill>
                        <pic:spPr>
                          <a:xfrm>
                            <a:off x="0" y="0"/>
                            <a:ext cx="2743200" cy="2314575"/>
                          </a:xfrm>
                          <a:prstGeom prst="rect">
                            <a:avLst/>
                          </a:prstGeom>
                        </pic:spPr>
                      </pic:pic>
                    </a:graphicData>
                  </a:graphic>
                </wp:inline>
              </w:drawing>
            </w:r>
          </w:p>
        </w:tc>
      </w:tr>
      <w:tr w14:paraId="7DD4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000" w:type="pct"/>
            <w:gridSpan w:val="2"/>
            <w:noWrap w:val="0"/>
            <w:vAlign w:val="center"/>
          </w:tcPr>
          <w:p w14:paraId="17BF9005">
            <w:pPr>
              <w:pStyle w:val="28"/>
              <w:adjustRightInd w:val="0"/>
              <w:snapToGrid w:val="0"/>
              <w:spacing w:before="0" w:beforeAutospacing="0" w:after="0" w:afterAutospacing="0"/>
              <w:jc w:val="center"/>
              <w:rPr>
                <w:rFonts w:hint="default" w:ascii="Times New Roman" w:hAnsi="Times New Roman" w:eastAsia="黑体" w:cs="Times New Roman"/>
                <w:snapToGrid w:val="0"/>
                <w:color w:val="auto"/>
                <w:sz w:val="28"/>
                <w:szCs w:val="28"/>
                <w:highlight w:val="none"/>
                <w:lang w:val="en-US" w:eastAsia="zh-CN"/>
              </w:rPr>
            </w:pPr>
            <w:r>
              <w:rPr>
                <w:rFonts w:hint="default" w:ascii="Times New Roman" w:hAnsi="Times New Roman" w:eastAsia="黑体" w:cs="Times New Roman"/>
                <w:snapToGrid w:val="0"/>
                <w:color w:val="auto"/>
                <w:sz w:val="28"/>
                <w:szCs w:val="28"/>
                <w:highlight w:val="none"/>
                <w:lang w:val="en-US" w:eastAsia="zh-CN"/>
              </w:rPr>
              <w:t>项目区现状</w:t>
            </w:r>
          </w:p>
        </w:tc>
      </w:tr>
    </w:tbl>
    <w:p w14:paraId="2B74A61B">
      <w:pPr>
        <w:keepNext w:val="0"/>
        <w:keepLines w:val="0"/>
        <w:pageBreakBefore w:val="0"/>
        <w:wordWrap/>
        <w:bidi w:val="0"/>
        <w:adjustRightInd w:val="0"/>
        <w:snapToGrid w:val="0"/>
        <w:rPr>
          <w:rFonts w:hint="default" w:ascii="Times New Roman" w:hAnsi="Times New Roman" w:cs="Times New Roman"/>
          <w:color w:val="auto"/>
          <w:highlight w:val="none"/>
        </w:rPr>
        <w:sectPr>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22F1B23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pacing w:val="11"/>
          <w:position w:val="4"/>
          <w:sz w:val="29"/>
          <w:szCs w:val="29"/>
          <w:highlight w:val="none"/>
        </w:rPr>
        <w:t>一</w:t>
      </w:r>
      <w:r>
        <w:rPr>
          <w:rFonts w:hint="default" w:ascii="Times New Roman" w:hAnsi="Times New Roman" w:eastAsia="黑体" w:cs="Times New Roman"/>
          <w:color w:val="auto"/>
          <w:spacing w:val="8"/>
          <w:position w:val="4"/>
          <w:sz w:val="29"/>
          <w:szCs w:val="29"/>
          <w:highlight w:val="none"/>
        </w:rPr>
        <w:t>、建设项目基本情况</w:t>
      </w:r>
    </w:p>
    <w:tbl>
      <w:tblPr>
        <w:tblStyle w:val="41"/>
        <w:tblW w:w="519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746"/>
        <w:gridCol w:w="2090"/>
        <w:gridCol w:w="1918"/>
        <w:gridCol w:w="3656"/>
      </w:tblGrid>
      <w:tr w14:paraId="7733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928" w:type="pct"/>
            <w:tcBorders>
              <w:left w:val="single" w:color="000000" w:sz="6" w:space="0"/>
            </w:tcBorders>
            <w:vAlign w:val="center"/>
          </w:tcPr>
          <w:p w14:paraId="33678D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建设项目名</w:t>
            </w:r>
            <w:r>
              <w:rPr>
                <w:rFonts w:hint="default" w:ascii="Times New Roman" w:hAnsi="Times New Roman" w:eastAsia="宋体" w:cs="Times New Roman"/>
                <w:color w:val="auto"/>
                <w:spacing w:val="7"/>
                <w:sz w:val="24"/>
                <w:szCs w:val="24"/>
                <w:highlight w:val="none"/>
              </w:rPr>
              <w:t>称</w:t>
            </w:r>
          </w:p>
        </w:tc>
        <w:tc>
          <w:tcPr>
            <w:tcW w:w="4071" w:type="pct"/>
            <w:gridSpan w:val="3"/>
            <w:tcBorders>
              <w:right w:val="single" w:color="000000" w:sz="6" w:space="0"/>
            </w:tcBorders>
            <w:vAlign w:val="center"/>
          </w:tcPr>
          <w:p w14:paraId="484311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新疆东瑞精工管道制造有限公司年产十万件管件生产建设项目</w:t>
            </w:r>
          </w:p>
        </w:tc>
      </w:tr>
      <w:tr w14:paraId="59C7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8" w:hRule="atLeast"/>
          <w:jc w:val="center"/>
        </w:trPr>
        <w:tc>
          <w:tcPr>
            <w:tcW w:w="928" w:type="pct"/>
            <w:tcBorders>
              <w:left w:val="single" w:color="000000" w:sz="6" w:space="0"/>
            </w:tcBorders>
            <w:vAlign w:val="center"/>
          </w:tcPr>
          <w:p w14:paraId="63B77E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项</w:t>
            </w:r>
            <w:r>
              <w:rPr>
                <w:rFonts w:hint="default" w:ascii="Times New Roman" w:hAnsi="Times New Roman" w:eastAsia="宋体" w:cs="Times New Roman"/>
                <w:color w:val="auto"/>
                <w:spacing w:val="6"/>
                <w:sz w:val="24"/>
                <w:szCs w:val="24"/>
                <w:highlight w:val="none"/>
              </w:rPr>
              <w:t>目代码</w:t>
            </w:r>
          </w:p>
        </w:tc>
        <w:tc>
          <w:tcPr>
            <w:tcW w:w="4071" w:type="pct"/>
            <w:gridSpan w:val="3"/>
            <w:tcBorders>
              <w:right w:val="single" w:color="000000" w:sz="6" w:space="0"/>
            </w:tcBorders>
            <w:vAlign w:val="center"/>
          </w:tcPr>
          <w:p w14:paraId="6AF4D95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无</w:t>
            </w:r>
          </w:p>
        </w:tc>
      </w:tr>
      <w:tr w14:paraId="40787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8" w:hRule="atLeast"/>
          <w:jc w:val="center"/>
        </w:trPr>
        <w:tc>
          <w:tcPr>
            <w:tcW w:w="928" w:type="pct"/>
            <w:tcBorders>
              <w:left w:val="single" w:color="000000" w:sz="6" w:space="0"/>
            </w:tcBorders>
            <w:vAlign w:val="center"/>
          </w:tcPr>
          <w:p w14:paraId="162E87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0"/>
                <w:sz w:val="24"/>
                <w:szCs w:val="24"/>
                <w:highlight w:val="none"/>
              </w:rPr>
              <w:t>建</w:t>
            </w:r>
            <w:r>
              <w:rPr>
                <w:rFonts w:hint="default" w:ascii="Times New Roman" w:hAnsi="Times New Roman" w:eastAsia="宋体" w:cs="Times New Roman"/>
                <w:color w:val="auto"/>
                <w:spacing w:val="8"/>
                <w:sz w:val="24"/>
                <w:szCs w:val="24"/>
                <w:highlight w:val="none"/>
              </w:rPr>
              <w:t>设单位联系人</w:t>
            </w:r>
          </w:p>
        </w:tc>
        <w:tc>
          <w:tcPr>
            <w:tcW w:w="1110" w:type="pct"/>
            <w:vAlign w:val="center"/>
          </w:tcPr>
          <w:p w14:paraId="0145CD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pacing w:val="7"/>
                <w:sz w:val="24"/>
                <w:szCs w:val="24"/>
                <w:highlight w:val="none"/>
                <w:lang w:val="en-US" w:eastAsia="zh-CN"/>
              </w:rPr>
              <w:t>张维军</w:t>
            </w:r>
          </w:p>
        </w:tc>
        <w:tc>
          <w:tcPr>
            <w:tcW w:w="1019" w:type="pct"/>
            <w:vAlign w:val="center"/>
          </w:tcPr>
          <w:p w14:paraId="5F8A1B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7"/>
                <w:sz w:val="24"/>
                <w:szCs w:val="24"/>
                <w:highlight w:val="none"/>
              </w:rPr>
              <w:t>联系方式</w:t>
            </w:r>
          </w:p>
        </w:tc>
        <w:tc>
          <w:tcPr>
            <w:tcW w:w="1941" w:type="pct"/>
            <w:tcBorders>
              <w:right w:val="single" w:color="000000" w:sz="6" w:space="0"/>
            </w:tcBorders>
            <w:vAlign w:val="center"/>
          </w:tcPr>
          <w:p w14:paraId="6E7C2C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18167811118</w:t>
            </w:r>
          </w:p>
        </w:tc>
      </w:tr>
      <w:tr w14:paraId="0AFED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2" w:hRule="atLeast"/>
          <w:jc w:val="center"/>
        </w:trPr>
        <w:tc>
          <w:tcPr>
            <w:tcW w:w="928" w:type="pct"/>
            <w:tcBorders>
              <w:left w:val="single" w:color="000000" w:sz="6" w:space="0"/>
            </w:tcBorders>
            <w:vAlign w:val="center"/>
          </w:tcPr>
          <w:p w14:paraId="6C91CD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sz w:val="24"/>
                <w:szCs w:val="24"/>
                <w:highlight w:val="none"/>
              </w:rPr>
              <w:t>建</w:t>
            </w:r>
            <w:r>
              <w:rPr>
                <w:rFonts w:hint="default" w:ascii="Times New Roman" w:hAnsi="Times New Roman" w:eastAsia="宋体" w:cs="Times New Roman"/>
                <w:color w:val="auto"/>
                <w:spacing w:val="6"/>
                <w:sz w:val="24"/>
                <w:szCs w:val="24"/>
                <w:highlight w:val="none"/>
              </w:rPr>
              <w:t>设地点</w:t>
            </w:r>
          </w:p>
        </w:tc>
        <w:tc>
          <w:tcPr>
            <w:tcW w:w="4071" w:type="pct"/>
            <w:gridSpan w:val="3"/>
            <w:tcBorders>
              <w:right w:val="single" w:color="000000" w:sz="6" w:space="0"/>
            </w:tcBorders>
            <w:vAlign w:val="center"/>
          </w:tcPr>
          <w:p w14:paraId="6B9535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pacing w:val="7"/>
                <w:sz w:val="24"/>
                <w:szCs w:val="24"/>
                <w:highlight w:val="none"/>
              </w:rPr>
              <w:t>新疆昌吉回族自治州昌吉市</w:t>
            </w:r>
            <w:r>
              <w:rPr>
                <w:rFonts w:hint="default" w:ascii="Times New Roman" w:hAnsi="Times New Roman" w:eastAsia="宋体" w:cs="Times New Roman"/>
                <w:color w:val="auto"/>
                <w:spacing w:val="7"/>
                <w:sz w:val="24"/>
                <w:szCs w:val="24"/>
                <w:highlight w:val="none"/>
                <w:lang w:val="en-US" w:eastAsia="zh-CN"/>
              </w:rPr>
              <w:t>空港合作区纬三路北侧</w:t>
            </w:r>
          </w:p>
        </w:tc>
      </w:tr>
      <w:tr w14:paraId="27AD8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8" w:hRule="atLeast"/>
          <w:jc w:val="center"/>
        </w:trPr>
        <w:tc>
          <w:tcPr>
            <w:tcW w:w="928" w:type="pct"/>
            <w:tcBorders>
              <w:left w:val="single" w:color="000000" w:sz="6" w:space="0"/>
            </w:tcBorders>
            <w:vAlign w:val="center"/>
          </w:tcPr>
          <w:p w14:paraId="61FAD2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地</w:t>
            </w:r>
            <w:r>
              <w:rPr>
                <w:rFonts w:hint="default" w:ascii="Times New Roman" w:hAnsi="Times New Roman" w:eastAsia="宋体" w:cs="Times New Roman"/>
                <w:color w:val="auto"/>
                <w:spacing w:val="7"/>
                <w:sz w:val="24"/>
                <w:szCs w:val="24"/>
                <w:highlight w:val="none"/>
              </w:rPr>
              <w:t>理坐标</w:t>
            </w:r>
          </w:p>
        </w:tc>
        <w:tc>
          <w:tcPr>
            <w:tcW w:w="4071" w:type="pct"/>
            <w:gridSpan w:val="3"/>
            <w:tcBorders>
              <w:right w:val="single" w:color="000000" w:sz="6" w:space="0"/>
            </w:tcBorders>
            <w:vAlign w:val="center"/>
          </w:tcPr>
          <w:p w14:paraId="7A977D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z w:val="24"/>
                <w:szCs w:val="24"/>
                <w:highlight w:val="none"/>
              </w:rPr>
              <w:t>东经：</w:t>
            </w:r>
            <w:r>
              <w:rPr>
                <w:rFonts w:hint="default" w:ascii="Times New Roman" w:hAnsi="Times New Roman" w:cs="Times New Roman"/>
                <w:b w:val="0"/>
                <w:bCs/>
                <w:color w:val="auto"/>
                <w:sz w:val="24"/>
                <w:highlight w:val="none"/>
                <w:lang w:val="en-US" w:eastAsia="zh-CN"/>
              </w:rPr>
              <w:t>87°14′9.076″</w:t>
            </w:r>
            <w:r>
              <w:rPr>
                <w:rFonts w:hint="default" w:ascii="Times New Roman" w:hAnsi="Times New Roman" w:eastAsia="宋体" w:cs="Times New Roman"/>
                <w:color w:val="auto"/>
                <w:sz w:val="24"/>
                <w:szCs w:val="24"/>
                <w:highlight w:val="none"/>
              </w:rPr>
              <w:t>，北纬：</w:t>
            </w:r>
            <w:r>
              <w:rPr>
                <w:rFonts w:hint="default" w:ascii="Times New Roman" w:hAnsi="Times New Roman" w:cs="Times New Roman"/>
                <w:b w:val="0"/>
                <w:bCs/>
                <w:color w:val="auto"/>
                <w:sz w:val="24"/>
                <w:highlight w:val="none"/>
                <w:lang w:val="en-US" w:eastAsia="zh-CN"/>
              </w:rPr>
              <w:t>43°52′37.392″</w:t>
            </w:r>
            <w:r>
              <w:rPr>
                <w:rFonts w:hint="default" w:ascii="Times New Roman" w:hAnsi="Times New Roman" w:eastAsia="宋体" w:cs="Times New Roman"/>
                <w:color w:val="auto"/>
                <w:sz w:val="24"/>
                <w:szCs w:val="24"/>
                <w:highlight w:val="none"/>
                <w:lang w:eastAsia="zh-CN"/>
              </w:rPr>
              <w:t>）</w:t>
            </w:r>
          </w:p>
        </w:tc>
      </w:tr>
      <w:tr w14:paraId="2D604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76" w:hRule="atLeast"/>
          <w:jc w:val="center"/>
        </w:trPr>
        <w:tc>
          <w:tcPr>
            <w:tcW w:w="928" w:type="pct"/>
            <w:tcBorders>
              <w:left w:val="single" w:color="000000" w:sz="6" w:space="0"/>
            </w:tcBorders>
            <w:vAlign w:val="center"/>
          </w:tcPr>
          <w:p w14:paraId="17B9E5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position w:val="4"/>
                <w:sz w:val="24"/>
                <w:szCs w:val="24"/>
                <w:highlight w:val="none"/>
              </w:rPr>
              <w:t>国</w:t>
            </w:r>
            <w:r>
              <w:rPr>
                <w:rFonts w:hint="default" w:ascii="Times New Roman" w:hAnsi="Times New Roman" w:eastAsia="宋体" w:cs="Times New Roman"/>
                <w:color w:val="auto"/>
                <w:spacing w:val="2"/>
                <w:position w:val="4"/>
                <w:sz w:val="24"/>
                <w:szCs w:val="24"/>
                <w:highlight w:val="none"/>
              </w:rPr>
              <w:t>民经济</w:t>
            </w:r>
          </w:p>
          <w:p w14:paraId="09555B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行</w:t>
            </w:r>
            <w:r>
              <w:rPr>
                <w:rFonts w:hint="default" w:ascii="Times New Roman" w:hAnsi="Times New Roman" w:eastAsia="宋体" w:cs="Times New Roman"/>
                <w:color w:val="auto"/>
                <w:spacing w:val="6"/>
                <w:sz w:val="24"/>
                <w:szCs w:val="24"/>
                <w:highlight w:val="none"/>
              </w:rPr>
              <w:t>业类别</w:t>
            </w:r>
          </w:p>
        </w:tc>
        <w:tc>
          <w:tcPr>
            <w:tcW w:w="1110" w:type="pct"/>
            <w:vAlign w:val="center"/>
          </w:tcPr>
          <w:p w14:paraId="7E174A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金属结构制造</w:t>
            </w:r>
          </w:p>
          <w:p w14:paraId="454B29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highlight w:val="none"/>
              </w:rPr>
              <w:t>（C</w:t>
            </w:r>
            <w:r>
              <w:rPr>
                <w:rFonts w:hint="default" w:ascii="Times New Roman" w:hAnsi="Times New Roman" w:eastAsia="宋体" w:cs="Times New Roman"/>
                <w:color w:val="auto"/>
                <w:sz w:val="24"/>
                <w:highlight w:val="none"/>
                <w:lang w:val="en-US" w:eastAsia="zh-CN"/>
              </w:rPr>
              <w:t>3311</w:t>
            </w:r>
            <w:r>
              <w:rPr>
                <w:rFonts w:hint="eastAsia" w:ascii="Times New Roman" w:hAnsi="Times New Roman" w:eastAsia="宋体" w:cs="Times New Roman"/>
                <w:color w:val="auto"/>
                <w:sz w:val="24"/>
                <w:highlight w:val="none"/>
                <w:lang w:val="en-US" w:eastAsia="zh-CN"/>
              </w:rPr>
              <w:t>)</w:t>
            </w:r>
          </w:p>
        </w:tc>
        <w:tc>
          <w:tcPr>
            <w:tcW w:w="1019" w:type="pct"/>
            <w:tcBorders>
              <w:top w:val="single" w:color="auto" w:sz="4" w:space="0"/>
            </w:tcBorders>
            <w:vAlign w:val="center"/>
          </w:tcPr>
          <w:p w14:paraId="59A3DEF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position w:val="4"/>
                <w:sz w:val="24"/>
                <w:szCs w:val="24"/>
                <w:highlight w:val="none"/>
              </w:rPr>
              <w:t>建</w:t>
            </w:r>
            <w:r>
              <w:rPr>
                <w:rFonts w:hint="default" w:ascii="Times New Roman" w:hAnsi="Times New Roman" w:eastAsia="宋体" w:cs="Times New Roman"/>
                <w:color w:val="auto"/>
                <w:spacing w:val="6"/>
                <w:position w:val="4"/>
                <w:sz w:val="24"/>
                <w:szCs w:val="24"/>
                <w:highlight w:val="none"/>
              </w:rPr>
              <w:t>设项目</w:t>
            </w:r>
          </w:p>
          <w:p w14:paraId="736A37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行</w:t>
            </w:r>
            <w:r>
              <w:rPr>
                <w:rFonts w:hint="default" w:ascii="Times New Roman" w:hAnsi="Times New Roman" w:eastAsia="宋体" w:cs="Times New Roman"/>
                <w:color w:val="auto"/>
                <w:spacing w:val="6"/>
                <w:sz w:val="24"/>
                <w:szCs w:val="24"/>
                <w:highlight w:val="none"/>
              </w:rPr>
              <w:t>业类别</w:t>
            </w:r>
          </w:p>
        </w:tc>
        <w:tc>
          <w:tcPr>
            <w:tcW w:w="1941" w:type="pct"/>
            <w:tcBorders>
              <w:right w:val="single" w:color="000000" w:sz="6" w:space="0"/>
            </w:tcBorders>
            <w:vAlign w:val="center"/>
          </w:tcPr>
          <w:p w14:paraId="707B98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三十、金属制品业33</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val="en-US" w:eastAsia="zh-CN"/>
              </w:rPr>
              <w:t>结构性金属制品制造331；</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val="en-US" w:eastAsia="zh-CN"/>
              </w:rPr>
              <w:t>其他</w:t>
            </w:r>
            <w:r>
              <w:rPr>
                <w:rFonts w:hint="default" w:ascii="Times New Roman" w:hAnsi="Times New Roman" w:cs="Times New Roman"/>
                <w:color w:val="auto"/>
                <w:sz w:val="24"/>
                <w:highlight w:val="none"/>
              </w:rPr>
              <w:t>”</w:t>
            </w:r>
          </w:p>
        </w:tc>
      </w:tr>
      <w:tr w14:paraId="7B0A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9" w:hRule="atLeast"/>
          <w:jc w:val="center"/>
        </w:trPr>
        <w:tc>
          <w:tcPr>
            <w:tcW w:w="928" w:type="pct"/>
            <w:tcBorders>
              <w:left w:val="single" w:color="000000" w:sz="6" w:space="0"/>
            </w:tcBorders>
            <w:vAlign w:val="center"/>
          </w:tcPr>
          <w:p w14:paraId="02B4A9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sz w:val="24"/>
                <w:szCs w:val="24"/>
                <w:highlight w:val="none"/>
              </w:rPr>
              <w:t>建</w:t>
            </w:r>
            <w:r>
              <w:rPr>
                <w:rFonts w:hint="default" w:ascii="Times New Roman" w:hAnsi="Times New Roman" w:eastAsia="宋体" w:cs="Times New Roman"/>
                <w:color w:val="auto"/>
                <w:spacing w:val="6"/>
                <w:sz w:val="24"/>
                <w:szCs w:val="24"/>
                <w:highlight w:val="none"/>
              </w:rPr>
              <w:t>设性质</w:t>
            </w:r>
          </w:p>
        </w:tc>
        <w:tc>
          <w:tcPr>
            <w:tcW w:w="1110" w:type="pct"/>
            <w:vAlign w:val="center"/>
          </w:tcPr>
          <w:p w14:paraId="549441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4"/>
                <w:sz w:val="24"/>
                <w:szCs w:val="24"/>
                <w:highlight w:val="none"/>
                <w:lang w:eastAsia="zh-CN"/>
              </w:rPr>
              <w:t>☑</w:t>
            </w:r>
            <w:r>
              <w:rPr>
                <w:rFonts w:hint="default" w:ascii="Times New Roman" w:hAnsi="Times New Roman" w:eastAsia="宋体" w:cs="Times New Roman"/>
                <w:color w:val="auto"/>
                <w:spacing w:val="4"/>
                <w:sz w:val="24"/>
                <w:szCs w:val="24"/>
                <w:highlight w:val="none"/>
              </w:rPr>
              <w:t>新建</w:t>
            </w:r>
            <w:r>
              <w:rPr>
                <w:rFonts w:hint="default" w:ascii="Times New Roman" w:hAnsi="Times New Roman" w:eastAsia="宋体" w:cs="Times New Roman"/>
                <w:color w:val="auto"/>
                <w:spacing w:val="4"/>
                <w:sz w:val="24"/>
                <w:szCs w:val="24"/>
                <w:highlight w:val="none"/>
                <w:lang w:eastAsia="zh-CN"/>
              </w:rPr>
              <w:t>（</w:t>
            </w:r>
            <w:r>
              <w:rPr>
                <w:rFonts w:hint="default" w:ascii="Times New Roman" w:hAnsi="Times New Roman" w:eastAsia="宋体" w:cs="Times New Roman"/>
                <w:color w:val="auto"/>
                <w:spacing w:val="4"/>
                <w:sz w:val="24"/>
                <w:szCs w:val="24"/>
                <w:highlight w:val="none"/>
              </w:rPr>
              <w:t>迁建</w:t>
            </w:r>
            <w:r>
              <w:rPr>
                <w:rFonts w:hint="default" w:ascii="Times New Roman" w:hAnsi="Times New Roman" w:eastAsia="宋体" w:cs="Times New Roman"/>
                <w:color w:val="auto"/>
                <w:spacing w:val="2"/>
                <w:sz w:val="24"/>
                <w:szCs w:val="24"/>
                <w:highlight w:val="none"/>
                <w:lang w:eastAsia="zh-CN"/>
              </w:rPr>
              <w:t>）</w:t>
            </w:r>
          </w:p>
          <w:p w14:paraId="41ED7C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lang w:eastAsia="zh-CN"/>
              </w:rPr>
              <w:t>□</w:t>
            </w:r>
            <w:r>
              <w:rPr>
                <w:rFonts w:hint="default" w:ascii="Times New Roman" w:hAnsi="Times New Roman" w:eastAsia="宋体" w:cs="Times New Roman"/>
                <w:color w:val="auto"/>
                <w:sz w:val="24"/>
                <w:szCs w:val="24"/>
                <w:highlight w:val="none"/>
              </w:rPr>
              <w:t>改建</w:t>
            </w:r>
          </w:p>
          <w:p w14:paraId="21B565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lang w:eastAsia="zh-CN"/>
              </w:rPr>
              <w:t>□</w:t>
            </w:r>
            <w:r>
              <w:rPr>
                <w:rFonts w:hint="default" w:ascii="Times New Roman" w:hAnsi="Times New Roman" w:eastAsia="宋体" w:cs="Times New Roman"/>
                <w:color w:val="auto"/>
                <w:sz w:val="24"/>
                <w:szCs w:val="24"/>
                <w:highlight w:val="none"/>
              </w:rPr>
              <w:t>扩建</w:t>
            </w:r>
          </w:p>
          <w:p w14:paraId="56E639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lang w:eastAsia="zh-CN"/>
              </w:rPr>
              <w:t>□</w:t>
            </w:r>
            <w:r>
              <w:rPr>
                <w:rFonts w:hint="default" w:ascii="Times New Roman" w:hAnsi="Times New Roman" w:eastAsia="宋体" w:cs="Times New Roman"/>
                <w:color w:val="auto"/>
                <w:spacing w:val="4"/>
                <w:sz w:val="24"/>
                <w:szCs w:val="24"/>
                <w:highlight w:val="none"/>
              </w:rPr>
              <w:t>技术改</w:t>
            </w:r>
            <w:r>
              <w:rPr>
                <w:rFonts w:hint="default" w:ascii="Times New Roman" w:hAnsi="Times New Roman" w:eastAsia="宋体" w:cs="Times New Roman"/>
                <w:color w:val="auto"/>
                <w:spacing w:val="3"/>
                <w:sz w:val="24"/>
                <w:szCs w:val="24"/>
                <w:highlight w:val="none"/>
              </w:rPr>
              <w:t>造</w:t>
            </w:r>
          </w:p>
        </w:tc>
        <w:tc>
          <w:tcPr>
            <w:tcW w:w="1019" w:type="pct"/>
            <w:vAlign w:val="center"/>
          </w:tcPr>
          <w:p w14:paraId="60DB8C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position w:val="4"/>
                <w:sz w:val="24"/>
                <w:szCs w:val="24"/>
                <w:highlight w:val="none"/>
              </w:rPr>
              <w:t>建</w:t>
            </w:r>
            <w:r>
              <w:rPr>
                <w:rFonts w:hint="default" w:ascii="Times New Roman" w:hAnsi="Times New Roman" w:eastAsia="宋体" w:cs="Times New Roman"/>
                <w:color w:val="auto"/>
                <w:spacing w:val="6"/>
                <w:position w:val="4"/>
                <w:sz w:val="24"/>
                <w:szCs w:val="24"/>
                <w:highlight w:val="none"/>
              </w:rPr>
              <w:t>设项目</w:t>
            </w:r>
          </w:p>
          <w:p w14:paraId="2D299F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申报</w:t>
            </w:r>
            <w:r>
              <w:rPr>
                <w:rFonts w:hint="default" w:ascii="Times New Roman" w:hAnsi="Times New Roman" w:eastAsia="宋体" w:cs="Times New Roman"/>
                <w:color w:val="auto"/>
                <w:sz w:val="24"/>
                <w:szCs w:val="24"/>
                <w:highlight w:val="none"/>
              </w:rPr>
              <w:t>情形</w:t>
            </w:r>
          </w:p>
        </w:tc>
        <w:tc>
          <w:tcPr>
            <w:tcW w:w="1941" w:type="pct"/>
            <w:tcBorders>
              <w:right w:val="single" w:color="000000" w:sz="6" w:space="0"/>
            </w:tcBorders>
            <w:vAlign w:val="center"/>
          </w:tcPr>
          <w:p w14:paraId="0C9632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lang w:eastAsia="zh-CN"/>
              </w:rPr>
              <w:t>☑</w:t>
            </w:r>
            <w:r>
              <w:rPr>
                <w:rFonts w:hint="default" w:ascii="Times New Roman" w:hAnsi="Times New Roman" w:eastAsia="宋体" w:cs="Times New Roman"/>
                <w:color w:val="auto"/>
                <w:spacing w:val="16"/>
                <w:sz w:val="24"/>
                <w:szCs w:val="24"/>
                <w:highlight w:val="none"/>
              </w:rPr>
              <w:t>首</w:t>
            </w:r>
            <w:r>
              <w:rPr>
                <w:rFonts w:hint="default" w:ascii="Times New Roman" w:hAnsi="Times New Roman" w:eastAsia="宋体" w:cs="Times New Roman"/>
                <w:color w:val="auto"/>
                <w:spacing w:val="12"/>
                <w:sz w:val="24"/>
                <w:szCs w:val="24"/>
                <w:highlight w:val="none"/>
              </w:rPr>
              <w:t>次申报项目</w:t>
            </w:r>
          </w:p>
          <w:p w14:paraId="5E6ED8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pacing w:val="7"/>
                <w:sz w:val="24"/>
                <w:szCs w:val="24"/>
                <w:highlight w:val="none"/>
              </w:rPr>
            </w:pPr>
            <w:r>
              <w:rPr>
                <w:rFonts w:hint="default" w:ascii="Times New Roman" w:hAnsi="Times New Roman" w:eastAsia="宋体" w:cs="Times New Roman"/>
                <w:color w:val="auto"/>
                <w:spacing w:val="11"/>
                <w:sz w:val="24"/>
                <w:szCs w:val="24"/>
                <w:highlight w:val="none"/>
                <w:lang w:eastAsia="zh-CN"/>
              </w:rPr>
              <w:t>□</w:t>
            </w:r>
            <w:r>
              <w:rPr>
                <w:rFonts w:hint="default" w:ascii="Times New Roman" w:hAnsi="Times New Roman" w:eastAsia="宋体" w:cs="Times New Roman"/>
                <w:color w:val="auto"/>
                <w:spacing w:val="7"/>
                <w:sz w:val="24"/>
                <w:szCs w:val="24"/>
                <w:highlight w:val="none"/>
              </w:rPr>
              <w:t>不予批准后再次申报项目</w:t>
            </w:r>
          </w:p>
          <w:p w14:paraId="700BDB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lang w:eastAsia="zh-CN"/>
              </w:rPr>
              <w:t>□</w:t>
            </w:r>
            <w:r>
              <w:rPr>
                <w:rFonts w:hint="default" w:ascii="Times New Roman" w:hAnsi="Times New Roman" w:eastAsia="宋体" w:cs="Times New Roman"/>
                <w:color w:val="auto"/>
                <w:spacing w:val="12"/>
                <w:sz w:val="24"/>
                <w:szCs w:val="24"/>
                <w:highlight w:val="none"/>
              </w:rPr>
              <w:t>超五年重新审核项</w:t>
            </w:r>
            <w:r>
              <w:rPr>
                <w:rFonts w:hint="default" w:ascii="Times New Roman" w:hAnsi="Times New Roman" w:eastAsia="宋体" w:cs="Times New Roman"/>
                <w:color w:val="auto"/>
                <w:spacing w:val="11"/>
                <w:sz w:val="24"/>
                <w:szCs w:val="24"/>
                <w:highlight w:val="none"/>
              </w:rPr>
              <w:t>目</w:t>
            </w:r>
          </w:p>
          <w:p w14:paraId="21B0F4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lang w:eastAsia="zh-CN"/>
              </w:rPr>
              <w:t>□</w:t>
            </w:r>
            <w:r>
              <w:rPr>
                <w:rFonts w:hint="default" w:ascii="Times New Roman" w:hAnsi="Times New Roman" w:eastAsia="宋体" w:cs="Times New Roman"/>
                <w:color w:val="auto"/>
                <w:spacing w:val="8"/>
                <w:sz w:val="24"/>
                <w:szCs w:val="24"/>
                <w:highlight w:val="none"/>
              </w:rPr>
              <w:t>重大变动重新报批项目</w:t>
            </w:r>
          </w:p>
        </w:tc>
      </w:tr>
      <w:tr w14:paraId="5D8AA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72" w:hRule="atLeast"/>
          <w:jc w:val="center"/>
        </w:trPr>
        <w:tc>
          <w:tcPr>
            <w:tcW w:w="928" w:type="pct"/>
            <w:tcBorders>
              <w:left w:val="single" w:color="000000" w:sz="6" w:space="0"/>
            </w:tcBorders>
            <w:vAlign w:val="center"/>
          </w:tcPr>
          <w:p w14:paraId="1B9A95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8"/>
                <w:sz w:val="24"/>
                <w:szCs w:val="24"/>
                <w:highlight w:val="none"/>
              </w:rPr>
              <w:t>项</w:t>
            </w:r>
            <w:r>
              <w:rPr>
                <w:rFonts w:hint="default" w:ascii="Times New Roman" w:hAnsi="Times New Roman" w:eastAsia="宋体" w:cs="Times New Roman"/>
                <w:color w:val="auto"/>
                <w:spacing w:val="7"/>
                <w:sz w:val="24"/>
                <w:szCs w:val="24"/>
                <w:highlight w:val="none"/>
              </w:rPr>
              <w:t>目审批</w:t>
            </w:r>
            <w:r>
              <w:rPr>
                <w:rFonts w:hint="default" w:ascii="Times New Roman" w:hAnsi="Times New Roman" w:eastAsia="宋体" w:cs="Times New Roman"/>
                <w:color w:val="auto"/>
                <w:spacing w:val="7"/>
                <w:sz w:val="24"/>
                <w:szCs w:val="24"/>
                <w:highlight w:val="none"/>
                <w:lang w:eastAsia="zh-CN"/>
              </w:rPr>
              <w:t>（</w:t>
            </w:r>
            <w:r>
              <w:rPr>
                <w:rFonts w:hint="default" w:ascii="Times New Roman" w:hAnsi="Times New Roman" w:eastAsia="宋体" w:cs="Times New Roman"/>
                <w:color w:val="auto"/>
                <w:spacing w:val="7"/>
                <w:sz w:val="24"/>
                <w:szCs w:val="24"/>
                <w:highlight w:val="none"/>
              </w:rPr>
              <w:t>核准/</w:t>
            </w:r>
            <w:r>
              <w:rPr>
                <w:rFonts w:hint="default" w:ascii="Times New Roman" w:hAnsi="Times New Roman" w:eastAsia="宋体" w:cs="Times New Roman"/>
                <w:color w:val="auto"/>
                <w:spacing w:val="9"/>
                <w:sz w:val="24"/>
                <w:szCs w:val="24"/>
                <w:highlight w:val="none"/>
              </w:rPr>
              <w:t>备</w:t>
            </w:r>
            <w:r>
              <w:rPr>
                <w:rFonts w:hint="default" w:ascii="Times New Roman" w:hAnsi="Times New Roman" w:eastAsia="宋体" w:cs="Times New Roman"/>
                <w:color w:val="auto"/>
                <w:spacing w:val="5"/>
                <w:sz w:val="24"/>
                <w:szCs w:val="24"/>
                <w:highlight w:val="none"/>
              </w:rPr>
              <w:t>案</w:t>
            </w:r>
            <w:r>
              <w:rPr>
                <w:rFonts w:hint="default" w:ascii="Times New Roman" w:hAnsi="Times New Roman" w:eastAsia="宋体" w:cs="Times New Roman"/>
                <w:color w:val="auto"/>
                <w:spacing w:val="5"/>
                <w:sz w:val="24"/>
                <w:szCs w:val="24"/>
                <w:highlight w:val="none"/>
                <w:lang w:eastAsia="zh-CN"/>
              </w:rPr>
              <w:t>）</w:t>
            </w:r>
            <w:r>
              <w:rPr>
                <w:rFonts w:hint="default" w:ascii="Times New Roman" w:hAnsi="Times New Roman" w:eastAsia="宋体" w:cs="Times New Roman"/>
                <w:color w:val="auto"/>
                <w:spacing w:val="5"/>
                <w:sz w:val="24"/>
                <w:szCs w:val="24"/>
                <w:highlight w:val="none"/>
              </w:rPr>
              <w:t>部门</w:t>
            </w:r>
            <w:r>
              <w:rPr>
                <w:rFonts w:hint="default" w:ascii="Times New Roman" w:hAnsi="Times New Roman" w:eastAsia="宋体" w:cs="Times New Roman"/>
                <w:color w:val="auto"/>
                <w:spacing w:val="5"/>
                <w:sz w:val="24"/>
                <w:szCs w:val="24"/>
                <w:highlight w:val="none"/>
                <w:lang w:eastAsia="zh-CN"/>
              </w:rPr>
              <w:t>（</w:t>
            </w:r>
            <w:r>
              <w:rPr>
                <w:rFonts w:hint="default" w:ascii="Times New Roman" w:hAnsi="Times New Roman" w:eastAsia="宋体" w:cs="Times New Roman"/>
                <w:color w:val="auto"/>
                <w:spacing w:val="5"/>
                <w:sz w:val="24"/>
                <w:szCs w:val="24"/>
                <w:highlight w:val="none"/>
              </w:rPr>
              <w:t>选填</w:t>
            </w:r>
            <w:r>
              <w:rPr>
                <w:rFonts w:hint="default" w:ascii="Times New Roman" w:hAnsi="Times New Roman" w:eastAsia="宋体" w:cs="Times New Roman"/>
                <w:color w:val="auto"/>
                <w:spacing w:val="5"/>
                <w:sz w:val="24"/>
                <w:szCs w:val="24"/>
                <w:highlight w:val="none"/>
                <w:lang w:eastAsia="zh-CN"/>
              </w:rPr>
              <w:t>）</w:t>
            </w:r>
          </w:p>
        </w:tc>
        <w:tc>
          <w:tcPr>
            <w:tcW w:w="1110" w:type="pct"/>
            <w:vAlign w:val="center"/>
          </w:tcPr>
          <w:p w14:paraId="59C80A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color w:val="auto"/>
                <w:highlight w:val="none"/>
                <w:lang w:val="en-US" w:eastAsia="zh-CN"/>
              </w:rPr>
            </w:pPr>
            <w:r>
              <w:rPr>
                <w:rFonts w:hint="eastAsia" w:ascii="Times New Roman" w:hAnsi="Times New Roman" w:eastAsia="宋体" w:cs="Times New Roman"/>
                <w:color w:val="auto"/>
                <w:spacing w:val="7"/>
                <w:sz w:val="24"/>
                <w:szCs w:val="24"/>
                <w:highlight w:val="none"/>
                <w:lang w:val="en-US" w:eastAsia="zh-CN"/>
              </w:rPr>
              <w:t>无</w:t>
            </w:r>
          </w:p>
        </w:tc>
        <w:tc>
          <w:tcPr>
            <w:tcW w:w="1019" w:type="pct"/>
            <w:vAlign w:val="center"/>
          </w:tcPr>
          <w:p w14:paraId="74A03BF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7"/>
                <w:sz w:val="24"/>
                <w:szCs w:val="24"/>
                <w:highlight w:val="none"/>
              </w:rPr>
              <w:t>项目审批</w:t>
            </w:r>
            <w:r>
              <w:rPr>
                <w:rFonts w:hint="default" w:ascii="Times New Roman" w:hAnsi="Times New Roman" w:eastAsia="宋体" w:cs="Times New Roman"/>
                <w:color w:val="auto"/>
                <w:spacing w:val="7"/>
                <w:sz w:val="24"/>
                <w:szCs w:val="24"/>
                <w:highlight w:val="none"/>
                <w:lang w:eastAsia="zh-CN"/>
              </w:rPr>
              <w:t>（</w:t>
            </w:r>
            <w:r>
              <w:rPr>
                <w:rFonts w:hint="default" w:ascii="Times New Roman" w:hAnsi="Times New Roman" w:eastAsia="宋体" w:cs="Times New Roman"/>
                <w:color w:val="auto"/>
                <w:spacing w:val="7"/>
                <w:sz w:val="24"/>
                <w:szCs w:val="24"/>
                <w:highlight w:val="none"/>
              </w:rPr>
              <w:t>核准</w:t>
            </w:r>
            <w:r>
              <w:rPr>
                <w:rFonts w:hint="default" w:ascii="Times New Roman" w:hAnsi="Times New Roman" w:eastAsia="宋体" w:cs="Times New Roman"/>
                <w:color w:val="auto"/>
                <w:spacing w:val="5"/>
                <w:sz w:val="24"/>
                <w:szCs w:val="24"/>
                <w:highlight w:val="none"/>
              </w:rPr>
              <w:t>/</w:t>
            </w:r>
            <w:r>
              <w:rPr>
                <w:rFonts w:hint="default" w:ascii="Times New Roman" w:hAnsi="Times New Roman" w:eastAsia="宋体" w:cs="Times New Roman"/>
                <w:color w:val="auto"/>
                <w:spacing w:val="9"/>
                <w:sz w:val="24"/>
                <w:szCs w:val="24"/>
                <w:highlight w:val="none"/>
              </w:rPr>
              <w:t>备</w:t>
            </w:r>
            <w:r>
              <w:rPr>
                <w:rFonts w:hint="default" w:ascii="Times New Roman" w:hAnsi="Times New Roman" w:eastAsia="宋体" w:cs="Times New Roman"/>
                <w:color w:val="auto"/>
                <w:spacing w:val="5"/>
                <w:sz w:val="24"/>
                <w:szCs w:val="24"/>
                <w:highlight w:val="none"/>
              </w:rPr>
              <w:t>案</w:t>
            </w:r>
            <w:r>
              <w:rPr>
                <w:rFonts w:hint="default" w:ascii="Times New Roman" w:hAnsi="Times New Roman" w:eastAsia="宋体" w:cs="Times New Roman"/>
                <w:color w:val="auto"/>
                <w:spacing w:val="5"/>
                <w:sz w:val="24"/>
                <w:szCs w:val="24"/>
                <w:highlight w:val="none"/>
                <w:lang w:eastAsia="zh-CN"/>
              </w:rPr>
              <w:t>）</w:t>
            </w:r>
            <w:r>
              <w:rPr>
                <w:rFonts w:hint="default" w:ascii="Times New Roman" w:hAnsi="Times New Roman" w:eastAsia="宋体" w:cs="Times New Roman"/>
                <w:color w:val="auto"/>
                <w:spacing w:val="5"/>
                <w:sz w:val="24"/>
                <w:szCs w:val="24"/>
                <w:highlight w:val="none"/>
              </w:rPr>
              <w:t>文号</w:t>
            </w:r>
            <w:r>
              <w:rPr>
                <w:rFonts w:hint="default" w:ascii="Times New Roman" w:hAnsi="Times New Roman" w:eastAsia="宋体" w:cs="Times New Roman"/>
                <w:color w:val="auto"/>
                <w:spacing w:val="5"/>
                <w:sz w:val="24"/>
                <w:szCs w:val="24"/>
                <w:highlight w:val="none"/>
                <w:lang w:eastAsia="zh-CN"/>
              </w:rPr>
              <w:t>（</w:t>
            </w:r>
            <w:r>
              <w:rPr>
                <w:rFonts w:hint="default" w:ascii="Times New Roman" w:hAnsi="Times New Roman" w:eastAsia="宋体" w:cs="Times New Roman"/>
                <w:color w:val="auto"/>
                <w:spacing w:val="5"/>
                <w:sz w:val="24"/>
                <w:szCs w:val="24"/>
                <w:highlight w:val="none"/>
              </w:rPr>
              <w:t>选填</w:t>
            </w:r>
            <w:r>
              <w:rPr>
                <w:rFonts w:hint="default" w:ascii="Times New Roman" w:hAnsi="Times New Roman" w:eastAsia="宋体" w:cs="Times New Roman"/>
                <w:color w:val="auto"/>
                <w:spacing w:val="5"/>
                <w:sz w:val="24"/>
                <w:szCs w:val="24"/>
                <w:highlight w:val="none"/>
                <w:lang w:eastAsia="zh-CN"/>
              </w:rPr>
              <w:t>）</w:t>
            </w:r>
          </w:p>
        </w:tc>
        <w:tc>
          <w:tcPr>
            <w:tcW w:w="1941" w:type="pct"/>
            <w:tcBorders>
              <w:right w:val="single" w:color="000000" w:sz="6" w:space="0"/>
            </w:tcBorders>
            <w:vAlign w:val="center"/>
          </w:tcPr>
          <w:p w14:paraId="67D516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无</w:t>
            </w:r>
          </w:p>
        </w:tc>
      </w:tr>
      <w:tr w14:paraId="35392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8" w:hRule="atLeast"/>
          <w:jc w:val="center"/>
        </w:trPr>
        <w:tc>
          <w:tcPr>
            <w:tcW w:w="928" w:type="pct"/>
            <w:tcBorders>
              <w:left w:val="single" w:color="000000" w:sz="6" w:space="0"/>
            </w:tcBorders>
            <w:vAlign w:val="center"/>
          </w:tcPr>
          <w:p w14:paraId="0C98E3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6"/>
                <w:sz w:val="24"/>
                <w:szCs w:val="24"/>
                <w:highlight w:val="none"/>
              </w:rPr>
              <w:t>总投资</w:t>
            </w:r>
            <w:r>
              <w:rPr>
                <w:rFonts w:hint="default" w:ascii="Times New Roman" w:hAnsi="Times New Roman" w:eastAsia="宋体" w:cs="Times New Roman"/>
                <w:color w:val="auto"/>
                <w:spacing w:val="6"/>
                <w:sz w:val="24"/>
                <w:szCs w:val="24"/>
                <w:highlight w:val="none"/>
                <w:lang w:eastAsia="zh-CN"/>
              </w:rPr>
              <w:t>（</w:t>
            </w:r>
            <w:r>
              <w:rPr>
                <w:rFonts w:hint="default" w:ascii="Times New Roman" w:hAnsi="Times New Roman" w:eastAsia="宋体" w:cs="Times New Roman"/>
                <w:color w:val="auto"/>
                <w:spacing w:val="6"/>
                <w:sz w:val="24"/>
                <w:szCs w:val="24"/>
                <w:highlight w:val="none"/>
              </w:rPr>
              <w:t>万元</w:t>
            </w:r>
            <w:r>
              <w:rPr>
                <w:rFonts w:hint="default" w:ascii="Times New Roman" w:hAnsi="Times New Roman" w:eastAsia="宋体" w:cs="Times New Roman"/>
                <w:color w:val="auto"/>
                <w:spacing w:val="5"/>
                <w:sz w:val="24"/>
                <w:szCs w:val="24"/>
                <w:highlight w:val="none"/>
                <w:lang w:eastAsia="zh-CN"/>
              </w:rPr>
              <w:t>）</w:t>
            </w:r>
          </w:p>
        </w:tc>
        <w:tc>
          <w:tcPr>
            <w:tcW w:w="1110" w:type="pct"/>
            <w:vAlign w:val="center"/>
          </w:tcPr>
          <w:p w14:paraId="211D22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2500</w:t>
            </w:r>
          </w:p>
        </w:tc>
        <w:tc>
          <w:tcPr>
            <w:tcW w:w="1019" w:type="pct"/>
            <w:vAlign w:val="center"/>
          </w:tcPr>
          <w:p w14:paraId="696395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12"/>
                <w:sz w:val="24"/>
                <w:szCs w:val="24"/>
                <w:highlight w:val="none"/>
              </w:rPr>
              <w:t>环</w:t>
            </w:r>
            <w:r>
              <w:rPr>
                <w:rFonts w:hint="default" w:ascii="Times New Roman" w:hAnsi="Times New Roman" w:eastAsia="宋体" w:cs="Times New Roman"/>
                <w:color w:val="auto"/>
                <w:spacing w:val="6"/>
                <w:sz w:val="24"/>
                <w:szCs w:val="24"/>
                <w:highlight w:val="none"/>
              </w:rPr>
              <w:t>保投资</w:t>
            </w:r>
          </w:p>
          <w:p w14:paraId="160800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6"/>
                <w:sz w:val="24"/>
                <w:szCs w:val="24"/>
                <w:highlight w:val="none"/>
                <w:lang w:eastAsia="zh-CN"/>
              </w:rPr>
              <w:t>（</w:t>
            </w:r>
            <w:r>
              <w:rPr>
                <w:rFonts w:hint="default" w:ascii="Times New Roman" w:hAnsi="Times New Roman" w:eastAsia="宋体" w:cs="Times New Roman"/>
                <w:color w:val="auto"/>
                <w:spacing w:val="6"/>
                <w:sz w:val="24"/>
                <w:szCs w:val="24"/>
                <w:highlight w:val="none"/>
              </w:rPr>
              <w:t>万元</w:t>
            </w:r>
            <w:r>
              <w:rPr>
                <w:rFonts w:hint="default" w:ascii="Times New Roman" w:hAnsi="Times New Roman" w:eastAsia="宋体" w:cs="Times New Roman"/>
                <w:color w:val="auto"/>
                <w:spacing w:val="6"/>
                <w:sz w:val="24"/>
                <w:szCs w:val="24"/>
                <w:highlight w:val="none"/>
                <w:lang w:eastAsia="zh-CN"/>
              </w:rPr>
              <w:t>）</w:t>
            </w:r>
          </w:p>
        </w:tc>
        <w:tc>
          <w:tcPr>
            <w:tcW w:w="1941" w:type="pct"/>
            <w:tcBorders>
              <w:right w:val="single" w:color="000000" w:sz="6" w:space="0"/>
            </w:tcBorders>
            <w:vAlign w:val="center"/>
          </w:tcPr>
          <w:p w14:paraId="7476D6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99</w:t>
            </w:r>
          </w:p>
        </w:tc>
      </w:tr>
      <w:tr w14:paraId="72364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8" w:hRule="atLeast"/>
          <w:jc w:val="center"/>
        </w:trPr>
        <w:tc>
          <w:tcPr>
            <w:tcW w:w="928" w:type="pct"/>
            <w:tcBorders>
              <w:left w:val="single" w:color="000000" w:sz="6" w:space="0"/>
            </w:tcBorders>
            <w:vAlign w:val="center"/>
          </w:tcPr>
          <w:p w14:paraId="46DA9B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11"/>
                <w:sz w:val="24"/>
                <w:szCs w:val="24"/>
                <w:highlight w:val="none"/>
              </w:rPr>
              <w:t>环</w:t>
            </w:r>
            <w:r>
              <w:rPr>
                <w:rFonts w:hint="default" w:ascii="Times New Roman" w:hAnsi="Times New Roman" w:eastAsia="宋体" w:cs="Times New Roman"/>
                <w:color w:val="auto"/>
                <w:spacing w:val="6"/>
                <w:sz w:val="24"/>
                <w:szCs w:val="24"/>
                <w:highlight w:val="none"/>
              </w:rPr>
              <w:t>保投资占比</w:t>
            </w:r>
            <w:r>
              <w:rPr>
                <w:rFonts w:hint="default" w:ascii="Times New Roman" w:hAnsi="Times New Roman" w:eastAsia="宋体" w:cs="Times New Roman"/>
                <w:color w:val="auto"/>
                <w:spacing w:val="6"/>
                <w:sz w:val="24"/>
                <w:szCs w:val="24"/>
                <w:highlight w:val="none"/>
                <w:lang w:eastAsia="zh-CN"/>
              </w:rPr>
              <w:t>（</w:t>
            </w:r>
            <w:r>
              <w:rPr>
                <w:rFonts w:hint="default" w:ascii="Times New Roman" w:hAnsi="Times New Roman" w:eastAsia="宋体" w:cs="Times New Roman"/>
                <w:color w:val="auto"/>
                <w:spacing w:val="6"/>
                <w:sz w:val="24"/>
                <w:szCs w:val="24"/>
                <w:highlight w:val="none"/>
              </w:rPr>
              <w:t>%</w:t>
            </w:r>
            <w:r>
              <w:rPr>
                <w:rFonts w:hint="default" w:ascii="Times New Roman" w:hAnsi="Times New Roman" w:eastAsia="宋体" w:cs="Times New Roman"/>
                <w:color w:val="auto"/>
                <w:spacing w:val="6"/>
                <w:sz w:val="24"/>
                <w:szCs w:val="24"/>
                <w:highlight w:val="none"/>
                <w:lang w:eastAsia="zh-CN"/>
              </w:rPr>
              <w:t>）</w:t>
            </w:r>
          </w:p>
        </w:tc>
        <w:tc>
          <w:tcPr>
            <w:tcW w:w="1110" w:type="pct"/>
            <w:vAlign w:val="center"/>
          </w:tcPr>
          <w:p w14:paraId="5C1AD5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3.96</w:t>
            </w:r>
          </w:p>
        </w:tc>
        <w:tc>
          <w:tcPr>
            <w:tcW w:w="1019" w:type="pct"/>
            <w:vAlign w:val="center"/>
          </w:tcPr>
          <w:p w14:paraId="0CD75E7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sz w:val="24"/>
                <w:szCs w:val="24"/>
                <w:highlight w:val="none"/>
              </w:rPr>
              <w:t>施</w:t>
            </w:r>
            <w:r>
              <w:rPr>
                <w:rFonts w:hint="default" w:ascii="Times New Roman" w:hAnsi="Times New Roman" w:eastAsia="宋体" w:cs="Times New Roman"/>
                <w:color w:val="auto"/>
                <w:spacing w:val="7"/>
                <w:sz w:val="24"/>
                <w:szCs w:val="24"/>
                <w:highlight w:val="none"/>
              </w:rPr>
              <w:t>工工期</w:t>
            </w:r>
          </w:p>
        </w:tc>
        <w:tc>
          <w:tcPr>
            <w:tcW w:w="1941" w:type="pct"/>
            <w:tcBorders>
              <w:right w:val="single" w:color="000000" w:sz="6" w:space="0"/>
            </w:tcBorders>
            <w:vAlign w:val="center"/>
          </w:tcPr>
          <w:p w14:paraId="28D52D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1个月</w:t>
            </w:r>
          </w:p>
        </w:tc>
      </w:tr>
      <w:tr w14:paraId="3C4EA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43" w:hRule="atLeast"/>
          <w:jc w:val="center"/>
        </w:trPr>
        <w:tc>
          <w:tcPr>
            <w:tcW w:w="928" w:type="pct"/>
            <w:tcBorders>
              <w:left w:val="single" w:color="000000" w:sz="6" w:space="0"/>
            </w:tcBorders>
            <w:vAlign w:val="center"/>
          </w:tcPr>
          <w:p w14:paraId="7807B9B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rPr>
              <w:t>是</w:t>
            </w:r>
            <w:r>
              <w:rPr>
                <w:rFonts w:hint="default" w:ascii="Times New Roman" w:hAnsi="Times New Roman" w:eastAsia="宋体" w:cs="Times New Roman"/>
                <w:color w:val="auto"/>
                <w:spacing w:val="7"/>
                <w:sz w:val="24"/>
                <w:szCs w:val="24"/>
                <w:highlight w:val="none"/>
              </w:rPr>
              <w:t>否开工建设</w:t>
            </w:r>
          </w:p>
        </w:tc>
        <w:tc>
          <w:tcPr>
            <w:tcW w:w="1110" w:type="pct"/>
            <w:vAlign w:val="center"/>
          </w:tcPr>
          <w:p w14:paraId="64D67B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lang w:eastAsia="zh-CN"/>
              </w:rPr>
              <w:t>□</w:t>
            </w:r>
            <w:r>
              <w:rPr>
                <w:rFonts w:hint="default" w:ascii="Times New Roman" w:hAnsi="Times New Roman" w:eastAsia="宋体" w:cs="Times New Roman"/>
                <w:color w:val="auto"/>
                <w:spacing w:val="27"/>
                <w:position w:val="4"/>
                <w:sz w:val="24"/>
                <w:szCs w:val="24"/>
                <w:highlight w:val="none"/>
              </w:rPr>
              <w:t>否</w:t>
            </w:r>
          </w:p>
          <w:p w14:paraId="5BB05D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color w:val="auto"/>
                <w:spacing w:val="14"/>
                <w:sz w:val="24"/>
                <w:szCs w:val="24"/>
                <w:highlight w:val="none"/>
                <w:lang w:val="en-US" w:eastAsia="zh-CN"/>
              </w:rPr>
            </w:pPr>
            <w:r>
              <w:rPr>
                <w:rFonts w:hint="default" w:ascii="Times New Roman" w:hAnsi="Times New Roman" w:eastAsia="宋体" w:cs="Times New Roman"/>
                <w:color w:val="auto"/>
                <w:spacing w:val="8"/>
                <w:sz w:val="24"/>
                <w:szCs w:val="24"/>
                <w:highlight w:val="none"/>
                <w:lang w:eastAsia="zh-CN"/>
              </w:rPr>
              <w:t>☑</w:t>
            </w:r>
            <w:r>
              <w:rPr>
                <w:rFonts w:hint="default" w:ascii="Times New Roman" w:hAnsi="Times New Roman" w:eastAsia="宋体" w:cs="Times New Roman"/>
                <w:color w:val="auto"/>
                <w:spacing w:val="14"/>
                <w:sz w:val="24"/>
                <w:szCs w:val="24"/>
                <w:highlight w:val="none"/>
              </w:rPr>
              <w:t>是</w:t>
            </w:r>
            <w:r>
              <w:rPr>
                <w:rFonts w:hint="default" w:ascii="Times New Roman" w:hAnsi="Times New Roman" w:eastAsia="宋体" w:cs="Times New Roman"/>
                <w:color w:val="auto"/>
                <w:spacing w:val="14"/>
                <w:sz w:val="24"/>
                <w:szCs w:val="24"/>
                <w:highlight w:val="none"/>
                <w:lang w:eastAsia="zh-CN"/>
              </w:rPr>
              <w:t>：</w:t>
            </w:r>
            <w:r>
              <w:rPr>
                <w:rFonts w:hint="default" w:ascii="Times New Roman" w:hAnsi="Times New Roman" w:eastAsia="宋体" w:cs="Times New Roman"/>
                <w:color w:val="auto"/>
                <w:spacing w:val="14"/>
                <w:sz w:val="24"/>
                <w:szCs w:val="24"/>
                <w:highlight w:val="none"/>
                <w:u w:val="single"/>
                <w:lang w:val="en-US" w:eastAsia="zh-CN"/>
              </w:rPr>
              <w:t>本项目于2018年建设投产，原昌吉市环境保护局</w:t>
            </w:r>
            <w:r>
              <w:rPr>
                <w:rFonts w:hint="eastAsia" w:ascii="Times New Roman" w:hAnsi="Times New Roman" w:eastAsia="宋体" w:cs="Times New Roman"/>
                <w:color w:val="auto"/>
                <w:spacing w:val="14"/>
                <w:sz w:val="24"/>
                <w:szCs w:val="24"/>
                <w:highlight w:val="none"/>
                <w:u w:val="single"/>
                <w:lang w:val="en-US" w:eastAsia="zh-CN"/>
              </w:rPr>
              <w:t>对</w:t>
            </w:r>
            <w:r>
              <w:rPr>
                <w:rFonts w:hint="default" w:ascii="Times New Roman" w:hAnsi="Times New Roman" w:eastAsia="宋体" w:cs="Times New Roman"/>
                <w:color w:val="auto"/>
                <w:spacing w:val="14"/>
                <w:sz w:val="24"/>
                <w:szCs w:val="24"/>
                <w:highlight w:val="none"/>
                <w:u w:val="single"/>
                <w:lang w:val="en-US" w:eastAsia="zh-CN"/>
              </w:rPr>
              <w:t>本项目未批先建进行了处罚。</w:t>
            </w:r>
          </w:p>
        </w:tc>
        <w:tc>
          <w:tcPr>
            <w:tcW w:w="1019" w:type="pct"/>
            <w:vAlign w:val="center"/>
          </w:tcPr>
          <w:p w14:paraId="4E1DA7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2"/>
                <w:position w:val="4"/>
                <w:sz w:val="24"/>
                <w:szCs w:val="24"/>
                <w:highlight w:val="none"/>
              </w:rPr>
              <w:t>用地</w:t>
            </w:r>
            <w:r>
              <w:rPr>
                <w:rFonts w:hint="default" w:ascii="Times New Roman" w:hAnsi="Times New Roman" w:eastAsia="宋体" w:cs="Times New Roman"/>
                <w:color w:val="auto"/>
                <w:spacing w:val="-1"/>
                <w:position w:val="4"/>
                <w:sz w:val="24"/>
                <w:szCs w:val="24"/>
                <w:highlight w:val="none"/>
                <w:lang w:eastAsia="zh-CN"/>
              </w:rPr>
              <w:t>（</w:t>
            </w:r>
            <w:r>
              <w:rPr>
                <w:rFonts w:hint="default" w:ascii="Times New Roman" w:hAnsi="Times New Roman" w:eastAsia="宋体" w:cs="Times New Roman"/>
                <w:color w:val="auto"/>
                <w:spacing w:val="-1"/>
                <w:position w:val="4"/>
                <w:sz w:val="24"/>
                <w:szCs w:val="24"/>
                <w:highlight w:val="none"/>
              </w:rPr>
              <w:t>用海</w:t>
            </w:r>
            <w:r>
              <w:rPr>
                <w:rFonts w:hint="default" w:ascii="Times New Roman" w:hAnsi="Times New Roman" w:eastAsia="宋体" w:cs="Times New Roman"/>
                <w:color w:val="auto"/>
                <w:spacing w:val="-1"/>
                <w:position w:val="4"/>
                <w:sz w:val="24"/>
                <w:szCs w:val="24"/>
                <w:highlight w:val="none"/>
                <w:lang w:eastAsia="zh-CN"/>
              </w:rPr>
              <w:t>）</w:t>
            </w:r>
          </w:p>
          <w:p w14:paraId="725646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5"/>
                <w:sz w:val="24"/>
                <w:szCs w:val="24"/>
                <w:highlight w:val="none"/>
              </w:rPr>
              <w:t>面积</w:t>
            </w:r>
            <w:r>
              <w:rPr>
                <w:rFonts w:hint="default" w:ascii="Times New Roman" w:hAnsi="Times New Roman" w:eastAsia="宋体" w:cs="Times New Roman"/>
                <w:color w:val="auto"/>
                <w:spacing w:val="-5"/>
                <w:sz w:val="24"/>
                <w:szCs w:val="24"/>
                <w:highlight w:val="none"/>
                <w:lang w:eastAsia="zh-CN"/>
              </w:rPr>
              <w:t>（</w:t>
            </w:r>
            <w:r>
              <w:rPr>
                <w:rFonts w:hint="default" w:ascii="Times New Roman" w:hAnsi="Times New Roman" w:eastAsia="宋体" w:cs="Times New Roman"/>
                <w:color w:val="auto"/>
                <w:spacing w:val="-5"/>
                <w:sz w:val="24"/>
                <w:szCs w:val="24"/>
                <w:highlight w:val="none"/>
                <w:lang w:val="en-US" w:eastAsia="zh-CN"/>
              </w:rPr>
              <w:t>m</w:t>
            </w:r>
            <w:r>
              <w:rPr>
                <w:rFonts w:hint="default" w:ascii="Times New Roman" w:hAnsi="Times New Roman" w:eastAsia="宋体" w:cs="Times New Roman"/>
                <w:color w:val="auto"/>
                <w:spacing w:val="-5"/>
                <w:sz w:val="24"/>
                <w:szCs w:val="24"/>
                <w:highlight w:val="none"/>
                <w:vertAlign w:val="superscript"/>
                <w:lang w:val="en-US" w:eastAsia="zh-CN"/>
              </w:rPr>
              <w:t>2</w:t>
            </w:r>
            <w:r>
              <w:rPr>
                <w:rFonts w:hint="default" w:ascii="Times New Roman" w:hAnsi="Times New Roman" w:eastAsia="宋体" w:cs="Times New Roman"/>
                <w:color w:val="auto"/>
                <w:spacing w:val="-5"/>
                <w:sz w:val="24"/>
                <w:szCs w:val="24"/>
                <w:highlight w:val="none"/>
                <w:lang w:eastAsia="zh-CN"/>
              </w:rPr>
              <w:t>）</w:t>
            </w:r>
          </w:p>
        </w:tc>
        <w:tc>
          <w:tcPr>
            <w:tcW w:w="1941" w:type="pct"/>
            <w:tcBorders>
              <w:right w:val="single" w:color="000000" w:sz="6" w:space="0"/>
            </w:tcBorders>
            <w:vAlign w:val="center"/>
          </w:tcPr>
          <w:p w14:paraId="51984C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13954</w:t>
            </w:r>
          </w:p>
        </w:tc>
      </w:tr>
      <w:tr w14:paraId="248EC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7" w:hRule="atLeast"/>
          <w:jc w:val="center"/>
        </w:trPr>
        <w:tc>
          <w:tcPr>
            <w:tcW w:w="928" w:type="pct"/>
            <w:tcBorders>
              <w:left w:val="single" w:color="000000" w:sz="6" w:space="0"/>
            </w:tcBorders>
            <w:vAlign w:val="center"/>
          </w:tcPr>
          <w:p w14:paraId="613DBD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8"/>
                <w:sz w:val="24"/>
                <w:szCs w:val="24"/>
                <w:highlight w:val="none"/>
              </w:rPr>
            </w:pPr>
            <w:r>
              <w:rPr>
                <w:rFonts w:hint="default" w:ascii="Times New Roman" w:hAnsi="Times New Roman" w:eastAsia="宋体" w:cs="Times New Roman"/>
                <w:color w:val="auto"/>
                <w:spacing w:val="12"/>
                <w:sz w:val="24"/>
                <w:szCs w:val="24"/>
                <w:highlight w:val="none"/>
              </w:rPr>
              <w:t>专</w:t>
            </w:r>
            <w:r>
              <w:rPr>
                <w:rFonts w:hint="default" w:ascii="Times New Roman" w:hAnsi="Times New Roman" w:eastAsia="宋体" w:cs="Times New Roman"/>
                <w:color w:val="auto"/>
                <w:spacing w:val="8"/>
                <w:sz w:val="24"/>
                <w:szCs w:val="24"/>
                <w:highlight w:val="none"/>
              </w:rPr>
              <w:t>项评价</w:t>
            </w:r>
          </w:p>
          <w:p w14:paraId="4B9952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设置情况</w:t>
            </w:r>
          </w:p>
        </w:tc>
        <w:tc>
          <w:tcPr>
            <w:tcW w:w="4071" w:type="pct"/>
            <w:gridSpan w:val="3"/>
            <w:tcBorders>
              <w:right w:val="single" w:color="000000" w:sz="6" w:space="0"/>
            </w:tcBorders>
            <w:vAlign w:val="center"/>
          </w:tcPr>
          <w:p w14:paraId="27B56F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无</w:t>
            </w:r>
          </w:p>
        </w:tc>
      </w:tr>
      <w:tr w14:paraId="63A6F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2" w:hRule="atLeast"/>
          <w:jc w:val="center"/>
        </w:trPr>
        <w:tc>
          <w:tcPr>
            <w:tcW w:w="928" w:type="pct"/>
            <w:tcBorders>
              <w:left w:val="single" w:color="000000" w:sz="6" w:space="0"/>
            </w:tcBorders>
            <w:vAlign w:val="center"/>
          </w:tcPr>
          <w:p w14:paraId="4293B0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7"/>
                <w:sz w:val="24"/>
                <w:szCs w:val="24"/>
                <w:highlight w:val="none"/>
              </w:rPr>
              <w:t>规划情况</w:t>
            </w:r>
          </w:p>
        </w:tc>
        <w:tc>
          <w:tcPr>
            <w:tcW w:w="4071" w:type="pct"/>
            <w:gridSpan w:val="3"/>
            <w:tcBorders>
              <w:right w:val="single" w:color="000000" w:sz="6" w:space="0"/>
            </w:tcBorders>
            <w:vAlign w:val="center"/>
          </w:tcPr>
          <w:p w14:paraId="06A825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划名称：《昌吉空港经济合作区专项规划（2024-2035）》审批机关：昌吉市人民政府审查文件名称及文号：昌吉市人民政府关于《昌吉市产业专项规划闽昌食品产业园专项规划》《昌吉空港合作区专项规划》《新疆信息产业园专项规划》《昌吉陆港物流园专项规划》的批复，昌市政函〔2025〕47号</w:t>
            </w:r>
          </w:p>
        </w:tc>
      </w:tr>
      <w:tr w14:paraId="1FDD7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7" w:hRule="atLeast"/>
          <w:jc w:val="center"/>
        </w:trPr>
        <w:tc>
          <w:tcPr>
            <w:tcW w:w="928" w:type="pct"/>
            <w:tcBorders>
              <w:left w:val="single" w:color="000000" w:sz="6" w:space="0"/>
            </w:tcBorders>
            <w:vAlign w:val="center"/>
          </w:tcPr>
          <w:p w14:paraId="45ECF2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8"/>
                <w:position w:val="4"/>
                <w:sz w:val="24"/>
                <w:szCs w:val="24"/>
                <w:highlight w:val="none"/>
              </w:rPr>
            </w:pPr>
            <w:r>
              <w:rPr>
                <w:rFonts w:hint="default" w:ascii="Times New Roman" w:hAnsi="Times New Roman" w:eastAsia="宋体" w:cs="Times New Roman"/>
                <w:color w:val="auto"/>
                <w:spacing w:val="8"/>
                <w:position w:val="4"/>
                <w:sz w:val="24"/>
                <w:szCs w:val="24"/>
                <w:highlight w:val="none"/>
              </w:rPr>
              <w:t>规划环境</w:t>
            </w:r>
            <w:r>
              <w:rPr>
                <w:rFonts w:hint="eastAsia" w:ascii="Times New Roman" w:hAnsi="Times New Roman" w:eastAsia="宋体" w:cs="Times New Roman"/>
                <w:color w:val="auto"/>
                <w:spacing w:val="8"/>
                <w:position w:val="4"/>
                <w:sz w:val="24"/>
                <w:szCs w:val="24"/>
                <w:highlight w:val="none"/>
                <w:lang w:eastAsia="zh-CN"/>
              </w:rPr>
              <w:t>影响</w:t>
            </w:r>
          </w:p>
          <w:p w14:paraId="39B4B5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sz w:val="24"/>
                <w:szCs w:val="24"/>
                <w:highlight w:val="none"/>
              </w:rPr>
              <w:t>评</w:t>
            </w:r>
            <w:r>
              <w:rPr>
                <w:rFonts w:hint="default" w:ascii="Times New Roman" w:hAnsi="Times New Roman" w:eastAsia="宋体" w:cs="Times New Roman"/>
                <w:color w:val="auto"/>
                <w:spacing w:val="7"/>
                <w:sz w:val="24"/>
                <w:szCs w:val="24"/>
                <w:highlight w:val="none"/>
              </w:rPr>
              <w:t>价情况</w:t>
            </w:r>
          </w:p>
        </w:tc>
        <w:tc>
          <w:tcPr>
            <w:tcW w:w="4071" w:type="pct"/>
            <w:gridSpan w:val="3"/>
            <w:tcBorders>
              <w:right w:val="single" w:color="000000" w:sz="6" w:space="0"/>
            </w:tcBorders>
            <w:vAlign w:val="center"/>
          </w:tcPr>
          <w:p w14:paraId="7A35AB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规划环境影响评价文件：《昌吉空港合作区专项规划（20242035年）环境影响报告书》召集审查机关：昌吉回族自治州生态环境局审查文件名称及文号：关于《昌吉空港合作区专项规划（2024</w:t>
            </w:r>
            <w:r>
              <w:rPr>
                <w:rFonts w:hint="eastAsia" w:ascii="Times New Roman" w:hAnsi="Times New Roman" w:cs="Times New Roman"/>
                <w:b/>
                <w:bCs/>
                <w:color w:val="auto"/>
                <w:highlight w:val="none"/>
                <w:lang w:val="en-US" w:eastAsia="zh-CN"/>
              </w:rPr>
              <w:t>—</w:t>
            </w:r>
            <w:r>
              <w:rPr>
                <w:rFonts w:hint="default" w:ascii="Times New Roman" w:hAnsi="Times New Roman" w:eastAsia="宋体" w:cs="Times New Roman"/>
                <w:color w:val="auto"/>
                <w:sz w:val="24"/>
                <w:szCs w:val="24"/>
                <w:highlight w:val="none"/>
                <w:lang w:val="en-US" w:eastAsia="zh-CN"/>
              </w:rPr>
              <w:t>2035年）环境影响报告书》的审查意见，昌州环函〔2025〕12号</w:t>
            </w:r>
          </w:p>
        </w:tc>
      </w:tr>
      <w:tr w14:paraId="3CCDD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7" w:hRule="atLeast"/>
          <w:jc w:val="center"/>
        </w:trPr>
        <w:tc>
          <w:tcPr>
            <w:tcW w:w="928" w:type="pct"/>
            <w:tcBorders>
              <w:left w:val="single" w:color="000000" w:sz="6" w:space="0"/>
            </w:tcBorders>
            <w:vAlign w:val="center"/>
          </w:tcPr>
          <w:p w14:paraId="34D87E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rPr>
              <w:t>规</w:t>
            </w:r>
            <w:r>
              <w:rPr>
                <w:rFonts w:hint="default" w:ascii="Times New Roman" w:hAnsi="Times New Roman" w:eastAsia="宋体" w:cs="Times New Roman"/>
                <w:color w:val="auto"/>
                <w:spacing w:val="8"/>
                <w:sz w:val="24"/>
                <w:szCs w:val="24"/>
                <w:highlight w:val="none"/>
              </w:rPr>
              <w:t>划及规划环境</w:t>
            </w:r>
            <w:r>
              <w:rPr>
                <w:rFonts w:hint="default" w:ascii="Times New Roman" w:hAnsi="Times New Roman" w:eastAsia="宋体" w:cs="Times New Roman"/>
                <w:color w:val="auto"/>
                <w:spacing w:val="9"/>
                <w:sz w:val="24"/>
                <w:szCs w:val="24"/>
                <w:highlight w:val="none"/>
              </w:rPr>
              <w:t>影响评价符合性分</w:t>
            </w:r>
            <w:r>
              <w:rPr>
                <w:rFonts w:hint="default" w:ascii="Times New Roman" w:hAnsi="Times New Roman" w:eastAsia="宋体" w:cs="Times New Roman"/>
                <w:color w:val="auto"/>
                <w:spacing w:val="8"/>
                <w:sz w:val="24"/>
                <w:szCs w:val="24"/>
                <w:highlight w:val="none"/>
              </w:rPr>
              <w:t>析</w:t>
            </w:r>
          </w:p>
        </w:tc>
        <w:tc>
          <w:tcPr>
            <w:tcW w:w="4071" w:type="pct"/>
            <w:gridSpan w:val="3"/>
            <w:tcBorders>
              <w:right w:val="single" w:color="000000" w:sz="6" w:space="0"/>
            </w:tcBorders>
            <w:vAlign w:val="center"/>
          </w:tcPr>
          <w:p w14:paraId="2911A43F">
            <w:pPr>
              <w:pStyle w:val="38"/>
              <w:spacing w:line="360" w:lineRule="auto"/>
              <w:ind w:left="0" w:leftChars="0" w:firstLine="0" w:firstLineChars="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1.与《昌吉空港合作区专项规划（2024</w:t>
            </w:r>
            <w:r>
              <w:rPr>
                <w:rFonts w:hint="eastAsia" w:ascii="Times New Roman" w:hAnsi="Times New Roman" w:cs="Times New Roman"/>
                <w:b/>
                <w:bCs/>
                <w:color w:val="auto"/>
                <w:highlight w:val="none"/>
                <w:lang w:val="en-US" w:eastAsia="zh-CN"/>
              </w:rPr>
              <w:t>—</w:t>
            </w:r>
            <w:r>
              <w:rPr>
                <w:rFonts w:hint="default" w:ascii="Times New Roman" w:hAnsi="Times New Roman" w:cs="Times New Roman"/>
                <w:b/>
                <w:bCs/>
                <w:color w:val="auto"/>
                <w:highlight w:val="none"/>
                <w:lang w:val="en-US" w:eastAsia="zh-CN"/>
              </w:rPr>
              <w:t>2035年）》符合性分析</w:t>
            </w:r>
          </w:p>
          <w:p w14:paraId="40BDD6FF">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规划范围：</w:t>
            </w:r>
            <w:r>
              <w:rPr>
                <w:rFonts w:hint="default" w:ascii="Times New Roman" w:hAnsi="Times New Roman" w:cs="Times New Roman"/>
                <w:color w:val="auto"/>
                <w:highlight w:val="none"/>
                <w:lang w:val="en-US" w:eastAsia="zh-CN"/>
              </w:rPr>
              <w:t>昌吉空港合作区位于三工镇东南，距昌吉市15公里、乌鲁木齐市20公里，规划面积为5.47平方公里，其中城镇开发边界内的规划用地4.14平方公里，城镇开发边界外的规划用地1.33平方公里，北侧紧邻乌奎高速和北疆铁路，东侧毗邻南山伴行路和乌鲁木齐绕城高速，西至经七路西侧，南至南山伴行路。</w:t>
            </w:r>
          </w:p>
          <w:p w14:paraId="343388E4">
            <w:pPr>
              <w:pStyle w:val="38"/>
              <w:spacing w:line="360" w:lineRule="auto"/>
              <w:rPr>
                <w:rFonts w:hint="default" w:ascii="Times New Roman" w:hAnsi="Times New Roman" w:eastAsia="Times New Roman" w:cs="Times New Roman"/>
                <w:color w:val="auto"/>
                <w:highlight w:val="none"/>
                <w:lang w:val="en-US" w:eastAsia="zh-CN"/>
              </w:rPr>
            </w:pPr>
            <w:r>
              <w:rPr>
                <w:rFonts w:hint="default" w:ascii="Times New Roman" w:hAnsi="Times New Roman" w:eastAsia="Times New Roman" w:cs="Times New Roman"/>
                <w:b/>
                <w:bCs/>
                <w:color w:val="auto"/>
                <w:highlight w:val="none"/>
                <w:lang w:val="en-US" w:eastAsia="zh-CN"/>
              </w:rPr>
              <w:t>规划定位</w:t>
            </w:r>
            <w:r>
              <w:rPr>
                <w:rFonts w:hint="default" w:ascii="Times New Roman" w:hAnsi="Times New Roman" w:cs="Times New Roman"/>
                <w:b/>
                <w:bCs/>
                <w:color w:val="auto"/>
                <w:highlight w:val="none"/>
                <w:lang w:val="en-US" w:eastAsia="zh-CN"/>
              </w:rPr>
              <w:t>：</w:t>
            </w:r>
            <w:r>
              <w:rPr>
                <w:rFonts w:hint="default" w:ascii="Times New Roman" w:hAnsi="Times New Roman" w:eastAsia="Times New Roman" w:cs="Times New Roman"/>
                <w:color w:val="auto"/>
                <w:highlight w:val="none"/>
                <w:lang w:val="en-US" w:eastAsia="zh-CN"/>
              </w:rPr>
              <w:t>以“源头延伸、高端升级、配套补齐”为主线，推进昌吉空港合作区全面升级，加速打造乌鲁木齐都市圈产业链供应链节点。</w:t>
            </w:r>
          </w:p>
          <w:p w14:paraId="1962E4BD">
            <w:pPr>
              <w:pStyle w:val="38"/>
              <w:spacing w:line="360" w:lineRule="auto"/>
              <w:rPr>
                <w:rFonts w:hint="default" w:ascii="Times New Roman" w:hAnsi="Times New Roman" w:eastAsia="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先进材料生产基地。以源头延伸、链式配套为导向，推动传统材料企业高端化、新型化发展，持续做强钢结构、焊接材料、保温材料、水性涂料；瞄准价值链高端与区域协同，延伸布局高性能关键基础件、装配式建筑部品部件等高附加值领域，加速建设先进材料生产基地。高端装备制造基地。以区域融合、协同发展为导向，加速构建特变电工产业生态圈，培育变压器、开关设备等优势产品上下游配套产品；把握全州新能源产业发展契机，前瞻布局光伏装备、风电装备、氢能装备等新能源装备配套领域；积极拓展农机装备、低空制造等细分领域。区域生产性服务业新高地。面向区域产业绿色转型、供应链配套等发展需求，提供与其产前、产后、销售相关的全供应链生产性服务，重点布局产业物流、产业贸易等功能，拓展资源循环利用、节能技术服务、环保技术服务等节能环保服务。</w:t>
            </w:r>
          </w:p>
          <w:p w14:paraId="12863159">
            <w:pPr>
              <w:pStyle w:val="38"/>
              <w:spacing w:line="360" w:lineRule="auto"/>
              <w:rPr>
                <w:rFonts w:hint="default" w:ascii="Times New Roman" w:hAnsi="Times New Roman" w:cs="Times New Roman"/>
                <w:b w:val="0"/>
                <w:bCs w:val="0"/>
                <w:color w:val="auto"/>
                <w:highlight w:val="none"/>
                <w:lang w:val="en-US" w:eastAsia="zh-CN"/>
              </w:rPr>
            </w:pPr>
            <w:r>
              <w:rPr>
                <w:rFonts w:hint="default" w:ascii="Times New Roman" w:hAnsi="Times New Roman" w:eastAsia="Times New Roman" w:cs="Times New Roman"/>
                <w:color w:val="auto"/>
                <w:highlight w:val="none"/>
                <w:lang w:val="en-US" w:eastAsia="zh-CN"/>
              </w:rPr>
              <w:t>产业布局：规划形</w:t>
            </w:r>
            <w:r>
              <w:rPr>
                <w:rFonts w:hint="default" w:ascii="Times New Roman" w:hAnsi="Times New Roman" w:cs="Times New Roman"/>
                <w:b w:val="0"/>
                <w:bCs w:val="0"/>
                <w:color w:val="auto"/>
                <w:highlight w:val="none"/>
                <w:lang w:val="en-US" w:eastAsia="zh-CN"/>
              </w:rPr>
              <w:t>成</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一心、两轴、三片区</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 xml:space="preserve">的空间结构。 </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一心</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为综合服务中心，承担园区综合办公、公共服务、商业服务、生活服务等功能；</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两轴</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分别为新能源产业发展轴和新材料产业发展轴；</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三片区</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分别为新材料产业区、装备制造产业区、生产性服务业集聚区。</w:t>
            </w:r>
          </w:p>
          <w:p w14:paraId="08022FC7">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产业定位：</w:t>
            </w:r>
            <w:r>
              <w:rPr>
                <w:rFonts w:hint="default" w:ascii="Times New Roman" w:hAnsi="Times New Roman" w:cs="Times New Roman"/>
                <w:color w:val="auto"/>
                <w:highlight w:val="none"/>
                <w:lang w:val="en-US" w:eastAsia="zh-CN"/>
              </w:rPr>
              <w:t>立足昌吉空港合作区发展基础，围绕制造业物流业深度融</w:t>
            </w:r>
            <w:r>
              <w:rPr>
                <w:rFonts w:hint="eastAsia" w:ascii="Times New Roman" w:hAnsi="Times New Roman" w:cs="Times New Roman"/>
                <w:color w:val="auto"/>
                <w:highlight w:val="none"/>
                <w:lang w:val="en-US" w:eastAsia="zh-CN"/>
              </w:rPr>
              <w:t>合一</w:t>
            </w:r>
            <w:r>
              <w:rPr>
                <w:rFonts w:hint="default" w:ascii="Times New Roman" w:hAnsi="Times New Roman" w:cs="Times New Roman"/>
                <w:color w:val="auto"/>
                <w:highlight w:val="none"/>
                <w:lang w:val="en-US" w:eastAsia="zh-CN"/>
              </w:rPr>
              <w:t>条主线，聚力构建</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lang w:val="en-US" w:eastAsia="zh-CN"/>
              </w:rPr>
              <w:t>2+1</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lang w:val="en-US" w:eastAsia="zh-CN"/>
              </w:rPr>
              <w:t>主导产业体系，即聚焦新材料、装备制造2大方向，强化区域产业配套，重点发展金属制品、新型建筑材料</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电力装备、专用装备和智能装备等；发挥区位交通优势，面向区域内大型工业企业需求，强化布局生产性服务业1大配套产业。</w:t>
            </w:r>
          </w:p>
          <w:p w14:paraId="71142A00">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功能分区：</w:t>
            </w:r>
            <w:r>
              <w:rPr>
                <w:rFonts w:hint="default" w:ascii="Times New Roman" w:hAnsi="Times New Roman" w:cs="Times New Roman"/>
                <w:b w:val="0"/>
                <w:bCs w:val="0"/>
                <w:color w:val="auto"/>
                <w:highlight w:val="none"/>
                <w:lang w:val="en-US" w:eastAsia="zh-CN"/>
              </w:rPr>
              <w:t>基</w:t>
            </w:r>
            <w:r>
              <w:rPr>
                <w:rFonts w:hint="default" w:ascii="Times New Roman" w:hAnsi="Times New Roman" w:cs="Times New Roman"/>
                <w:color w:val="auto"/>
                <w:highlight w:val="none"/>
                <w:lang w:val="en-US" w:eastAsia="zh-CN"/>
              </w:rPr>
              <w:t>于园区可用土地资源的实际情况，为符合环保标准，同时确保高效生产与便捷生活，昌吉空港合作区规划划定了三大核心功能区。</w:t>
            </w:r>
          </w:p>
          <w:p w14:paraId="14EB3E87">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（1）新材料产业区</w:t>
            </w:r>
          </w:p>
          <w:p w14:paraId="0308B0FA">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本区域位于园区南部，主要发展金属制品与新型建材；</w:t>
            </w:r>
          </w:p>
          <w:p w14:paraId="3B4C9FEB">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①</w:t>
            </w:r>
            <w:r>
              <w:rPr>
                <w:rFonts w:hint="default" w:ascii="Times New Roman" w:hAnsi="Times New Roman" w:cs="Times New Roman"/>
                <w:color w:val="auto"/>
                <w:highlight w:val="none"/>
                <w:lang w:val="en-US" w:eastAsia="zh-CN"/>
              </w:rPr>
              <w:t>金属制品产业专注于高端金属材料的研发与制造，覆盖精密钢结构、高端焊材及关键基础件等产业。通过与周边高新区的紧密协作，本区域积极对接汽车产业、专用设备制造等高新产业，致力于高附加值产品的开发与生产。此外，还将进一步扩展高性能精密铸件的生产能力，以推动金属材料与下游产业的深度融合。</w:t>
            </w:r>
          </w:p>
          <w:p w14:paraId="71ACEE41">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②</w:t>
            </w:r>
            <w:r>
              <w:rPr>
                <w:rFonts w:hint="default" w:ascii="Times New Roman" w:hAnsi="Times New Roman" w:cs="Times New Roman"/>
                <w:color w:val="auto"/>
                <w:highlight w:val="none"/>
                <w:lang w:val="en-US" w:eastAsia="zh-CN"/>
              </w:rPr>
              <w:t>新型建材主要发展保温隔热材料、水性建筑涂料及装配式建筑等新型建材，通过培育钢结构预制构件等产业，推动传统建材产业向新型建材产业的转型升级。</w:t>
            </w:r>
          </w:p>
          <w:p w14:paraId="2BECBFF1">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（2）装备制造产业区</w:t>
            </w:r>
          </w:p>
          <w:p w14:paraId="4E9D2C00">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该功能区位于园区北部，该区主要由电力装备、专用装备、智能装备等产业构成。</w:t>
            </w:r>
          </w:p>
          <w:p w14:paraId="1C26EC59">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①</w:t>
            </w:r>
            <w:r>
              <w:rPr>
                <w:rFonts w:hint="default" w:ascii="Times New Roman" w:hAnsi="Times New Roman" w:cs="Times New Roman"/>
                <w:color w:val="auto"/>
                <w:highlight w:val="none"/>
                <w:lang w:val="en-US" w:eastAsia="zh-CN"/>
              </w:rPr>
              <w:t>电力装备产业重点发展输变电装备、风电光伏装备等细分领域，专注于新能源装备的研发与生产，资源循环利用、高效节能产业。</w:t>
            </w:r>
          </w:p>
          <w:p w14:paraId="5EF81BFF">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②</w:t>
            </w:r>
            <w:r>
              <w:rPr>
                <w:rFonts w:hint="default" w:ascii="Times New Roman" w:hAnsi="Times New Roman" w:cs="Times New Roman"/>
                <w:color w:val="auto"/>
                <w:highlight w:val="none"/>
                <w:lang w:val="en-US" w:eastAsia="zh-CN"/>
              </w:rPr>
              <w:t>专用装备产业重点发展农机装备、节能环保装备等细分领域。以土壤耕作机械、智能灌溉设备、食品加工机械、节能设备等为主。</w:t>
            </w:r>
          </w:p>
          <w:p w14:paraId="13E33FE3">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③</w:t>
            </w:r>
            <w:r>
              <w:rPr>
                <w:rFonts w:hint="default" w:ascii="Times New Roman" w:hAnsi="Times New Roman" w:cs="Times New Roman"/>
                <w:color w:val="auto"/>
                <w:highlight w:val="none"/>
                <w:lang w:val="en-US" w:eastAsia="zh-CN"/>
              </w:rPr>
              <w:t>智能装备重点关注植保无人机、物流无人机、工业无人机等无人机整机领域。</w:t>
            </w:r>
          </w:p>
          <w:p w14:paraId="38234957">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（3）生产性服务业集聚区</w:t>
            </w:r>
          </w:p>
          <w:p w14:paraId="6A881EBE">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本区域位于园区中部，主要发展节能环保产业、仓储物流产业区及生活配套。</w:t>
            </w:r>
          </w:p>
          <w:p w14:paraId="39EE2887">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①</w:t>
            </w:r>
            <w:r>
              <w:rPr>
                <w:rFonts w:hint="default" w:ascii="Times New Roman" w:hAnsi="Times New Roman" w:cs="Times New Roman"/>
                <w:color w:val="auto"/>
                <w:highlight w:val="none"/>
                <w:lang w:val="en-US" w:eastAsia="zh-CN"/>
              </w:rPr>
              <w:t>节能环保产业重点发展资源循环利用、节能技术服务、先进环保技术服务等细分领域。</w:t>
            </w:r>
          </w:p>
          <w:p w14:paraId="1A66E5D6">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②</w:t>
            </w:r>
            <w:r>
              <w:rPr>
                <w:rFonts w:hint="default" w:ascii="Times New Roman" w:hAnsi="Times New Roman" w:cs="Times New Roman"/>
                <w:color w:val="auto"/>
                <w:highlight w:val="none"/>
                <w:lang w:val="en-US" w:eastAsia="zh-CN"/>
              </w:rPr>
              <w:t>物流仓储主要承担园区的物流集散及信息服务功能，提供全方位的物流服务，包括仓储、包装、配送及物流咨询等。</w:t>
            </w:r>
          </w:p>
          <w:p w14:paraId="43337627">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eastAsia="Times New Roman" w:cs="Times New Roman"/>
                <w:color w:val="auto"/>
                <w:highlight w:val="none"/>
                <w:lang w:val="en-US" w:eastAsia="zh-CN"/>
              </w:rPr>
              <w:t>③</w:t>
            </w:r>
            <w:r>
              <w:rPr>
                <w:rFonts w:hint="default" w:ascii="Times New Roman" w:hAnsi="Times New Roman" w:cs="Times New Roman"/>
                <w:color w:val="auto"/>
                <w:highlight w:val="none"/>
                <w:lang w:val="en-US" w:eastAsia="zh-CN"/>
              </w:rPr>
              <w:t>配套生活区主要为园区员工提供便捷的生活与居住条件确保工作与生活的和谐平衡。</w:t>
            </w:r>
          </w:p>
          <w:p w14:paraId="60536505">
            <w:pPr>
              <w:pStyle w:val="38"/>
              <w:spacing w:line="36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园区的土地利用规划，园区的工业用地类型均为二类工业用地，其他的建设用地类型包括居住用地、公共管理与公共服务设施用地、商业服务业设施用地、仓储用地、交通运输用地、城镇道路用地、公用设施用地及绿地等。根据园区产业发展及定位，园区未来发展产业均为制造业，因此，从园区的用地结构方面分析，园区的土地利用规模合理，与园区的产业发展目标相适应。</w:t>
            </w:r>
          </w:p>
          <w:p w14:paraId="1FBA3646">
            <w:pPr>
              <w:pStyle w:val="38"/>
              <w:spacing w:line="360" w:lineRule="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符合性分析：</w:t>
            </w:r>
            <w:r>
              <w:rPr>
                <w:rFonts w:hint="default" w:ascii="Times New Roman" w:hAnsi="Times New Roman" w:cs="Times New Roman"/>
                <w:color w:val="auto"/>
                <w:highlight w:val="none"/>
                <w:lang w:val="en-US" w:eastAsia="zh-CN"/>
              </w:rPr>
              <w:t>本项目位于</w:t>
            </w:r>
            <w:r>
              <w:rPr>
                <w:rFonts w:hint="default" w:ascii="Times New Roman" w:hAnsi="Times New Roman" w:cs="Times New Roman" w:eastAsiaTheme="minorEastAsia"/>
                <w:color w:val="auto"/>
                <w:sz w:val="24"/>
                <w:highlight w:val="none"/>
              </w:rPr>
              <w:t>新疆昌吉回族自治州昌吉市三工镇昌吉空港合作区</w:t>
            </w:r>
            <w:r>
              <w:rPr>
                <w:rFonts w:hint="default" w:ascii="Times New Roman" w:hAnsi="Times New Roman" w:cs="Times New Roman"/>
                <w:b w:val="0"/>
                <w:bCs w:val="0"/>
                <w:color w:val="auto"/>
                <w:highlight w:val="none"/>
                <w:lang w:val="en-US" w:eastAsia="zh-CN"/>
              </w:rPr>
              <w:t>北部的</w:t>
            </w:r>
            <w:r>
              <w:rPr>
                <w:rFonts w:hint="default" w:ascii="Times New Roman" w:hAnsi="Times New Roman" w:cs="Times New Roman"/>
                <w:color w:val="auto"/>
                <w:highlight w:val="none"/>
                <w:lang w:val="en-US" w:eastAsia="zh-CN"/>
              </w:rPr>
              <w:t>装备产业区，本项目主要产品为各类尺寸不一的管道、管件</w:t>
            </w:r>
            <w:r>
              <w:rPr>
                <w:rFonts w:hint="eastAsia" w:ascii="Times New Roman" w:hAnsi="Times New Roman" w:cs="Times New Roman"/>
                <w:color w:val="auto"/>
                <w:highlight w:val="none"/>
                <w:lang w:val="en-US" w:eastAsia="zh-CN"/>
              </w:rPr>
              <w:t>用于水利输送。</w:t>
            </w:r>
            <w:r>
              <w:rPr>
                <w:rFonts w:hint="default" w:ascii="Times New Roman" w:hAnsi="Times New Roman" w:cs="Times New Roman"/>
                <w:color w:val="auto"/>
                <w:highlight w:val="none"/>
                <w:lang w:val="en-US" w:eastAsia="zh-CN"/>
              </w:rPr>
              <w:t>为智能灌溉设备，属于专用</w:t>
            </w:r>
            <w:r>
              <w:rPr>
                <w:rFonts w:hint="eastAsia" w:ascii="Times New Roman" w:hAnsi="Times New Roman" w:cs="Times New Roman"/>
                <w:color w:val="auto"/>
                <w:highlight w:val="none"/>
                <w:lang w:val="en-US" w:eastAsia="zh-CN"/>
              </w:rPr>
              <w:t>装备</w:t>
            </w:r>
            <w:r>
              <w:rPr>
                <w:rFonts w:hint="default" w:ascii="Times New Roman" w:hAnsi="Times New Roman" w:cs="Times New Roman"/>
                <w:color w:val="auto"/>
                <w:highlight w:val="none"/>
                <w:lang w:val="en-US" w:eastAsia="zh-CN"/>
              </w:rPr>
              <w:t>制造业</w:t>
            </w:r>
            <w:r>
              <w:rPr>
                <w:rFonts w:hint="default" w:ascii="Times New Roman" w:hAnsi="Times New Roman" w:cs="Times New Roman" w:eastAsiaTheme="minorEastAsia"/>
                <w:color w:val="auto"/>
                <w:sz w:val="24"/>
                <w:highlight w:val="none"/>
                <w:lang w:eastAsia="zh-CN"/>
              </w:rPr>
              <w:t>，符合</w:t>
            </w:r>
            <w:r>
              <w:rPr>
                <w:rFonts w:hint="default" w:ascii="Times New Roman" w:hAnsi="Times New Roman" w:cs="Times New Roman" w:eastAsiaTheme="minorEastAsia"/>
                <w:color w:val="auto"/>
                <w:sz w:val="24"/>
                <w:highlight w:val="none"/>
                <w:lang w:val="en-US" w:eastAsia="zh-CN"/>
              </w:rPr>
              <w:t>装备</w:t>
            </w:r>
            <w:r>
              <w:rPr>
                <w:rFonts w:hint="default" w:ascii="Times New Roman" w:hAnsi="Times New Roman" w:cs="Times New Roman" w:eastAsiaTheme="minorEastAsia"/>
                <w:color w:val="auto"/>
                <w:sz w:val="24"/>
                <w:highlight w:val="none"/>
                <w:lang w:eastAsia="zh-CN"/>
              </w:rPr>
              <w:t>产业区的功能区分，</w:t>
            </w:r>
            <w:r>
              <w:rPr>
                <w:rFonts w:hint="default" w:ascii="Times New Roman" w:hAnsi="Times New Roman" w:cs="Times New Roman" w:eastAsiaTheme="minorEastAsia"/>
                <w:color w:val="auto"/>
                <w:sz w:val="24"/>
                <w:highlight w:val="none"/>
              </w:rPr>
              <w:t>昌吉空港合作区</w:t>
            </w:r>
            <w:r>
              <w:rPr>
                <w:rFonts w:hint="default" w:ascii="Times New Roman" w:hAnsi="Times New Roman" w:cs="Times New Roman" w:eastAsiaTheme="minorEastAsia"/>
                <w:color w:val="auto"/>
                <w:sz w:val="24"/>
                <w:highlight w:val="none"/>
                <w:lang w:eastAsia="zh-CN"/>
              </w:rPr>
              <w:t>产业规划也是</w:t>
            </w:r>
            <w:r>
              <w:rPr>
                <w:rFonts w:hint="default" w:ascii="Times New Roman" w:hAnsi="Times New Roman" w:cs="Times New Roman"/>
                <w:color w:val="auto"/>
                <w:highlight w:val="none"/>
                <w:lang w:val="en-US" w:eastAsia="zh-CN"/>
              </w:rPr>
              <w:t>重点发展金属制品、新型建筑材料</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电力装备、专用装备和智能装备，</w:t>
            </w:r>
            <w:r>
              <w:rPr>
                <w:rFonts w:hint="default" w:ascii="Times New Roman" w:hAnsi="Times New Roman" w:cs="Times New Roman" w:eastAsiaTheme="minorEastAsia"/>
                <w:color w:val="auto"/>
                <w:sz w:val="24"/>
                <w:highlight w:val="none"/>
                <w:lang w:eastAsia="zh-CN"/>
              </w:rPr>
              <w:t>且本项目的占地范围的土地利用类型为二类工业用地，</w:t>
            </w:r>
            <w:r>
              <w:rPr>
                <w:rFonts w:hint="default" w:ascii="Times New Roman" w:hAnsi="Times New Roman" w:cs="Times New Roman"/>
                <w:color w:val="auto"/>
                <w:kern w:val="0"/>
                <w:sz w:val="24"/>
                <w:highlight w:val="none"/>
                <w:lang w:val="en-US" w:eastAsia="zh-CN"/>
              </w:rPr>
              <w:t>因此符合园区规划相关要求。</w:t>
            </w:r>
          </w:p>
          <w:p w14:paraId="1F40AAF8">
            <w:pPr>
              <w:pStyle w:val="38"/>
              <w:ind w:left="0" w:leftChars="0" w:firstLine="0" w:firstLineChars="0"/>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2.与《昌吉空港合作区专项规划（2024</w:t>
            </w:r>
            <w:r>
              <w:rPr>
                <w:rFonts w:hint="eastAsia" w:ascii="Times New Roman" w:hAnsi="Times New Roman" w:eastAsia="宋体" w:cs="Times New Roman"/>
                <w:b/>
                <w:bCs/>
                <w:color w:val="auto"/>
                <w:kern w:val="0"/>
                <w:sz w:val="24"/>
                <w:szCs w:val="24"/>
                <w:highlight w:val="none"/>
                <w:lang w:val="en-US" w:eastAsia="zh-CN" w:bidi="ar"/>
              </w:rPr>
              <w:t>—</w:t>
            </w:r>
            <w:r>
              <w:rPr>
                <w:rFonts w:hint="default" w:ascii="Times New Roman" w:hAnsi="Times New Roman" w:eastAsia="宋体" w:cs="Times New Roman"/>
                <w:b/>
                <w:bCs/>
                <w:color w:val="auto"/>
                <w:kern w:val="0"/>
                <w:sz w:val="24"/>
                <w:szCs w:val="24"/>
                <w:highlight w:val="none"/>
                <w:lang w:val="en-US" w:eastAsia="zh-CN" w:bidi="ar"/>
              </w:rPr>
              <w:t>2035年）环境影响报告书》及审查意见的符合性分析</w:t>
            </w:r>
          </w:p>
          <w:p w14:paraId="516CE1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根据《昌吉空港合作区专项规划（2024</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2035年）环境影响报告书》及其审查意见要求，本项目与</w:t>
            </w:r>
            <w:r>
              <w:rPr>
                <w:rFonts w:hint="eastAsia" w:ascii="Times New Roman" w:hAnsi="Times New Roman" w:eastAsia="宋体" w:cs="Times New Roman"/>
                <w:color w:val="auto"/>
                <w:sz w:val="24"/>
                <w:szCs w:val="24"/>
                <w:highlight w:val="none"/>
                <w:lang w:val="en-US" w:eastAsia="zh-CN"/>
              </w:rPr>
              <w:t>环境影响报告书符合性见表1-1，审查意见符合性见表1-2</w:t>
            </w:r>
            <w:r>
              <w:rPr>
                <w:rFonts w:hint="default" w:ascii="Times New Roman" w:hAnsi="Times New Roman" w:eastAsia="宋体" w:cs="Times New Roman"/>
                <w:color w:val="auto"/>
                <w:sz w:val="24"/>
                <w:szCs w:val="24"/>
                <w:highlight w:val="none"/>
              </w:rPr>
              <w:t>。</w:t>
            </w:r>
          </w:p>
          <w:p w14:paraId="061DEF3F">
            <w:pPr>
              <w:keepNext w:val="0"/>
              <w:keepLines w:val="0"/>
              <w:pageBreakBefore w:val="0"/>
              <w:widowControl/>
              <w:suppressLineNumbers w:val="0"/>
              <w:kinsoku/>
              <w:wordWrap/>
              <w:topLinePunct w:val="0"/>
              <w:bidi w:val="0"/>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rPr>
              <w:t xml:space="preserve">表1-1  </w:t>
            </w:r>
            <w:r>
              <w:rPr>
                <w:rFonts w:hint="default" w:ascii="Times New Roman" w:hAnsi="Times New Roman" w:eastAsia="宋体" w:cs="Times New Roman"/>
                <w:b/>
                <w:bCs/>
                <w:color w:val="auto"/>
                <w:kern w:val="0"/>
                <w:sz w:val="21"/>
                <w:szCs w:val="21"/>
                <w:highlight w:val="none"/>
                <w:lang w:val="en-US" w:eastAsia="zh-CN" w:bidi="ar"/>
              </w:rPr>
              <w:t>本项目与《昌吉空港合作区专项规划（2024</w:t>
            </w:r>
            <w:r>
              <w:rPr>
                <w:rFonts w:hint="eastAsia" w:ascii="Times New Roman" w:hAnsi="Times New Roman" w:eastAsia="宋体" w:cs="Times New Roman"/>
                <w:b/>
                <w:bCs/>
                <w:color w:val="auto"/>
                <w:kern w:val="0"/>
                <w:sz w:val="21"/>
                <w:szCs w:val="21"/>
                <w:highlight w:val="none"/>
                <w:lang w:val="en-US" w:eastAsia="zh-CN" w:bidi="ar"/>
              </w:rPr>
              <w:t>—</w:t>
            </w:r>
            <w:r>
              <w:rPr>
                <w:rFonts w:hint="default" w:ascii="Times New Roman" w:hAnsi="Times New Roman" w:eastAsia="宋体" w:cs="Times New Roman"/>
                <w:b/>
                <w:bCs/>
                <w:color w:val="auto"/>
                <w:kern w:val="0"/>
                <w:sz w:val="21"/>
                <w:szCs w:val="21"/>
                <w:highlight w:val="none"/>
                <w:lang w:val="en-US" w:eastAsia="zh-CN" w:bidi="ar"/>
              </w:rPr>
              <w:t>2035年）环境影响报告书》符合性分析</w:t>
            </w:r>
          </w:p>
          <w:tbl>
            <w:tblPr>
              <w:tblStyle w:val="2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4"/>
              <w:gridCol w:w="3143"/>
              <w:gridCol w:w="2148"/>
              <w:gridCol w:w="1000"/>
            </w:tblGrid>
            <w:tr w14:paraId="7B2B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jc w:val="center"/>
              </w:trPr>
              <w:tc>
                <w:tcPr>
                  <w:tcW w:w="7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83F4E">
                  <w:pPr>
                    <w:keepNext w:val="0"/>
                    <w:keepLines w:val="0"/>
                    <w:widowControl/>
                    <w:suppressLineNumbers w:val="0"/>
                    <w:jc w:val="center"/>
                    <w:textAlignment w:val="center"/>
                    <w:rPr>
                      <w:rFonts w:ascii="宋体" w:hAnsi="宋体" w:eastAsia="宋体" w:cs="宋体"/>
                      <w:b/>
                      <w:bCs/>
                      <w:i w:val="0"/>
                      <w:iCs w:val="0"/>
                      <w:color w:val="auto"/>
                      <w:sz w:val="21"/>
                      <w:szCs w:val="21"/>
                      <w:highlight w:val="none"/>
                      <w:u w:val="none"/>
                    </w:rPr>
                  </w:pPr>
                  <w:r>
                    <w:rPr>
                      <w:rStyle w:val="76"/>
                      <w:snapToGrid w:val="0"/>
                      <w:color w:val="auto"/>
                      <w:sz w:val="21"/>
                      <w:szCs w:val="21"/>
                      <w:highlight w:val="none"/>
                      <w:lang w:val="en-US" w:eastAsia="zh-CN" w:bidi="ar"/>
                    </w:rPr>
                    <w:t>类别</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4069E">
                  <w:pPr>
                    <w:keepNext w:val="0"/>
                    <w:keepLines w:val="0"/>
                    <w:widowControl/>
                    <w:suppressLineNumbers w:val="0"/>
                    <w:jc w:val="center"/>
                    <w:textAlignment w:val="center"/>
                    <w:rPr>
                      <w:rFonts w:ascii="宋体" w:hAnsi="宋体" w:eastAsia="宋体" w:cs="宋体"/>
                      <w:b/>
                      <w:bCs/>
                      <w:i w:val="0"/>
                      <w:iCs w:val="0"/>
                      <w:color w:val="auto"/>
                      <w:sz w:val="21"/>
                      <w:szCs w:val="21"/>
                      <w:highlight w:val="none"/>
                      <w:u w:val="none"/>
                    </w:rPr>
                  </w:pPr>
                  <w:r>
                    <w:rPr>
                      <w:rStyle w:val="76"/>
                      <w:snapToGrid w:val="0"/>
                      <w:color w:val="auto"/>
                      <w:sz w:val="21"/>
                      <w:szCs w:val="21"/>
                      <w:highlight w:val="none"/>
                      <w:lang w:val="en-US" w:eastAsia="zh-CN" w:bidi="ar"/>
                    </w:rPr>
                    <w:t>规划环评要求</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2A03">
                  <w:pPr>
                    <w:keepNext w:val="0"/>
                    <w:keepLines w:val="0"/>
                    <w:widowControl/>
                    <w:suppressLineNumbers w:val="0"/>
                    <w:ind w:firstLineChars="200"/>
                    <w:jc w:val="left"/>
                    <w:textAlignment w:val="center"/>
                    <w:rPr>
                      <w:rFonts w:ascii="宋体" w:hAnsi="宋体" w:eastAsia="宋体" w:cs="宋体"/>
                      <w:b/>
                      <w:bCs/>
                      <w:i w:val="0"/>
                      <w:iCs w:val="0"/>
                      <w:color w:val="auto"/>
                      <w:sz w:val="21"/>
                      <w:szCs w:val="21"/>
                      <w:highlight w:val="none"/>
                      <w:u w:val="none"/>
                    </w:rPr>
                  </w:pPr>
                  <w:r>
                    <w:rPr>
                      <w:rStyle w:val="76"/>
                      <w:snapToGrid w:val="0"/>
                      <w:color w:val="auto"/>
                      <w:sz w:val="21"/>
                      <w:szCs w:val="21"/>
                      <w:highlight w:val="none"/>
                      <w:lang w:val="en-US" w:eastAsia="zh-CN" w:bidi="ar"/>
                    </w:rPr>
                    <w:t>项目情况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0F6B">
                  <w:pPr>
                    <w:keepNext w:val="0"/>
                    <w:keepLines w:val="0"/>
                    <w:widowControl/>
                    <w:suppressLineNumbers w:val="0"/>
                    <w:jc w:val="center"/>
                    <w:textAlignment w:val="center"/>
                    <w:rPr>
                      <w:rFonts w:ascii="宋体" w:hAnsi="宋体" w:eastAsia="宋体" w:cs="宋体"/>
                      <w:b/>
                      <w:bCs/>
                      <w:i w:val="0"/>
                      <w:iCs w:val="0"/>
                      <w:color w:val="auto"/>
                      <w:sz w:val="21"/>
                      <w:szCs w:val="21"/>
                      <w:highlight w:val="none"/>
                      <w:u w:val="none"/>
                    </w:rPr>
                  </w:pPr>
                  <w:r>
                    <w:rPr>
                      <w:rStyle w:val="76"/>
                      <w:snapToGrid w:val="0"/>
                      <w:color w:val="auto"/>
                      <w:sz w:val="21"/>
                      <w:szCs w:val="21"/>
                      <w:highlight w:val="none"/>
                      <w:lang w:val="en-US" w:eastAsia="zh-CN" w:bidi="ar"/>
                    </w:rPr>
                    <w:t>符合性</w:t>
                  </w:r>
                </w:p>
              </w:tc>
            </w:tr>
            <w:tr w14:paraId="10F5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49668">
                  <w:pPr>
                    <w:keepNext w:val="0"/>
                    <w:keepLines w:val="0"/>
                    <w:widowControl/>
                    <w:suppressLineNumbers w:val="0"/>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大气环境影响减缓对策措施</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6044">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新上企业要严格执行排放标准和园区准入条件，远期发展大气污染物排放总量不得突破近期设定的控制指标。</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E60C">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本项目严格执行排放标准和园区准入条件，大气污染物排放总量未突破近期设定的控制指标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82EDD">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59168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55C5E">
                  <w:pPr>
                    <w:jc w:val="center"/>
                    <w:rPr>
                      <w:rFonts w:hint="eastAsia" w:ascii="宋体" w:hAnsi="宋体" w:eastAsia="宋体" w:cs="宋体"/>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73AA">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落实国家和地方大气污染行动计划，切实改善大气环境质量落实国务院</w:t>
                  </w:r>
                  <w:r>
                    <w:rPr>
                      <w:rStyle w:val="77"/>
                      <w:rFonts w:hint="eastAsia"/>
                      <w:snapToGrid w:val="0"/>
                      <w:color w:val="auto"/>
                      <w:sz w:val="21"/>
                      <w:szCs w:val="21"/>
                      <w:highlight w:val="none"/>
                      <w:lang w:val="en-US" w:eastAsia="zh-CN" w:bidi="ar"/>
                    </w:rPr>
                    <w:t>《中共中央 国务院</w:t>
                  </w:r>
                  <w:r>
                    <w:rPr>
                      <w:rStyle w:val="77"/>
                      <w:snapToGrid w:val="0"/>
                      <w:color w:val="auto"/>
                      <w:sz w:val="21"/>
                      <w:szCs w:val="21"/>
                      <w:highlight w:val="none"/>
                      <w:lang w:val="en-US" w:eastAsia="zh-CN" w:bidi="ar"/>
                    </w:rPr>
                    <w:t>关于深入打好污染防治攻坚战的意见》</w:t>
                  </w:r>
                  <w:r>
                    <w:rPr>
                      <w:rStyle w:val="77"/>
                      <w:rFonts w:hint="eastAsia"/>
                      <w:snapToGrid w:val="0"/>
                      <w:color w:val="auto"/>
                      <w:sz w:val="21"/>
                      <w:szCs w:val="21"/>
                      <w:highlight w:val="none"/>
                      <w:lang w:val="en-US" w:eastAsia="zh-CN" w:bidi="ar"/>
                    </w:rPr>
                    <w:t>，</w:t>
                  </w:r>
                  <w:r>
                    <w:rPr>
                      <w:rStyle w:val="77"/>
                      <w:snapToGrid w:val="0"/>
                      <w:color w:val="auto"/>
                      <w:sz w:val="21"/>
                      <w:szCs w:val="21"/>
                      <w:highlight w:val="none"/>
                      <w:lang w:val="en-US" w:eastAsia="zh-CN" w:bidi="ar"/>
                    </w:rPr>
                    <w:t>将二氧化硫、氮氧化物、颗粒物和挥发性有机物的排放总量指标作为建设项目环境影响评价审批的前置条件，加强氮氧化物和挥发性有机物的治理和监控。</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7CDEC">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本项目已设置二氧化硫、氮氧化物、颗粒物和挥发性有机物的排放总量指标，采用效率较高的污染治理设施。</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726E">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7894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59499">
                  <w:pPr>
                    <w:jc w:val="center"/>
                    <w:rPr>
                      <w:rFonts w:hint="eastAsia" w:ascii="宋体" w:hAnsi="宋体" w:eastAsia="宋体" w:cs="宋体"/>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E7125">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入园项目应与环保治理设施同时审批、同时施工、同时投入使用。面源大气污染物的控制主要从改革企业的工艺入手，通过采取先进的工艺设备，在源头开始削减污染物的产生。企业营运过程中，采用加强环境管理和实施清洁生产和污染物治理等可控手段，最大限度的减少面源污染物的排放量。</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E3F3">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本项目</w:t>
                  </w:r>
                  <w:r>
                    <w:rPr>
                      <w:rStyle w:val="77"/>
                      <w:rFonts w:hint="eastAsia"/>
                      <w:snapToGrid w:val="0"/>
                      <w:color w:val="auto"/>
                      <w:sz w:val="21"/>
                      <w:szCs w:val="21"/>
                      <w:highlight w:val="none"/>
                      <w:lang w:val="en-US" w:eastAsia="zh-CN" w:bidi="ar"/>
                    </w:rPr>
                    <w:t>喷砂工序使用袋式除尘器处理，热风炉燃烧废气经低氮燃烧器处理后排放</w:t>
                  </w:r>
                  <w:r>
                    <w:rPr>
                      <w:rStyle w:val="77"/>
                      <w:snapToGrid w:val="0"/>
                      <w:color w:val="auto"/>
                      <w:sz w:val="21"/>
                      <w:szCs w:val="21"/>
                      <w:highlight w:val="none"/>
                      <w:lang w:val="en-US" w:eastAsia="zh-CN" w:bidi="ar"/>
                    </w:rPr>
                    <w:t>，</w:t>
                  </w:r>
                  <w:r>
                    <w:rPr>
                      <w:rStyle w:val="77"/>
                      <w:rFonts w:hint="eastAsia"/>
                      <w:snapToGrid w:val="0"/>
                      <w:color w:val="auto"/>
                      <w:sz w:val="21"/>
                      <w:szCs w:val="21"/>
                      <w:highlight w:val="none"/>
                      <w:lang w:val="en-US" w:eastAsia="zh-CN" w:bidi="ar"/>
                    </w:rPr>
                    <w:t>喷漆涂粉工序采用活性炭吸附/脱附+催化燃烧设备处理，</w:t>
                  </w:r>
                  <w:r>
                    <w:rPr>
                      <w:rStyle w:val="77"/>
                      <w:snapToGrid w:val="0"/>
                      <w:color w:val="auto"/>
                      <w:sz w:val="21"/>
                      <w:szCs w:val="21"/>
                      <w:highlight w:val="none"/>
                      <w:lang w:val="en-US" w:eastAsia="zh-CN" w:bidi="ar"/>
                    </w:rPr>
                    <w:t>已采用加强环境管理和实施清洁生产和污染物治理等可控手段。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9AAD4">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563F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ED06D">
                  <w:pPr>
                    <w:jc w:val="center"/>
                    <w:rPr>
                      <w:rFonts w:hint="eastAsia" w:ascii="宋体" w:hAnsi="宋体" w:eastAsia="宋体" w:cs="宋体"/>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AB92">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各生产企业排放的废气须经处理达到相应的行业排放标准及《工业炉窑大气污染物排放标准》、《大气污染物综合排放标准》中的二级标准。</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39D9">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本项目要求企业排放的废气须经处理达到相应的行业排放标准。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8310">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317F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9AFBD">
                  <w:pPr>
                    <w:jc w:val="center"/>
                    <w:rPr>
                      <w:rFonts w:hint="eastAsia" w:ascii="宋体" w:hAnsi="宋体" w:eastAsia="宋体" w:cs="宋体"/>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5428">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工业园区各企业废渣不在企业内或外环境堆存，减轻园区内的扬尘污染，要求企业设置原料及产品仓库，最大限度降低粉尘的无组织挥发。</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0BC6">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本项目产生的固废均采取专用设施贮存，未露天堆放。</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478C8">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085FF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F53BF">
                  <w:pPr>
                    <w:keepNext w:val="0"/>
                    <w:keepLines w:val="0"/>
                    <w:widowControl/>
                    <w:suppressLineNumbers w:val="0"/>
                    <w:jc w:val="center"/>
                    <w:textAlignment w:val="center"/>
                    <w:rPr>
                      <w:rFonts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水环境影响减缓对策措施</w:t>
                  </w:r>
                </w:p>
              </w:tc>
              <w:tc>
                <w:tcPr>
                  <w:tcW w:w="21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50998">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各企业应按清污分流、雨污分流、污污分流原则建立完善的排水系统和事故池，确保各类生产废水得到有效收集、处理循环使用。严禁将生产废水未经处理直接外排污水处理厂，严禁将生产废水直接排入外环境。企业废水处理设施的关</w:t>
                  </w:r>
                  <w:r>
                    <w:rPr>
                      <w:rStyle w:val="77"/>
                      <w:rFonts w:hint="eastAsia"/>
                      <w:snapToGrid w:val="0"/>
                      <w:color w:val="auto"/>
                      <w:sz w:val="21"/>
                      <w:szCs w:val="21"/>
                      <w:highlight w:val="none"/>
                      <w:lang w:val="en-US" w:eastAsia="zh-CN" w:bidi="ar"/>
                    </w:rPr>
                    <w:t>键设备应有备件，以保证处理设施正常运行。</w:t>
                  </w:r>
                </w:p>
              </w:tc>
              <w:tc>
                <w:tcPr>
                  <w:tcW w:w="14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C25529">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w:t>
                  </w:r>
                  <w:r>
                    <w:rPr>
                      <w:rFonts w:hint="default" w:ascii="Times New Roman" w:hAnsi="Times New Roman" w:eastAsia="宋体" w:cs="Times New Roman"/>
                      <w:bCs/>
                      <w:color w:val="auto"/>
                      <w:kern w:val="0"/>
                      <w:szCs w:val="21"/>
                      <w:highlight w:val="none"/>
                      <w:lang w:val="en-US" w:eastAsia="zh-CN"/>
                    </w:rPr>
                    <w:t>生活污水排入厂区防渗池，定期由吸污车拉运，待园区下水管网建成后接入园区下水管网，进入污水处理厂处理</w:t>
                  </w:r>
                  <w:r>
                    <w:rPr>
                      <w:rStyle w:val="77"/>
                      <w:snapToGrid w:val="0"/>
                      <w:color w:val="auto"/>
                      <w:sz w:val="21"/>
                      <w:szCs w:val="21"/>
                      <w:highlight w:val="none"/>
                      <w:lang w:val="en-US" w:eastAsia="zh-CN" w:bidi="ar"/>
                    </w:rPr>
                    <w:t>。</w:t>
                  </w:r>
                </w:p>
              </w:tc>
              <w:tc>
                <w:tcPr>
                  <w:tcW w:w="6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929C9">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6899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EACDE">
                  <w:pPr>
                    <w:jc w:val="center"/>
                    <w:rPr>
                      <w:rFonts w:hint="default" w:ascii="Arial" w:hAnsi="Arial" w:cs="Arial"/>
                      <w:i w:val="0"/>
                      <w:iCs w:val="0"/>
                      <w:color w:val="auto"/>
                      <w:sz w:val="21"/>
                      <w:szCs w:val="21"/>
                      <w:highlight w:val="none"/>
                      <w:u w:val="none"/>
                    </w:rPr>
                  </w:pPr>
                </w:p>
              </w:tc>
              <w:tc>
                <w:tcPr>
                  <w:tcW w:w="21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64AE7">
                  <w:pPr>
                    <w:keepNext w:val="0"/>
                    <w:keepLines w:val="0"/>
                    <w:pageBreakBefore w:val="0"/>
                    <w:widowControl/>
                    <w:wordWrap/>
                    <w:overflowPunct/>
                    <w:topLinePunct w:val="0"/>
                    <w:bidi w:val="0"/>
                    <w:spacing w:line="240" w:lineRule="auto"/>
                    <w:jc w:val="center"/>
                    <w:rPr>
                      <w:rFonts w:hint="default" w:ascii="Arial" w:hAnsi="Arial" w:cs="Arial"/>
                      <w:i w:val="0"/>
                      <w:iCs w:val="0"/>
                      <w:color w:val="auto"/>
                      <w:sz w:val="21"/>
                      <w:szCs w:val="21"/>
                      <w:highlight w:val="none"/>
                      <w:u w:val="none"/>
                    </w:rPr>
                  </w:pPr>
                </w:p>
              </w:tc>
              <w:tc>
                <w:tcPr>
                  <w:tcW w:w="14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B16A9">
                  <w:pPr>
                    <w:keepNext w:val="0"/>
                    <w:keepLines w:val="0"/>
                    <w:pageBreakBefore w:val="0"/>
                    <w:widowControl/>
                    <w:wordWrap/>
                    <w:overflowPunct/>
                    <w:topLinePunct w:val="0"/>
                    <w:bidi w:val="0"/>
                    <w:spacing w:line="240" w:lineRule="auto"/>
                    <w:jc w:val="center"/>
                    <w:rPr>
                      <w:rFonts w:hint="default" w:ascii="Arial" w:hAnsi="Arial" w:cs="Arial"/>
                      <w:i w:val="0"/>
                      <w:iCs w:val="0"/>
                      <w:color w:val="auto"/>
                      <w:sz w:val="21"/>
                      <w:szCs w:val="21"/>
                      <w:highlight w:val="none"/>
                      <w:u w:val="none"/>
                    </w:rPr>
                  </w:pPr>
                </w:p>
              </w:tc>
              <w:tc>
                <w:tcPr>
                  <w:tcW w:w="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DB692">
                  <w:pPr>
                    <w:keepNext w:val="0"/>
                    <w:keepLines w:val="0"/>
                    <w:pageBreakBefore w:val="0"/>
                    <w:widowControl/>
                    <w:wordWrap/>
                    <w:overflowPunct/>
                    <w:topLinePunct w:val="0"/>
                    <w:bidi w:val="0"/>
                    <w:spacing w:line="240" w:lineRule="auto"/>
                    <w:jc w:val="center"/>
                    <w:rPr>
                      <w:rFonts w:hint="default" w:ascii="Arial" w:hAnsi="Arial" w:cs="Arial"/>
                      <w:i w:val="0"/>
                      <w:iCs w:val="0"/>
                      <w:color w:val="auto"/>
                      <w:sz w:val="21"/>
                      <w:szCs w:val="21"/>
                      <w:highlight w:val="none"/>
                      <w:u w:val="none"/>
                    </w:rPr>
                  </w:pPr>
                </w:p>
              </w:tc>
            </w:tr>
            <w:tr w14:paraId="682E3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F3862">
                  <w:pPr>
                    <w:jc w:val="center"/>
                    <w:rPr>
                      <w:rFonts w:hint="default" w:ascii="Arial" w:hAnsi="Arial" w:cs="Arial"/>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BF67">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园区内企业均配套事故废水收集池，在正常、非正常以及事故工况下，确保生产、生活等各个环节污水经回收处理回用等措施实现废污水对周边水体不外排。</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DABE">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w:t>
                  </w:r>
                  <w:r>
                    <w:rPr>
                      <w:rStyle w:val="77"/>
                      <w:rFonts w:hint="eastAsia"/>
                      <w:snapToGrid w:val="0"/>
                      <w:color w:val="auto"/>
                      <w:sz w:val="21"/>
                      <w:szCs w:val="21"/>
                      <w:highlight w:val="none"/>
                      <w:lang w:val="en-US" w:eastAsia="zh-CN" w:bidi="ar"/>
                    </w:rPr>
                    <w:t>生产不用水，</w:t>
                  </w:r>
                  <w:r>
                    <w:rPr>
                      <w:rFonts w:hint="default" w:ascii="Times New Roman" w:hAnsi="Times New Roman" w:eastAsia="宋体" w:cs="Times New Roman"/>
                      <w:bCs/>
                      <w:color w:val="auto"/>
                      <w:kern w:val="0"/>
                      <w:szCs w:val="21"/>
                      <w:highlight w:val="none"/>
                      <w:lang w:val="en-US" w:eastAsia="zh-CN"/>
                    </w:rPr>
                    <w:t>生活污水排入厂区防渗池，定期由吸污车拉运，待园区下水管网建成后接入园区下水管网，进入污水处理厂处理。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F3CA0">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2D75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DDD08">
                  <w:pPr>
                    <w:jc w:val="center"/>
                    <w:rPr>
                      <w:rFonts w:hint="default" w:ascii="Arial" w:hAnsi="Arial" w:cs="Arial"/>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0AEDE">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根据行业准入类别，制定行业清洁生产指标体系，大力推行节水型清洁生产工艺，禁止高耗水企业入驻，规划要求区内各工业用户的生产废水，按照相应的排水水质和复用水水质要求进行处理，复用于生产循环用水。</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198B">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本项目不属于高耗水项目，项目产生</w:t>
                  </w:r>
                  <w:r>
                    <w:rPr>
                      <w:rStyle w:val="77"/>
                      <w:rFonts w:hint="eastAsia"/>
                      <w:snapToGrid w:val="0"/>
                      <w:color w:val="auto"/>
                      <w:sz w:val="21"/>
                      <w:szCs w:val="21"/>
                      <w:highlight w:val="none"/>
                      <w:lang w:val="en-US" w:eastAsia="zh-CN" w:bidi="ar"/>
                    </w:rPr>
                    <w:t>不用水</w:t>
                  </w:r>
                  <w:r>
                    <w:rPr>
                      <w:rStyle w:val="77"/>
                      <w:snapToGrid w:val="0"/>
                      <w:color w:val="auto"/>
                      <w:sz w:val="21"/>
                      <w:szCs w:val="21"/>
                      <w:highlight w:val="none"/>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CC06">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074F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1DE41">
                  <w:pPr>
                    <w:jc w:val="center"/>
                    <w:rPr>
                      <w:rFonts w:hint="default" w:ascii="Arial" w:hAnsi="Arial" w:cs="Arial"/>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36E9">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工业园区企业要注重发展不用水或少用水的产业和生产工艺，发展循环用水、一水多用和废水回用等技术。各生产企业的新鲜耗水量应达到国内同行业的先进水平。</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C194">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本项目主要为生活用水，生产</w:t>
                  </w:r>
                  <w:r>
                    <w:rPr>
                      <w:rStyle w:val="77"/>
                      <w:rFonts w:hint="eastAsia"/>
                      <w:snapToGrid w:val="0"/>
                      <w:color w:val="auto"/>
                      <w:sz w:val="21"/>
                      <w:szCs w:val="21"/>
                      <w:highlight w:val="none"/>
                      <w:lang w:val="en-US" w:eastAsia="zh-CN" w:bidi="ar"/>
                    </w:rPr>
                    <w:t>不</w:t>
                  </w:r>
                  <w:r>
                    <w:rPr>
                      <w:rStyle w:val="77"/>
                      <w:snapToGrid w:val="0"/>
                      <w:color w:val="auto"/>
                      <w:sz w:val="21"/>
                      <w:szCs w:val="21"/>
                      <w:highlight w:val="none"/>
                      <w:lang w:val="en-US" w:eastAsia="zh-CN" w:bidi="ar"/>
                    </w:rPr>
                    <w:t>用水。</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32FB4">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638A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84F56">
                  <w:pPr>
                    <w:jc w:val="center"/>
                    <w:rPr>
                      <w:rFonts w:hint="default" w:ascii="Arial" w:hAnsi="Arial" w:cs="Arial"/>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9C180">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企业严格按照要求进行分区防渗、建构筑物按相关要求进行防渗处理、设置事故池，工业废水按照要求进行地上管廊输送，污水处理站构筑物均进行防渗处理，废水处理后尽量回用，在涉及废水的各阶段已从污染源头切断对地下水污染的可能性。</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6DB7F">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本项目已采取分区防渗措施。</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1653E">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5A95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0ECA">
                  <w:pPr>
                    <w:keepNext w:val="0"/>
                    <w:keepLines w:val="0"/>
                    <w:widowControl/>
                    <w:suppressLineNumbers w:val="0"/>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声环境影响减缓措施</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9666">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规划入驻项目中涉及高噪声设备或高噪声车间，应远离厂界，并充分利用厂房、建构筑物遮挡隔声，规划区内外道路植树绿化，以减轻噪声影响。对噪声污染严重的工业噪声</w:t>
                  </w:r>
                  <w:r>
                    <w:rPr>
                      <w:rStyle w:val="77"/>
                      <w:rFonts w:hint="eastAsia"/>
                      <w:snapToGrid w:val="0"/>
                      <w:color w:val="auto"/>
                      <w:sz w:val="21"/>
                      <w:szCs w:val="21"/>
                      <w:highlight w:val="none"/>
                      <w:lang w:val="en-US" w:eastAsia="zh-CN" w:bidi="ar"/>
                    </w:rPr>
                    <w:t>分批</w:t>
                  </w:r>
                  <w:r>
                    <w:rPr>
                      <w:rStyle w:val="77"/>
                      <w:snapToGrid w:val="0"/>
                      <w:color w:val="auto"/>
                      <w:sz w:val="21"/>
                      <w:szCs w:val="21"/>
                      <w:highlight w:val="none"/>
                      <w:lang w:val="en-US" w:eastAsia="zh-CN" w:bidi="ar"/>
                    </w:rPr>
                    <w:t>采取控制措施；合理布局声源位置，减少对周围敏感目标的影响；采取声学控制措施，利用消声、吸声、隔声和减振等措施，降低噪声对外界的干扰。</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49BE">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环评要求设备均安置在厂房内；高噪声设备设置减振垫；禁止鸣笛；车辆限速；定期维修保养。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58671">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563D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26052">
                  <w:pPr>
                    <w:keepNext w:val="0"/>
                    <w:keepLines w:val="0"/>
                    <w:widowControl/>
                    <w:suppressLineNumbers w:val="0"/>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固废污染防治减缓措施</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5D97">
                  <w:pPr>
                    <w:keepNext w:val="0"/>
                    <w:keepLines w:val="0"/>
                    <w:pageBreakBefore w:val="0"/>
                    <w:widowControl/>
                    <w:suppressLineNumbers w:val="0"/>
                    <w:wordWrap/>
                    <w:overflowPunct/>
                    <w:topLinePunct w:val="0"/>
                    <w:bidi w:val="0"/>
                    <w:spacing w:line="240" w:lineRule="auto"/>
                    <w:jc w:val="center"/>
                    <w:textAlignment w:val="center"/>
                    <w:rPr>
                      <w:rFonts w:ascii="宋体" w:hAnsi="宋体" w:eastAsia="宋体" w:cs="宋体"/>
                      <w:i w:val="0"/>
                      <w:iCs w:val="0"/>
                      <w:color w:val="auto"/>
                      <w:sz w:val="21"/>
                      <w:szCs w:val="21"/>
                      <w:highlight w:val="none"/>
                      <w:u w:val="none"/>
                    </w:rPr>
                  </w:pPr>
                  <w:r>
                    <w:rPr>
                      <w:rFonts w:ascii="宋体" w:hAnsi="宋体" w:eastAsia="宋体" w:cs="宋体"/>
                      <w:i w:val="0"/>
                      <w:iCs w:val="0"/>
                      <w:snapToGrid w:val="0"/>
                      <w:color w:val="auto"/>
                      <w:kern w:val="0"/>
                      <w:sz w:val="21"/>
                      <w:szCs w:val="21"/>
                      <w:highlight w:val="none"/>
                      <w:u w:val="none"/>
                      <w:lang w:val="en-US" w:eastAsia="zh-CN" w:bidi="ar"/>
                    </w:rPr>
                    <w:t>工业园区产生的一般固体废物首先实行综合利用，对不可综合利用的一般固体废物，应送往一般工业固体废物处理处置场所，进行安全填埋处置。</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AC33B">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本项目产生</w:t>
                  </w:r>
                  <w:r>
                    <w:rPr>
                      <w:rStyle w:val="77"/>
                      <w:rFonts w:hint="eastAsia"/>
                      <w:snapToGrid w:val="0"/>
                      <w:color w:val="auto"/>
                      <w:sz w:val="21"/>
                      <w:szCs w:val="21"/>
                      <w:highlight w:val="none"/>
                      <w:lang w:val="en-US" w:eastAsia="zh-CN" w:bidi="ar"/>
                    </w:rPr>
                    <w:t>一般工业固废外售废品回收站</w:t>
                  </w:r>
                  <w:r>
                    <w:rPr>
                      <w:rStyle w:val="77"/>
                      <w:snapToGrid w:val="0"/>
                      <w:color w:val="auto"/>
                      <w:sz w:val="21"/>
                      <w:szCs w:val="21"/>
                      <w:highlight w:val="none"/>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F8CB">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r w14:paraId="07C9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7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81CD">
                  <w:pPr>
                    <w:jc w:val="center"/>
                    <w:rPr>
                      <w:rFonts w:hint="default" w:ascii="Arial" w:hAnsi="Arial" w:cs="Arial"/>
                      <w:i w:val="0"/>
                      <w:iCs w:val="0"/>
                      <w:color w:val="auto"/>
                      <w:sz w:val="21"/>
                      <w:szCs w:val="21"/>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6C94">
                  <w:pPr>
                    <w:keepNext w:val="0"/>
                    <w:keepLines w:val="0"/>
                    <w:pageBreakBefore w:val="0"/>
                    <w:widowControl/>
                    <w:suppressLineNumbers w:val="0"/>
                    <w:wordWrap/>
                    <w:overflowPunct/>
                    <w:topLinePunct w:val="0"/>
                    <w:bidi w:val="0"/>
                    <w:spacing w:line="240" w:lineRule="auto"/>
                    <w:jc w:val="center"/>
                    <w:textAlignment w:val="top"/>
                    <w:rPr>
                      <w:rFonts w:hint="default" w:ascii="Arial" w:hAnsi="Arial" w:cs="Arial"/>
                      <w:i w:val="0"/>
                      <w:iCs w:val="0"/>
                      <w:color w:val="auto"/>
                      <w:sz w:val="21"/>
                      <w:szCs w:val="21"/>
                      <w:highlight w:val="none"/>
                      <w:u w:val="none"/>
                    </w:rPr>
                  </w:pPr>
                  <w:r>
                    <w:rPr>
                      <w:rFonts w:hint="default" w:ascii="Arial" w:hAnsi="Arial" w:eastAsia="宋体" w:cs="Arial"/>
                      <w:i w:val="0"/>
                      <w:iCs w:val="0"/>
                      <w:snapToGrid w:val="0"/>
                      <w:color w:val="auto"/>
                      <w:kern w:val="0"/>
                      <w:sz w:val="21"/>
                      <w:szCs w:val="21"/>
                      <w:highlight w:val="none"/>
                      <w:u w:val="none"/>
                      <w:lang w:val="en-US" w:eastAsia="zh-CN" w:bidi="ar"/>
                    </w:rPr>
                    <w:t>根据污染源分析，园区产生的危险固体废物，必须严格按照国家关于危险废物处理处置要求和方法进行处理。园区产生的危险废物必须先由各企业自行收集和临时存放，危险废物临时贮存场要严格执行《危险废物贮存污染控制标准》(GB18597-2023</w:t>
                  </w:r>
                  <w:r>
                    <w:rPr>
                      <w:rFonts w:hint="eastAsia" w:eastAsia="宋体" w:cs="Arial"/>
                      <w:i w:val="0"/>
                      <w:iCs w:val="0"/>
                      <w:snapToGrid w:val="0"/>
                      <w:color w:val="auto"/>
                      <w:kern w:val="0"/>
                      <w:sz w:val="21"/>
                      <w:szCs w:val="21"/>
                      <w:highlight w:val="none"/>
                      <w:u w:val="none"/>
                      <w:lang w:val="en-US" w:eastAsia="zh-CN" w:bidi="ar"/>
                    </w:rPr>
                    <w:t>）</w:t>
                  </w:r>
                  <w:r>
                    <w:rPr>
                      <w:rFonts w:hint="default" w:ascii="Arial" w:hAnsi="Arial" w:eastAsia="宋体" w:cs="Arial"/>
                      <w:i w:val="0"/>
                      <w:iCs w:val="0"/>
                      <w:snapToGrid w:val="0"/>
                      <w:color w:val="auto"/>
                      <w:kern w:val="0"/>
                      <w:sz w:val="21"/>
                      <w:szCs w:val="21"/>
                      <w:highlight w:val="none"/>
                      <w:u w:val="none"/>
                      <w:lang w:val="en-US" w:eastAsia="zh-CN" w:bidi="ar"/>
                    </w:rPr>
                    <w:t>和《危险废物转移管理办法》(生态环境部、公安部、交通运输部部令第23号</w:t>
                  </w:r>
                  <w:r>
                    <w:rPr>
                      <w:rFonts w:hint="eastAsia" w:eastAsia="宋体" w:cs="Arial"/>
                      <w:i w:val="0"/>
                      <w:iCs w:val="0"/>
                      <w:snapToGrid w:val="0"/>
                      <w:color w:val="auto"/>
                      <w:kern w:val="0"/>
                      <w:sz w:val="21"/>
                      <w:szCs w:val="21"/>
                      <w:highlight w:val="none"/>
                      <w:u w:val="none"/>
                      <w:lang w:val="en-US" w:eastAsia="zh-CN" w:bidi="ar"/>
                    </w:rPr>
                    <w:t>）</w:t>
                  </w:r>
                  <w:r>
                    <w:rPr>
                      <w:rFonts w:hint="default" w:ascii="Arial" w:hAnsi="Arial" w:eastAsia="宋体" w:cs="Arial"/>
                      <w:i w:val="0"/>
                      <w:iCs w:val="0"/>
                      <w:snapToGrid w:val="0"/>
                      <w:color w:val="auto"/>
                      <w:kern w:val="0"/>
                      <w:sz w:val="21"/>
                      <w:szCs w:val="21"/>
                      <w:highlight w:val="none"/>
                      <w:u w:val="none"/>
                      <w:lang w:val="en-US" w:eastAsia="zh-CN" w:bidi="ar"/>
                    </w:rPr>
                    <w:t>。按照国家有关规定办理危险废物申报转移的手续，并在贮运过程中严格执行危险化学品贮存、运输和监管的有关规定</w:t>
                  </w:r>
                </w:p>
              </w:tc>
              <w:tc>
                <w:tcPr>
                  <w:tcW w:w="1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B934B">
                  <w:pPr>
                    <w:keepNext w:val="0"/>
                    <w:keepLines w:val="0"/>
                    <w:pageBreakBefore w:val="0"/>
                    <w:widowControl/>
                    <w:suppressLineNumbers w:val="0"/>
                    <w:wordWrap/>
                    <w:overflowPunct/>
                    <w:topLinePunct w:val="0"/>
                    <w:bidi w:val="0"/>
                    <w:spacing w:line="240" w:lineRule="auto"/>
                    <w:jc w:val="center"/>
                    <w:textAlignment w:val="top"/>
                    <w:rPr>
                      <w:rFonts w:hint="default" w:ascii="Arial" w:hAnsi="Arial" w:cs="Arial"/>
                      <w:i w:val="0"/>
                      <w:iCs w:val="0"/>
                      <w:color w:val="auto"/>
                      <w:sz w:val="21"/>
                      <w:szCs w:val="21"/>
                      <w:highlight w:val="none"/>
                      <w:u w:val="none"/>
                    </w:rPr>
                  </w:pPr>
                  <w:r>
                    <w:rPr>
                      <w:rFonts w:hint="default" w:ascii="Arial" w:hAnsi="Arial" w:eastAsia="宋体" w:cs="Arial"/>
                      <w:i w:val="0"/>
                      <w:iCs w:val="0"/>
                      <w:snapToGrid w:val="0"/>
                      <w:color w:val="auto"/>
                      <w:kern w:val="0"/>
                      <w:sz w:val="21"/>
                      <w:szCs w:val="21"/>
                      <w:highlight w:val="none"/>
                      <w:u w:val="none"/>
                      <w:lang w:val="en-US" w:eastAsia="zh-CN" w:bidi="ar"/>
                    </w:rPr>
                    <w:t>本项目危险废物统一收集后暂存于危废暂存间，定期委托有资质单位处置，环评要求建设单位严格按照《危险废物贮存污染控制标准》和《危险废物转移管理办法》执行。</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E035">
                  <w:pPr>
                    <w:keepNext w:val="0"/>
                    <w:keepLines w:val="0"/>
                    <w:pageBreakBefore w:val="0"/>
                    <w:widowControl/>
                    <w:suppressLineNumbers w:val="0"/>
                    <w:wordWrap/>
                    <w:overflowPunct/>
                    <w:topLinePunct w:val="0"/>
                    <w:bidi w:val="0"/>
                    <w:spacing w:line="240" w:lineRule="auto"/>
                    <w:jc w:val="center"/>
                    <w:textAlignment w:val="center"/>
                    <w:rPr>
                      <w:rFonts w:hint="default" w:ascii="Arial" w:hAnsi="Arial" w:cs="Arial"/>
                      <w:i w:val="0"/>
                      <w:iCs w:val="0"/>
                      <w:color w:val="auto"/>
                      <w:sz w:val="21"/>
                      <w:szCs w:val="21"/>
                      <w:highlight w:val="none"/>
                      <w:u w:val="none"/>
                    </w:rPr>
                  </w:pPr>
                  <w:r>
                    <w:rPr>
                      <w:rStyle w:val="77"/>
                      <w:snapToGrid w:val="0"/>
                      <w:color w:val="auto"/>
                      <w:sz w:val="21"/>
                      <w:szCs w:val="21"/>
                      <w:highlight w:val="none"/>
                      <w:lang w:val="en-US" w:eastAsia="zh-CN" w:bidi="ar"/>
                    </w:rPr>
                    <w:t>符合</w:t>
                  </w:r>
                </w:p>
              </w:tc>
            </w:tr>
          </w:tbl>
          <w:p w14:paraId="781CBA02">
            <w:pPr>
              <w:keepNext w:val="0"/>
              <w:keepLines w:val="0"/>
              <w:pageBreakBefore w:val="0"/>
              <w:widowControl/>
              <w:suppressLineNumbers w:val="0"/>
              <w:kinsoku/>
              <w:wordWrap/>
              <w:topLinePunct w:val="0"/>
              <w:bidi w:val="0"/>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p>
          <w:p w14:paraId="66EA1BE9">
            <w:pPr>
              <w:keepNext w:val="0"/>
              <w:keepLines w:val="0"/>
              <w:pageBreakBefore w:val="0"/>
              <w:widowControl/>
              <w:suppressLineNumbers w:val="0"/>
              <w:kinsoku/>
              <w:wordWrap/>
              <w:topLinePunct w:val="0"/>
              <w:bidi w:val="0"/>
              <w:ind w:left="0" w:leftChars="0" w:firstLine="0" w:firstLineChars="0"/>
              <w:jc w:val="center"/>
              <w:textAlignment w:val="auto"/>
              <w:rPr>
                <w:rFonts w:hint="default" w:ascii="Times New Roman" w:hAnsi="Times New Roman" w:cs="Times New Roman"/>
                <w:color w:val="auto"/>
                <w:highlight w:val="none"/>
              </w:rPr>
            </w:pPr>
            <w:r>
              <w:rPr>
                <w:rFonts w:hint="default" w:ascii="Times New Roman" w:hAnsi="Times New Roman" w:eastAsia="宋体" w:cs="Times New Roman"/>
                <w:b/>
                <w:bCs/>
                <w:color w:val="auto"/>
                <w:sz w:val="21"/>
                <w:szCs w:val="21"/>
                <w:highlight w:val="none"/>
              </w:rPr>
              <w:t>表1-</w:t>
            </w: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lang w:val="en-US" w:eastAsia="zh-CN" w:bidi="ar"/>
              </w:rPr>
              <w:t>本项目与《昌吉空港合作区专项规划（2024</w:t>
            </w:r>
            <w:r>
              <w:rPr>
                <w:rFonts w:hint="eastAsia" w:ascii="Times New Roman" w:hAnsi="Times New Roman" w:eastAsia="宋体" w:cs="Times New Roman"/>
                <w:b/>
                <w:bCs/>
                <w:color w:val="auto"/>
                <w:kern w:val="0"/>
                <w:sz w:val="21"/>
                <w:szCs w:val="21"/>
                <w:highlight w:val="none"/>
                <w:lang w:val="en-US" w:eastAsia="zh-CN" w:bidi="ar"/>
              </w:rPr>
              <w:t>—</w:t>
            </w:r>
            <w:r>
              <w:rPr>
                <w:rFonts w:hint="default" w:ascii="Times New Roman" w:hAnsi="Times New Roman" w:eastAsia="宋体" w:cs="Times New Roman"/>
                <w:b/>
                <w:bCs/>
                <w:color w:val="auto"/>
                <w:kern w:val="0"/>
                <w:sz w:val="21"/>
                <w:szCs w:val="21"/>
                <w:highlight w:val="none"/>
                <w:lang w:val="en-US" w:eastAsia="zh-CN" w:bidi="ar"/>
              </w:rPr>
              <w:t>2035年）环境影响报告书》审查意见符合性分析</w:t>
            </w:r>
          </w:p>
          <w:tbl>
            <w:tblPr>
              <w:tblStyle w:val="30"/>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0"/>
              <w:gridCol w:w="2561"/>
              <w:gridCol w:w="926"/>
            </w:tblGrid>
            <w:tr w14:paraId="5249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0" w:type="dxa"/>
                  <w:tcBorders>
                    <w:tl2br w:val="nil"/>
                    <w:tr2bl w:val="nil"/>
                  </w:tcBorders>
                  <w:vAlign w:val="center"/>
                </w:tcPr>
                <w:p w14:paraId="1F2A3BDB">
                  <w:pPr>
                    <w:keepNext w:val="0"/>
                    <w:keepLines w:val="0"/>
                    <w:pageBreakBefore w:val="0"/>
                    <w:widowControl/>
                    <w:suppressLineNumbers w:val="0"/>
                    <w:kinsoku/>
                    <w:wordWrap/>
                    <w:topLinePunct w:val="0"/>
                    <w:bidi w:val="0"/>
                    <w:spacing w:before="0" w:beforeAutospacing="0" w:after="0" w:afterAutospacing="0"/>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0"/>
                      <w:szCs w:val="20"/>
                      <w:highlight w:val="none"/>
                      <w:lang w:val="en-US" w:eastAsia="zh-CN" w:bidi="ar"/>
                    </w:rPr>
                    <w:t>规划要求</w:t>
                  </w:r>
                </w:p>
              </w:tc>
              <w:tc>
                <w:tcPr>
                  <w:tcW w:w="2561" w:type="dxa"/>
                  <w:tcBorders>
                    <w:tl2br w:val="nil"/>
                    <w:tr2bl w:val="nil"/>
                  </w:tcBorders>
                  <w:vAlign w:val="center"/>
                </w:tcPr>
                <w:p w14:paraId="617B1769">
                  <w:pPr>
                    <w:keepNext w:val="0"/>
                    <w:keepLines w:val="0"/>
                    <w:pageBreakBefore w:val="0"/>
                    <w:widowControl/>
                    <w:suppressLineNumbers w:val="0"/>
                    <w:kinsoku/>
                    <w:wordWrap/>
                    <w:topLinePunct w:val="0"/>
                    <w:bidi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0"/>
                      <w:szCs w:val="20"/>
                      <w:highlight w:val="none"/>
                      <w:lang w:val="en-US" w:eastAsia="zh-CN" w:bidi="ar"/>
                    </w:rPr>
                    <w:t>项目情况</w:t>
                  </w:r>
                </w:p>
              </w:tc>
              <w:tc>
                <w:tcPr>
                  <w:tcW w:w="926" w:type="dxa"/>
                  <w:tcBorders>
                    <w:tl2br w:val="nil"/>
                    <w:tr2bl w:val="nil"/>
                  </w:tcBorders>
                  <w:vAlign w:val="center"/>
                </w:tcPr>
                <w:p w14:paraId="587CBC35">
                  <w:pPr>
                    <w:keepNext w:val="0"/>
                    <w:keepLines w:val="0"/>
                    <w:pageBreakBefore w:val="0"/>
                    <w:widowControl/>
                    <w:suppressLineNumbers w:val="0"/>
                    <w:kinsoku/>
                    <w:wordWrap/>
                    <w:topLinePunct w:val="0"/>
                    <w:bidi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符合性</w:t>
                  </w:r>
                </w:p>
              </w:tc>
            </w:tr>
            <w:tr w14:paraId="7C86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0" w:type="dxa"/>
                  <w:tcBorders>
                    <w:tl2br w:val="nil"/>
                    <w:tr2bl w:val="nil"/>
                  </w:tcBorders>
                </w:tcPr>
                <w:p w14:paraId="6FDA3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严守生态保护红线，加强空间管控。保护区域大气环境、地表水环境、地下水环境、土壤环境质量，落实、细化园区所在生态环境管控单元的管控要求，保障规划实施不突破区域生态保护红线、环境质量底线和资源利用上线。做好与国土空间规划的衔接，从全局的角度以资源承载能力和国土空间开发适宜性评价来支撑园区规划实施，确保区域环境质量不降低。</w:t>
                  </w:r>
                </w:p>
              </w:tc>
              <w:tc>
                <w:tcPr>
                  <w:tcW w:w="2561" w:type="dxa"/>
                  <w:tcBorders>
                    <w:tl2br w:val="nil"/>
                    <w:tr2bl w:val="nil"/>
                  </w:tcBorders>
                  <w:vAlign w:val="center"/>
                </w:tcPr>
                <w:p w14:paraId="6171E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本项目位于</w:t>
                  </w:r>
                  <w:r>
                    <w:rPr>
                      <w:rFonts w:hint="default" w:ascii="Times New Roman" w:hAnsi="Times New Roman" w:eastAsia="Helvetica" w:cs="Times New Roman"/>
                      <w:i w:val="0"/>
                      <w:iCs w:val="0"/>
                      <w:caps w:val="0"/>
                      <w:color w:val="auto"/>
                      <w:spacing w:val="0"/>
                      <w:sz w:val="21"/>
                      <w:szCs w:val="21"/>
                      <w:highlight w:val="none"/>
                      <w:shd w:val="clear" w:fill="FFFFFF"/>
                    </w:rPr>
                    <w:t>新疆昌吉回族自治州昌吉市</w:t>
                  </w:r>
                  <w:r>
                    <w:rPr>
                      <w:rFonts w:hint="default" w:ascii="Times New Roman" w:hAnsi="Times New Roman" w:eastAsia="Helvetica" w:cs="Times New Roman"/>
                      <w:i w:val="0"/>
                      <w:iCs w:val="0"/>
                      <w:caps w:val="0"/>
                      <w:color w:val="auto"/>
                      <w:spacing w:val="0"/>
                      <w:sz w:val="21"/>
                      <w:szCs w:val="21"/>
                      <w:highlight w:val="none"/>
                      <w:shd w:val="clear" w:fill="FFFFFF"/>
                      <w:lang w:val="en-US" w:eastAsia="zh-CN"/>
                    </w:rPr>
                    <w:t>三工镇空港合作区纬三路北侧，位于</w:t>
                  </w:r>
                  <w:r>
                    <w:rPr>
                      <w:rFonts w:hint="default" w:ascii="Times New Roman" w:hAnsi="Times New Roman" w:eastAsia="宋体" w:cs="Times New Roman"/>
                      <w:b w:val="0"/>
                      <w:bCs w:val="0"/>
                      <w:color w:val="auto"/>
                      <w:sz w:val="21"/>
                      <w:szCs w:val="21"/>
                      <w:highlight w:val="none"/>
                      <w:vertAlign w:val="baseline"/>
                      <w:lang w:val="en-US" w:eastAsia="zh-CN"/>
                    </w:rPr>
                    <w:t>昌吉空港合作区装备产业区，符合园区内“开发区产业结构和布局”的要求；本项目的建设不会突破区域生态保护红线、环境质量底线和资源利用上限。</w:t>
                  </w:r>
                </w:p>
              </w:tc>
              <w:tc>
                <w:tcPr>
                  <w:tcW w:w="926" w:type="dxa"/>
                  <w:tcBorders>
                    <w:tl2br w:val="nil"/>
                    <w:tr2bl w:val="nil"/>
                  </w:tcBorders>
                  <w:vAlign w:val="center"/>
                </w:tcPr>
                <w:p w14:paraId="4470C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符合</w:t>
                  </w:r>
                </w:p>
              </w:tc>
            </w:tr>
            <w:tr w14:paraId="2513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0" w:type="dxa"/>
                  <w:tcBorders>
                    <w:tl2br w:val="nil"/>
                    <w:tr2bl w:val="nil"/>
                  </w:tcBorders>
                </w:tcPr>
                <w:p w14:paraId="235AC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2）坚守环境质量底线，严格污染物总量管控。落实重点行业区域削减措施，纳入日常环境管理工作，建立考核机制，并与排污许可制度衔接。推进现有企业工艺技术和污染治理技术改造，各类污染物排放须满足国家及自治区最新污染物排放标准要求。</w:t>
                  </w:r>
                </w:p>
              </w:tc>
              <w:tc>
                <w:tcPr>
                  <w:tcW w:w="2561" w:type="dxa"/>
                  <w:tcBorders>
                    <w:tl2br w:val="nil"/>
                    <w:tr2bl w:val="nil"/>
                  </w:tcBorders>
                  <w:vAlign w:val="center"/>
                </w:tcPr>
                <w:p w14:paraId="335ED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本项目严格落实污染物排放总量两倍量替代要求，本项目的设置不会突破区域生态保护红线、环境质量底线和资源利用上</w:t>
                  </w:r>
                  <w:r>
                    <w:rPr>
                      <w:rFonts w:hint="eastAsia" w:ascii="Times New Roman" w:hAnsi="Times New Roman" w:eastAsia="宋体" w:cs="Times New Roman"/>
                      <w:b w:val="0"/>
                      <w:bCs w:val="0"/>
                      <w:color w:val="auto"/>
                      <w:sz w:val="21"/>
                      <w:szCs w:val="21"/>
                      <w:highlight w:val="none"/>
                      <w:vertAlign w:val="baseline"/>
                      <w:lang w:val="en-US" w:eastAsia="zh-CN"/>
                    </w:rPr>
                    <w:t>限</w:t>
                  </w:r>
                  <w:r>
                    <w:rPr>
                      <w:rFonts w:hint="default" w:ascii="Times New Roman" w:hAnsi="Times New Roman" w:eastAsia="宋体" w:cs="Times New Roman"/>
                      <w:b w:val="0"/>
                      <w:bCs w:val="0"/>
                      <w:color w:val="auto"/>
                      <w:sz w:val="21"/>
                      <w:szCs w:val="21"/>
                      <w:highlight w:val="none"/>
                      <w:vertAlign w:val="baseline"/>
                      <w:lang w:val="en-US" w:eastAsia="zh-CN"/>
                    </w:rPr>
                    <w:t>。</w:t>
                  </w:r>
                </w:p>
              </w:tc>
              <w:tc>
                <w:tcPr>
                  <w:tcW w:w="926" w:type="dxa"/>
                  <w:tcBorders>
                    <w:tl2br w:val="nil"/>
                    <w:tr2bl w:val="nil"/>
                  </w:tcBorders>
                  <w:vAlign w:val="center"/>
                </w:tcPr>
                <w:p w14:paraId="54E8F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符合</w:t>
                  </w:r>
                </w:p>
              </w:tc>
            </w:tr>
          </w:tbl>
          <w:p w14:paraId="445D3B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p>
        </w:tc>
      </w:tr>
      <w:tr w14:paraId="633B5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7" w:hRule="atLeast"/>
          <w:jc w:val="center"/>
        </w:trPr>
        <w:tc>
          <w:tcPr>
            <w:tcW w:w="928" w:type="pct"/>
            <w:tcBorders>
              <w:left w:val="single" w:color="000000" w:sz="6" w:space="0"/>
            </w:tcBorders>
            <w:vAlign w:val="center"/>
          </w:tcPr>
          <w:p w14:paraId="0DC340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1"/>
                <w:sz w:val="24"/>
                <w:szCs w:val="24"/>
                <w:highlight w:val="none"/>
              </w:rPr>
              <w:t>其</w:t>
            </w:r>
            <w:r>
              <w:rPr>
                <w:rFonts w:hint="default" w:ascii="Times New Roman" w:hAnsi="Times New Roman" w:eastAsia="宋体" w:cs="Times New Roman"/>
                <w:color w:val="auto"/>
                <w:spacing w:val="8"/>
                <w:sz w:val="24"/>
                <w:szCs w:val="24"/>
                <w:highlight w:val="none"/>
              </w:rPr>
              <w:t>他符合性分析</w:t>
            </w:r>
          </w:p>
        </w:tc>
        <w:tc>
          <w:tcPr>
            <w:tcW w:w="4071" w:type="pct"/>
            <w:gridSpan w:val="3"/>
            <w:tcBorders>
              <w:right w:val="single" w:color="000000" w:sz="6" w:space="0"/>
            </w:tcBorders>
            <w:vAlign w:val="center"/>
          </w:tcPr>
          <w:p w14:paraId="4CF012A0">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2"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1.产业政策符合性分析</w:t>
            </w:r>
            <w:r>
              <w:rPr>
                <w:rFonts w:hint="default" w:ascii="Times New Roman" w:hAnsi="Times New Roman" w:eastAsia="宋体" w:cs="Times New Roman"/>
                <w:b w:val="0"/>
                <w:bCs w:val="0"/>
                <w:color w:val="auto"/>
                <w:sz w:val="24"/>
                <w:szCs w:val="24"/>
                <w:highlight w:val="none"/>
                <w:lang w:val="en-US" w:eastAsia="zh-CN"/>
              </w:rPr>
              <w:t>本项目主要生产金属管件，根据国家发展改革委发布的《产业结构调整指导目录》（2024 年本），本项目生产的产品、使用的设备及工艺均不属于规定的限制及淘汰类产业项目，为允许类项目。根据《市场准入负面清单</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202</w:t>
            </w:r>
            <w:r>
              <w:rPr>
                <w:rFonts w:hint="eastAsia" w:ascii="Times New Roman" w:hAnsi="Times New Roman" w:eastAsia="宋体" w:cs="Times New Roman"/>
                <w:b w:val="0"/>
                <w:bCs w:val="0"/>
                <w:color w:val="auto"/>
                <w:sz w:val="24"/>
                <w:szCs w:val="24"/>
                <w:highlight w:val="none"/>
                <w:lang w:val="en-US" w:eastAsia="zh-CN"/>
              </w:rPr>
              <w:t>5</w:t>
            </w:r>
            <w:r>
              <w:rPr>
                <w:rFonts w:hint="default" w:ascii="Times New Roman" w:hAnsi="Times New Roman" w:eastAsia="宋体" w:cs="Times New Roman"/>
                <w:b w:val="0"/>
                <w:bCs w:val="0"/>
                <w:color w:val="auto"/>
                <w:sz w:val="24"/>
                <w:szCs w:val="24"/>
                <w:highlight w:val="none"/>
                <w:lang w:val="en-US" w:eastAsia="zh-CN"/>
              </w:rPr>
              <w:t>年版</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》，本项目不属于“禁止”项目，因此本项目建设基本符合产业政策的有关规定。</w:t>
            </w:r>
          </w:p>
          <w:p w14:paraId="11445020">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jc w:val="left"/>
              <w:textAlignment w:val="baseline"/>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2.生态分区管控符合性分析</w:t>
            </w:r>
          </w:p>
          <w:p w14:paraId="3D4E38DC">
            <w:pPr>
              <w:keepNext w:val="0"/>
              <w:keepLines w:val="0"/>
              <w:pageBreakBefore w:val="0"/>
              <w:widowControl/>
              <w:suppressLineNumbers w:val="0"/>
              <w:wordWrap/>
              <w:overflowPunct/>
              <w:topLinePunct w:val="0"/>
              <w:autoSpaceDE w:val="0"/>
              <w:autoSpaceDN w:val="0"/>
              <w:bidi w:val="0"/>
              <w:adjustRightInd w:val="0"/>
              <w:snapToGrid w:val="0"/>
              <w:spacing w:line="360" w:lineRule="auto"/>
              <w:ind w:right="0"/>
              <w:jc w:val="left"/>
              <w:rPr>
                <w:rFonts w:hint="default" w:ascii="Times New Roman" w:hAnsi="Times New Roman" w:cs="Times New Roman"/>
                <w:color w:val="auto"/>
                <w:highlight w:val="none"/>
              </w:rPr>
            </w:pPr>
            <w:r>
              <w:rPr>
                <w:rFonts w:hint="default" w:ascii="Times New Roman" w:hAnsi="Times New Roman" w:eastAsia="宋体" w:cs="Times New Roman"/>
                <w:b/>
                <w:bCs/>
                <w:snapToGrid w:val="0"/>
                <w:color w:val="auto"/>
                <w:kern w:val="0"/>
                <w:sz w:val="24"/>
                <w:szCs w:val="24"/>
                <w:highlight w:val="none"/>
                <w:lang w:val="en-US" w:eastAsia="zh-CN" w:bidi="ar"/>
              </w:rPr>
              <w:t>2.1与《新疆维吾尔自治区生态环境分区管控动态更新成果》符合性分析</w:t>
            </w:r>
          </w:p>
          <w:p w14:paraId="36C5FB01">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本项目与《新疆维吾尔自治区生态环境分区管控动态更新成果》（新环环评发〔2024〕157 号）的符合性分析见表1-2，</w:t>
            </w:r>
          </w:p>
          <w:p w14:paraId="5A429BD2">
            <w:pPr>
              <w:keepNext w:val="0"/>
              <w:keepLines w:val="0"/>
              <w:pageBreakBefore w:val="0"/>
              <w:widowControl/>
              <w:suppressLineNumbers w:val="0"/>
              <w:kinsoku/>
              <w:wordWrap/>
              <w:overflowPunct/>
              <w:topLinePunct w:val="0"/>
              <w:autoSpaceDE w:val="0"/>
              <w:autoSpaceDN w:val="0"/>
              <w:bidi w:val="0"/>
              <w:adjustRightInd w:val="0"/>
              <w:snapToGrid w:val="0"/>
              <w:ind w:left="0" w:leftChars="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表 1-2与《新疆维吾尔自治区生态环境分区管控动态更新成果》符合性分析</w:t>
            </w:r>
          </w:p>
          <w:tbl>
            <w:tblPr>
              <w:tblStyle w:val="29"/>
              <w:tblW w:w="7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6"/>
              <w:gridCol w:w="496"/>
              <w:gridCol w:w="3851"/>
              <w:gridCol w:w="2041"/>
              <w:gridCol w:w="554"/>
            </w:tblGrid>
            <w:tr w14:paraId="5CFE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2" w:type="dxa"/>
                  <w:gridSpan w:val="2"/>
                  <w:shd w:val="clear" w:color="auto" w:fill="auto"/>
                  <w:vAlign w:val="center"/>
                </w:tcPr>
                <w:p w14:paraId="4D1DD2CD">
                  <w:pPr>
                    <w:keepNext w:val="0"/>
                    <w:keepLines w:val="0"/>
                    <w:widowControl/>
                    <w:suppressLineNumbers w:val="0"/>
                    <w:jc w:val="left"/>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管控维度</w:t>
                  </w:r>
                </w:p>
              </w:tc>
              <w:tc>
                <w:tcPr>
                  <w:tcW w:w="3851" w:type="dxa"/>
                  <w:shd w:val="clear" w:color="auto" w:fill="auto"/>
                  <w:vAlign w:val="center"/>
                </w:tcPr>
                <w:p w14:paraId="54745928">
                  <w:pPr>
                    <w:keepNext w:val="0"/>
                    <w:keepLines w:val="0"/>
                    <w:widowControl/>
                    <w:suppressLineNumbers w:val="0"/>
                    <w:jc w:val="left"/>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管控要求</w:t>
                  </w:r>
                </w:p>
              </w:tc>
              <w:tc>
                <w:tcPr>
                  <w:tcW w:w="2041" w:type="dxa"/>
                  <w:shd w:val="clear" w:color="auto" w:fill="auto"/>
                  <w:vAlign w:val="center"/>
                </w:tcPr>
                <w:p w14:paraId="4118A097">
                  <w:pPr>
                    <w:keepNext w:val="0"/>
                    <w:keepLines w:val="0"/>
                    <w:widowControl/>
                    <w:suppressLineNumbers w:val="0"/>
                    <w:jc w:val="left"/>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项目情况</w:t>
                  </w:r>
                </w:p>
              </w:tc>
              <w:tc>
                <w:tcPr>
                  <w:tcW w:w="554" w:type="dxa"/>
                  <w:shd w:val="clear" w:color="auto" w:fill="auto"/>
                  <w:textDirection w:val="tbRlV"/>
                  <w:vAlign w:val="center"/>
                </w:tcPr>
                <w:p w14:paraId="02BCD48B">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符合性</w:t>
                  </w:r>
                </w:p>
              </w:tc>
            </w:tr>
            <w:tr w14:paraId="600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0" w:hRule="atLeast"/>
                <w:jc w:val="center"/>
              </w:trPr>
              <w:tc>
                <w:tcPr>
                  <w:tcW w:w="496" w:type="dxa"/>
                  <w:vMerge w:val="restart"/>
                  <w:shd w:val="clear" w:color="auto" w:fill="auto"/>
                  <w:textDirection w:val="tbRlV"/>
                  <w:vAlign w:val="center"/>
                </w:tcPr>
                <w:p w14:paraId="5ED809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空间布局约束</w:t>
                  </w:r>
                </w:p>
              </w:tc>
              <w:tc>
                <w:tcPr>
                  <w:tcW w:w="496" w:type="dxa"/>
                  <w:vMerge w:val="restart"/>
                  <w:shd w:val="clear" w:color="auto" w:fill="auto"/>
                  <w:textDirection w:val="tbRlV"/>
                  <w:vAlign w:val="center"/>
                </w:tcPr>
                <w:p w14:paraId="519952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禁止开发建设的活动</w:t>
                  </w:r>
                </w:p>
              </w:tc>
              <w:tc>
                <w:tcPr>
                  <w:tcW w:w="3851" w:type="dxa"/>
                  <w:shd w:val="clear" w:color="auto" w:fill="auto"/>
                  <w:vAlign w:val="top"/>
                </w:tcPr>
                <w:p w14:paraId="19DF319A">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 .1-1〕禁止新建、扩建《产业结构调整指导目录</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2024年本</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》中淘汰类项目。禁止引入《市场准入负面清单</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2022年版</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》禁止准入类事项。</w:t>
                  </w:r>
                </w:p>
              </w:tc>
              <w:tc>
                <w:tcPr>
                  <w:tcW w:w="2041" w:type="dxa"/>
                  <w:shd w:val="clear" w:color="auto" w:fill="auto"/>
                  <w:vAlign w:val="top"/>
                </w:tcPr>
                <w:p w14:paraId="4D11DE52">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本项目不属于《产业结构调整指导目录</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2024年本</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》中淘汰类项目和《市场准入负面清单</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202</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5</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年版</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》禁止准入类事项</w:t>
                  </w:r>
                </w:p>
              </w:tc>
              <w:tc>
                <w:tcPr>
                  <w:tcW w:w="554" w:type="dxa"/>
                  <w:shd w:val="clear" w:color="auto" w:fill="auto"/>
                  <w:textDirection w:val="tbRlV"/>
                  <w:vAlign w:val="center"/>
                </w:tcPr>
                <w:p w14:paraId="5D45E48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04C7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496" w:type="dxa"/>
                  <w:vMerge w:val="continue"/>
                  <w:shd w:val="clear" w:color="auto" w:fill="auto"/>
                  <w:textDirection w:val="tbRlV"/>
                  <w:vAlign w:val="center"/>
                </w:tcPr>
                <w:p w14:paraId="2A47ACAB">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2C23E92C">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top"/>
                </w:tcPr>
                <w:p w14:paraId="35A850E4">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 .1-2〕禁止建设不符合国家和自治区环境保护标准的项目。</w:t>
                  </w:r>
                </w:p>
              </w:tc>
              <w:tc>
                <w:tcPr>
                  <w:tcW w:w="2041" w:type="dxa"/>
                  <w:shd w:val="clear" w:color="auto" w:fill="auto"/>
                  <w:vAlign w:val="top"/>
                </w:tcPr>
                <w:p w14:paraId="7EE0F9A3">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本项目符合国家和自治区环境保护标准</w:t>
                  </w:r>
                </w:p>
              </w:tc>
              <w:tc>
                <w:tcPr>
                  <w:tcW w:w="554" w:type="dxa"/>
                  <w:shd w:val="clear" w:color="auto" w:fill="auto"/>
                  <w:textDirection w:val="tbRlV"/>
                  <w:vAlign w:val="center"/>
                </w:tcPr>
                <w:p w14:paraId="04671A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7C05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496" w:type="dxa"/>
                  <w:vMerge w:val="continue"/>
                  <w:shd w:val="clear" w:color="auto" w:fill="auto"/>
                  <w:textDirection w:val="tbRlV"/>
                  <w:vAlign w:val="center"/>
                </w:tcPr>
                <w:p w14:paraId="13EF3889">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607FE243">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5D1B0B1A">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 .1-6〕禁止在自治区行政区域内引进能</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水</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耗不符合相关国家标准中准入值要求且污染物排放和环境风险防控不符合国家</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地方</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标准及有关产业准入条件的高污染</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排放</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、高能</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水</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耗、高环境风险的工业项目。</w:t>
                  </w:r>
                </w:p>
              </w:tc>
              <w:tc>
                <w:tcPr>
                  <w:tcW w:w="2041" w:type="dxa"/>
                  <w:shd w:val="clear" w:color="auto" w:fill="auto"/>
                  <w:vAlign w:val="center"/>
                </w:tcPr>
                <w:p w14:paraId="7613378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本项目不属于高污染</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排放</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、高能</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水</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耗、高环境风险的工业</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项目</w:t>
                  </w:r>
                </w:p>
              </w:tc>
              <w:tc>
                <w:tcPr>
                  <w:tcW w:w="554" w:type="dxa"/>
                  <w:shd w:val="clear" w:color="auto" w:fill="auto"/>
                  <w:textDirection w:val="tbRlV"/>
                  <w:vAlign w:val="center"/>
                </w:tcPr>
                <w:p w14:paraId="6A6082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4952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496" w:type="dxa"/>
                  <w:vMerge w:val="continue"/>
                  <w:shd w:val="clear" w:color="auto" w:fill="auto"/>
                  <w:vAlign w:val="center"/>
                </w:tcPr>
                <w:p w14:paraId="6FE689C7">
                  <w:pPr>
                    <w:jc w:val="center"/>
                    <w:rPr>
                      <w:rFonts w:hint="default" w:ascii="Times New Roman" w:hAnsi="Times New Roman" w:eastAsia="宋体" w:cs="Times New Roman"/>
                      <w:i w:val="0"/>
                      <w:iCs w:val="0"/>
                      <w:color w:val="auto"/>
                      <w:sz w:val="21"/>
                      <w:szCs w:val="21"/>
                      <w:highlight w:val="none"/>
                      <w:u w:val="none"/>
                    </w:rPr>
                  </w:pPr>
                </w:p>
              </w:tc>
              <w:tc>
                <w:tcPr>
                  <w:tcW w:w="496" w:type="dxa"/>
                  <w:vMerge w:val="restart"/>
                  <w:shd w:val="clear" w:color="auto" w:fill="auto"/>
                  <w:textDirection w:val="tbRlV"/>
                  <w:vAlign w:val="center"/>
                </w:tcPr>
                <w:p w14:paraId="4336A17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限制开发建设的活动</w:t>
                  </w:r>
                </w:p>
              </w:tc>
              <w:tc>
                <w:tcPr>
                  <w:tcW w:w="3851" w:type="dxa"/>
                  <w:shd w:val="clear" w:color="auto" w:fill="auto"/>
                  <w:vAlign w:val="center"/>
                </w:tcPr>
                <w:p w14:paraId="7AC61DA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〔A1.2-1〕严格控制缺水地区、水污染严重区域和敏感区域高耗水、高污染行业发展。</w:t>
                  </w:r>
                </w:p>
              </w:tc>
              <w:tc>
                <w:tcPr>
                  <w:tcW w:w="2041" w:type="dxa"/>
                  <w:shd w:val="clear" w:color="auto" w:fill="auto"/>
                  <w:vAlign w:val="center"/>
                </w:tcPr>
                <w:p w14:paraId="7968A46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用水仅为生活用水，</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不属于高耗水、高污染行业</w:t>
                  </w:r>
                </w:p>
              </w:tc>
              <w:tc>
                <w:tcPr>
                  <w:tcW w:w="554" w:type="dxa"/>
                  <w:shd w:val="clear" w:color="auto" w:fill="auto"/>
                  <w:textDirection w:val="tbRlV"/>
                  <w:vAlign w:val="center"/>
                </w:tcPr>
                <w:p w14:paraId="08B4EE9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405C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496" w:type="dxa"/>
                  <w:vMerge w:val="continue"/>
                  <w:shd w:val="clear" w:color="auto" w:fill="auto"/>
                  <w:vAlign w:val="center"/>
                </w:tcPr>
                <w:p w14:paraId="4C5F8246">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6070231B">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6C289C4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2041" w:type="dxa"/>
                  <w:shd w:val="clear" w:color="auto" w:fill="auto"/>
                  <w:vAlign w:val="center"/>
                </w:tcPr>
                <w:p w14:paraId="29A6689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本项目用地类型为工业用地</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，不占用基本农田</w:t>
                  </w:r>
                </w:p>
              </w:tc>
              <w:tc>
                <w:tcPr>
                  <w:tcW w:w="554" w:type="dxa"/>
                  <w:shd w:val="clear" w:color="auto" w:fill="auto"/>
                  <w:textDirection w:val="tbRlV"/>
                  <w:vAlign w:val="center"/>
                </w:tcPr>
                <w:p w14:paraId="2DFD297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4F7C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0" w:hRule="atLeast"/>
                <w:jc w:val="center"/>
              </w:trPr>
              <w:tc>
                <w:tcPr>
                  <w:tcW w:w="496" w:type="dxa"/>
                  <w:vMerge w:val="continue"/>
                  <w:shd w:val="clear" w:color="auto" w:fill="auto"/>
                  <w:vAlign w:val="center"/>
                </w:tcPr>
                <w:p w14:paraId="260A1F96">
                  <w:pPr>
                    <w:jc w:val="center"/>
                    <w:rPr>
                      <w:rFonts w:hint="default" w:ascii="Times New Roman" w:hAnsi="Times New Roman" w:eastAsia="宋体" w:cs="Times New Roman"/>
                      <w:i w:val="0"/>
                      <w:iCs w:val="0"/>
                      <w:color w:val="auto"/>
                      <w:sz w:val="21"/>
                      <w:szCs w:val="21"/>
                      <w:highlight w:val="none"/>
                      <w:u w:val="none"/>
                    </w:rPr>
                  </w:pPr>
                </w:p>
              </w:tc>
              <w:tc>
                <w:tcPr>
                  <w:tcW w:w="496" w:type="dxa"/>
                  <w:shd w:val="clear" w:color="auto" w:fill="auto"/>
                  <w:textDirection w:val="tbRlV"/>
                  <w:vAlign w:val="center"/>
                </w:tcPr>
                <w:p w14:paraId="279A81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其他布局要求</w:t>
                  </w:r>
                </w:p>
              </w:tc>
              <w:tc>
                <w:tcPr>
                  <w:tcW w:w="3851" w:type="dxa"/>
                  <w:shd w:val="clear" w:color="auto" w:fill="auto"/>
                  <w:vAlign w:val="top"/>
                </w:tcPr>
                <w:p w14:paraId="6F03A072">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〔A1 .4-1〕一切开发建设活动应符合国家、自治区主体功能区规划、自治区和各地颁布实施的生态环境功能区规划、国民经济发展规划、产业发展规划、国土空间规划等相关规划及重点生态功能区负面清单要求，符合区域或产业规划环评要求。</w:t>
                  </w:r>
                </w:p>
              </w:tc>
              <w:tc>
                <w:tcPr>
                  <w:tcW w:w="2041" w:type="dxa"/>
                  <w:shd w:val="clear" w:color="auto" w:fill="auto"/>
                  <w:vAlign w:val="top"/>
                </w:tcPr>
                <w:p w14:paraId="649431E9">
                  <w:pPr>
                    <w:keepNext w:val="0"/>
                    <w:keepLines w:val="0"/>
                    <w:widowControl/>
                    <w:suppressLineNumbers w:val="0"/>
                    <w:ind w:right="-73" w:rightChars="-35"/>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本项目符合国家、自治区主体功能区规划、自治区和各地颁布实施的生态环境功能区规划、国民经济发展规划、产业发展规划、国土空间规划等相关规划及重点生态功能区负面清单要求。</w:t>
                  </w:r>
                </w:p>
              </w:tc>
              <w:tc>
                <w:tcPr>
                  <w:tcW w:w="554" w:type="dxa"/>
                  <w:shd w:val="clear" w:color="auto" w:fill="auto"/>
                  <w:textDirection w:val="tbRlV"/>
                  <w:vAlign w:val="center"/>
                </w:tcPr>
                <w:p w14:paraId="4045E0D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5B8F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40" w:hRule="atLeast"/>
                <w:jc w:val="center"/>
              </w:trPr>
              <w:tc>
                <w:tcPr>
                  <w:tcW w:w="496" w:type="dxa"/>
                  <w:vMerge w:val="restart"/>
                  <w:shd w:val="clear" w:color="auto" w:fill="auto"/>
                  <w:textDirection w:val="tbRlV"/>
                  <w:vAlign w:val="center"/>
                </w:tcPr>
                <w:p w14:paraId="33BC06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污染物排放管控</w:t>
                  </w:r>
                </w:p>
              </w:tc>
              <w:tc>
                <w:tcPr>
                  <w:tcW w:w="496" w:type="dxa"/>
                  <w:vMerge w:val="restart"/>
                  <w:shd w:val="clear" w:color="auto" w:fill="auto"/>
                  <w:textDirection w:val="tbRlV"/>
                  <w:vAlign w:val="center"/>
                </w:tcPr>
                <w:p w14:paraId="6C8290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污染控制措施要求</w:t>
                  </w:r>
                </w:p>
              </w:tc>
              <w:tc>
                <w:tcPr>
                  <w:tcW w:w="3851" w:type="dxa"/>
                  <w:shd w:val="clear" w:color="auto" w:fill="auto"/>
                  <w:vAlign w:val="center"/>
                </w:tcPr>
                <w:p w14:paraId="5948B489">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大宗货物“公转铁”</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、柴油货车治理、锅炉炉窑综合治理等工程项目。全面推行绿色施工，持续推动城市建成区重污染企业搬迁或关闭退出。</w:t>
                  </w:r>
                </w:p>
              </w:tc>
              <w:tc>
                <w:tcPr>
                  <w:tcW w:w="2041" w:type="dxa"/>
                  <w:shd w:val="clear" w:color="auto" w:fill="auto"/>
                  <w:vAlign w:val="center"/>
                </w:tcPr>
                <w:p w14:paraId="39BFFBE6">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热风炉使用天然气，属于清洁能源，本项目</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不属于重污染</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项目</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w:t>
                  </w:r>
                </w:p>
              </w:tc>
              <w:tc>
                <w:tcPr>
                  <w:tcW w:w="554" w:type="dxa"/>
                  <w:shd w:val="clear" w:color="auto" w:fill="auto"/>
                  <w:textDirection w:val="tbRlV"/>
                  <w:vAlign w:val="center"/>
                </w:tcPr>
                <w:p w14:paraId="112A51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1082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496" w:type="dxa"/>
                  <w:vMerge w:val="continue"/>
                  <w:shd w:val="clear" w:color="auto" w:fill="auto"/>
                  <w:textDirection w:val="tbRlV"/>
                  <w:vAlign w:val="center"/>
                </w:tcPr>
                <w:p w14:paraId="037668EC">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5BBD30BE">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74486B25">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2.2-7〕强化重点区域地下水环境风险管控，对化学品生产企业、工业集聚区、尾矿库、矿山开采区、危险废物处置场、垃圾填埋场等地下水污染源及周边区域，逐步开展地下水环境状况调查评估，加强风险管控。</w:t>
                  </w:r>
                </w:p>
              </w:tc>
              <w:tc>
                <w:tcPr>
                  <w:tcW w:w="2041" w:type="dxa"/>
                  <w:shd w:val="clear" w:color="auto" w:fill="auto"/>
                  <w:vAlign w:val="center"/>
                </w:tcPr>
                <w:p w14:paraId="4C606765">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本项目不属于重污染企业。</w:t>
                  </w:r>
                </w:p>
              </w:tc>
              <w:tc>
                <w:tcPr>
                  <w:tcW w:w="554" w:type="dxa"/>
                  <w:shd w:val="clear" w:color="auto" w:fill="auto"/>
                  <w:textDirection w:val="tbRlV"/>
                  <w:vAlign w:val="center"/>
                </w:tcPr>
                <w:p w14:paraId="0B521B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1F64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81" w:hRule="atLeast"/>
                <w:jc w:val="center"/>
              </w:trPr>
              <w:tc>
                <w:tcPr>
                  <w:tcW w:w="496" w:type="dxa"/>
                  <w:vMerge w:val="restart"/>
                  <w:shd w:val="clear" w:color="auto" w:fill="auto"/>
                  <w:textDirection w:val="tbRlV"/>
                  <w:vAlign w:val="center"/>
                </w:tcPr>
                <w:p w14:paraId="11A2720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环境风险防控</w:t>
                  </w:r>
                </w:p>
              </w:tc>
              <w:tc>
                <w:tcPr>
                  <w:tcW w:w="496" w:type="dxa"/>
                  <w:vMerge w:val="restart"/>
                  <w:shd w:val="clear" w:color="auto" w:fill="auto"/>
                  <w:textDirection w:val="tbRlV"/>
                  <w:vAlign w:val="center"/>
                </w:tcPr>
                <w:p w14:paraId="37D6EB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联防联控要求</w:t>
                  </w:r>
                </w:p>
              </w:tc>
              <w:tc>
                <w:tcPr>
                  <w:tcW w:w="3851" w:type="dxa"/>
                  <w:shd w:val="clear" w:color="auto" w:fill="auto"/>
                  <w:vAlign w:val="center"/>
                </w:tcPr>
                <w:p w14:paraId="272A997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污</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tc>
              <w:tc>
                <w:tcPr>
                  <w:tcW w:w="2041" w:type="dxa"/>
                  <w:shd w:val="clear" w:color="auto" w:fill="auto"/>
                  <w:vAlign w:val="center"/>
                </w:tcPr>
                <w:p w14:paraId="69FBFDF1">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本项目产生的污染物均满足相关排放要求，已要求企业对排放</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污</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口及其周边环境定期开展环境监测。</w:t>
                  </w:r>
                </w:p>
              </w:tc>
              <w:tc>
                <w:tcPr>
                  <w:tcW w:w="554" w:type="dxa"/>
                  <w:shd w:val="clear" w:color="auto" w:fill="auto"/>
                  <w:textDirection w:val="tbRlV"/>
                  <w:vAlign w:val="center"/>
                </w:tcPr>
                <w:p w14:paraId="634FF4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1D5F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496" w:type="dxa"/>
                  <w:vMerge w:val="continue"/>
                  <w:shd w:val="clear" w:color="auto" w:fill="auto"/>
                  <w:vAlign w:val="center"/>
                </w:tcPr>
                <w:p w14:paraId="3DD9AE96">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vAlign w:val="center"/>
                </w:tcPr>
                <w:p w14:paraId="1934FFC5">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213C51F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2041" w:type="dxa"/>
                  <w:shd w:val="clear" w:color="auto" w:fill="auto"/>
                  <w:vAlign w:val="center"/>
                </w:tcPr>
                <w:p w14:paraId="7FB2F485">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已要求企业采取环境风险防控措施。</w:t>
                  </w:r>
                </w:p>
              </w:tc>
              <w:tc>
                <w:tcPr>
                  <w:tcW w:w="554" w:type="dxa"/>
                  <w:shd w:val="clear" w:color="auto" w:fill="auto"/>
                  <w:textDirection w:val="tbRlV"/>
                  <w:vAlign w:val="center"/>
                </w:tcPr>
                <w:p w14:paraId="570757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62BA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0" w:hRule="atLeast"/>
                <w:jc w:val="center"/>
              </w:trPr>
              <w:tc>
                <w:tcPr>
                  <w:tcW w:w="496" w:type="dxa"/>
                  <w:vMerge w:val="continue"/>
                  <w:shd w:val="clear" w:color="auto" w:fill="auto"/>
                  <w:vAlign w:val="center"/>
                </w:tcPr>
                <w:p w14:paraId="2DFEC7C5">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vAlign w:val="center"/>
                </w:tcPr>
                <w:p w14:paraId="5B665EDB">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7ECDB373">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2041" w:type="dxa"/>
                  <w:shd w:val="clear" w:color="auto" w:fill="auto"/>
                  <w:vAlign w:val="center"/>
                </w:tcPr>
                <w:p w14:paraId="1C971162">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已要求企业完善应急处置物资</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，同时编制突发环境事件应急预案</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w:t>
                  </w:r>
                </w:p>
              </w:tc>
              <w:tc>
                <w:tcPr>
                  <w:tcW w:w="554" w:type="dxa"/>
                  <w:shd w:val="clear" w:color="auto" w:fill="auto"/>
                  <w:textDirection w:val="tbRlV"/>
                  <w:vAlign w:val="center"/>
                </w:tcPr>
                <w:p w14:paraId="6C0142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0BD3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496" w:type="dxa"/>
                  <w:vMerge w:val="restart"/>
                  <w:shd w:val="clear" w:color="auto" w:fill="auto"/>
                  <w:textDirection w:val="tbRlV"/>
                  <w:vAlign w:val="center"/>
                </w:tcPr>
                <w:p w14:paraId="5DE348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资源开发效率要求</w:t>
                  </w:r>
                </w:p>
              </w:tc>
              <w:tc>
                <w:tcPr>
                  <w:tcW w:w="496" w:type="dxa"/>
                  <w:vMerge w:val="restart"/>
                  <w:shd w:val="clear" w:color="auto" w:fill="auto"/>
                  <w:textDirection w:val="tbRlV"/>
                  <w:vAlign w:val="center"/>
                </w:tcPr>
                <w:p w14:paraId="549D426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水资源</w:t>
                  </w:r>
                </w:p>
              </w:tc>
              <w:tc>
                <w:tcPr>
                  <w:tcW w:w="3851" w:type="dxa"/>
                  <w:shd w:val="clear" w:color="auto" w:fill="auto"/>
                  <w:vAlign w:val="top"/>
                </w:tcPr>
                <w:p w14:paraId="1F8AFD67">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〔A4.1-1〕自治区用水总量2025年、2030年控制在国家下达的指标内。</w:t>
                  </w:r>
                </w:p>
              </w:tc>
              <w:tc>
                <w:tcPr>
                  <w:tcW w:w="2041" w:type="dxa"/>
                  <w:shd w:val="clear" w:color="auto" w:fill="auto"/>
                  <w:vAlign w:val="center"/>
                </w:tcPr>
                <w:p w14:paraId="15EAC151">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本项目生产过程不用水。</w:t>
                  </w:r>
                </w:p>
              </w:tc>
              <w:tc>
                <w:tcPr>
                  <w:tcW w:w="554" w:type="dxa"/>
                  <w:shd w:val="clear" w:color="auto" w:fill="auto"/>
                  <w:textDirection w:val="tbRlV"/>
                  <w:vAlign w:val="center"/>
                </w:tcPr>
                <w:p w14:paraId="4C90B5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5653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0" w:hRule="atLeast"/>
                <w:jc w:val="center"/>
              </w:trPr>
              <w:tc>
                <w:tcPr>
                  <w:tcW w:w="496" w:type="dxa"/>
                  <w:vMerge w:val="continue"/>
                  <w:shd w:val="clear" w:color="auto" w:fill="auto"/>
                  <w:textDirection w:val="tbRlV"/>
                  <w:vAlign w:val="center"/>
                </w:tcPr>
                <w:p w14:paraId="738A394F">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65919E1D">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47BC464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4.1-2〕加大城镇污水再生利用工程建设力度，推进区域再生水循环利用，到2025年，城市生活污水再生利用率力争达到60%。〔A4.1-3〕加强农村水利基础设施建设，推进农村供水保障工程，农村自来水普及率、集中供水率分别达到99.3%、99.7%。</w:t>
                  </w:r>
                </w:p>
              </w:tc>
              <w:tc>
                <w:tcPr>
                  <w:tcW w:w="2041" w:type="dxa"/>
                  <w:shd w:val="clear" w:color="auto" w:fill="auto"/>
                  <w:vAlign w:val="center"/>
                </w:tcPr>
                <w:p w14:paraId="019201B6">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本项目生活污水经管网排至污水处理厂。</w:t>
                  </w:r>
                </w:p>
              </w:tc>
              <w:tc>
                <w:tcPr>
                  <w:tcW w:w="554" w:type="dxa"/>
                  <w:shd w:val="clear" w:color="auto" w:fill="auto"/>
                  <w:textDirection w:val="tbRlV"/>
                  <w:vAlign w:val="center"/>
                </w:tcPr>
                <w:p w14:paraId="60488B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3B24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jc w:val="center"/>
              </w:trPr>
              <w:tc>
                <w:tcPr>
                  <w:tcW w:w="496" w:type="dxa"/>
                  <w:vMerge w:val="continue"/>
                  <w:shd w:val="clear" w:color="auto" w:fill="auto"/>
                  <w:textDirection w:val="tbRlV"/>
                  <w:vAlign w:val="center"/>
                </w:tcPr>
                <w:p w14:paraId="50E11AEB">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0F9033FE">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top"/>
                </w:tcPr>
                <w:p w14:paraId="47A5A9B6">
                  <w:pPr>
                    <w:keepNext w:val="0"/>
                    <w:keepLines w:val="0"/>
                    <w:widowControl/>
                    <w:suppressLineNumbers w:val="0"/>
                    <w:jc w:val="left"/>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〔A4.1-4〕地下水资源利用实行总量控制和水位控制。取用地下水资源，应当按  照国家和自治区有关规定申请取水许可。地下水利用应当以浅层地下水为主。</w:t>
                  </w:r>
                </w:p>
              </w:tc>
              <w:tc>
                <w:tcPr>
                  <w:tcW w:w="2041" w:type="dxa"/>
                  <w:shd w:val="clear" w:color="auto" w:fill="auto"/>
                  <w:vAlign w:val="center"/>
                </w:tcPr>
                <w:p w14:paraId="158AAEC3">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本项目用水由园区供水管网提供。</w:t>
                  </w:r>
                </w:p>
              </w:tc>
              <w:tc>
                <w:tcPr>
                  <w:tcW w:w="554" w:type="dxa"/>
                  <w:shd w:val="clear" w:color="auto" w:fill="auto"/>
                  <w:textDirection w:val="tbRlV"/>
                  <w:vAlign w:val="center"/>
                </w:tcPr>
                <w:p w14:paraId="5BB4AB2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7D3F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496" w:type="dxa"/>
                  <w:vMerge w:val="continue"/>
                  <w:shd w:val="clear" w:color="auto" w:fill="auto"/>
                  <w:textDirection w:val="tbRlV"/>
                  <w:vAlign w:val="center"/>
                </w:tcPr>
                <w:p w14:paraId="121FAE9F">
                  <w:pPr>
                    <w:jc w:val="center"/>
                    <w:rPr>
                      <w:rFonts w:hint="default" w:ascii="Times New Roman" w:hAnsi="Times New Roman" w:eastAsia="宋体" w:cs="Times New Roman"/>
                      <w:i w:val="0"/>
                      <w:iCs w:val="0"/>
                      <w:color w:val="auto"/>
                      <w:sz w:val="21"/>
                      <w:szCs w:val="21"/>
                      <w:highlight w:val="none"/>
                      <w:u w:val="none"/>
                    </w:rPr>
                  </w:pPr>
                </w:p>
              </w:tc>
              <w:tc>
                <w:tcPr>
                  <w:tcW w:w="496" w:type="dxa"/>
                  <w:shd w:val="clear" w:color="auto" w:fill="auto"/>
                  <w:textDirection w:val="tbRlV"/>
                  <w:vAlign w:val="center"/>
                </w:tcPr>
                <w:p w14:paraId="5562F6F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土地资源</w:t>
                  </w:r>
                </w:p>
              </w:tc>
              <w:tc>
                <w:tcPr>
                  <w:tcW w:w="3851" w:type="dxa"/>
                  <w:shd w:val="clear" w:color="auto" w:fill="auto"/>
                  <w:vAlign w:val="center"/>
                </w:tcPr>
                <w:p w14:paraId="5E3C1744">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〔A4.2-1〕土地资源</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上限</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指标控制在最终批复的国土空间规划控制指标内。</w:t>
                  </w:r>
                </w:p>
              </w:tc>
              <w:tc>
                <w:tcPr>
                  <w:tcW w:w="2041" w:type="dxa"/>
                  <w:shd w:val="clear" w:color="auto" w:fill="auto"/>
                  <w:vAlign w:val="center"/>
                </w:tcPr>
                <w:p w14:paraId="2198FF6B">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本项目位于昌吉空港合作区，符合国土空间规划要求。</w:t>
                  </w:r>
                </w:p>
              </w:tc>
              <w:tc>
                <w:tcPr>
                  <w:tcW w:w="554" w:type="dxa"/>
                  <w:shd w:val="clear" w:color="auto" w:fill="auto"/>
                  <w:textDirection w:val="tbRlV"/>
                  <w:vAlign w:val="center"/>
                </w:tcPr>
                <w:p w14:paraId="7111E8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3DB6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jc w:val="center"/>
              </w:trPr>
              <w:tc>
                <w:tcPr>
                  <w:tcW w:w="496" w:type="dxa"/>
                  <w:vMerge w:val="continue"/>
                  <w:shd w:val="clear" w:color="auto" w:fill="auto"/>
                  <w:textDirection w:val="tbRlV"/>
                  <w:vAlign w:val="center"/>
                </w:tcPr>
                <w:p w14:paraId="5093DF1C">
                  <w:pPr>
                    <w:jc w:val="center"/>
                    <w:rPr>
                      <w:rFonts w:hint="default" w:ascii="Times New Roman" w:hAnsi="Times New Roman" w:eastAsia="宋体" w:cs="Times New Roman"/>
                      <w:i w:val="0"/>
                      <w:iCs w:val="0"/>
                      <w:color w:val="auto"/>
                      <w:sz w:val="21"/>
                      <w:szCs w:val="21"/>
                      <w:highlight w:val="none"/>
                      <w:u w:val="none"/>
                    </w:rPr>
                  </w:pPr>
                </w:p>
              </w:tc>
              <w:tc>
                <w:tcPr>
                  <w:tcW w:w="496" w:type="dxa"/>
                  <w:vMerge w:val="restart"/>
                  <w:shd w:val="clear" w:color="auto" w:fill="auto"/>
                  <w:textDirection w:val="tbRlV"/>
                  <w:vAlign w:val="center"/>
                </w:tcPr>
                <w:p w14:paraId="011AB3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能源利用</w:t>
                  </w:r>
                </w:p>
              </w:tc>
              <w:tc>
                <w:tcPr>
                  <w:tcW w:w="3851" w:type="dxa"/>
                  <w:shd w:val="clear" w:color="auto" w:fill="auto"/>
                  <w:vAlign w:val="center"/>
                </w:tcPr>
                <w:p w14:paraId="7F40A72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〔A4.3-1〕单位地区生产总值二氧化碳排放降低水平完成国家下达指标。</w:t>
                  </w:r>
                </w:p>
              </w:tc>
              <w:tc>
                <w:tcPr>
                  <w:tcW w:w="2041" w:type="dxa"/>
                  <w:shd w:val="clear" w:color="auto" w:fill="auto"/>
                  <w:vAlign w:val="center"/>
                </w:tcPr>
                <w:p w14:paraId="4D5C19CF">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热风炉燃烧天然气过程产生二氧化碳量较少。</w:t>
                  </w:r>
                </w:p>
              </w:tc>
              <w:tc>
                <w:tcPr>
                  <w:tcW w:w="554" w:type="dxa"/>
                  <w:shd w:val="clear" w:color="auto" w:fill="auto"/>
                  <w:textDirection w:val="tbRlV"/>
                  <w:vAlign w:val="center"/>
                </w:tcPr>
                <w:p w14:paraId="57B5B0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7FBB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496" w:type="dxa"/>
                  <w:vMerge w:val="continue"/>
                  <w:shd w:val="clear" w:color="auto" w:fill="auto"/>
                  <w:textDirection w:val="tbRlV"/>
                  <w:vAlign w:val="center"/>
                </w:tcPr>
                <w:p w14:paraId="49755331">
                  <w:pPr>
                    <w:jc w:val="center"/>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0F07855F">
                  <w:pPr>
                    <w:jc w:val="center"/>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6EAC9132">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〔A4.3-4〕鼓励使用清洁能源或电厂热力、工业余热等替代锅炉、炉窑燃料用煤。</w:t>
                  </w:r>
                </w:p>
              </w:tc>
              <w:tc>
                <w:tcPr>
                  <w:tcW w:w="2041" w:type="dxa"/>
                  <w:shd w:val="clear" w:color="auto" w:fill="auto"/>
                  <w:vAlign w:val="center"/>
                </w:tcPr>
                <w:p w14:paraId="05F0E01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热风炉燃料使用清洁能源天然气</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w:t>
                  </w:r>
                </w:p>
              </w:tc>
              <w:tc>
                <w:tcPr>
                  <w:tcW w:w="554" w:type="dxa"/>
                  <w:shd w:val="clear" w:color="auto" w:fill="auto"/>
                  <w:textDirection w:val="tbRlV"/>
                  <w:vAlign w:val="center"/>
                </w:tcPr>
                <w:p w14:paraId="4BC9BA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39D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1" w:hRule="atLeast"/>
                <w:jc w:val="center"/>
              </w:trPr>
              <w:tc>
                <w:tcPr>
                  <w:tcW w:w="496" w:type="dxa"/>
                  <w:vMerge w:val="continue"/>
                  <w:shd w:val="clear" w:color="auto" w:fill="auto"/>
                  <w:textDirection w:val="tbRlV"/>
                  <w:vAlign w:val="center"/>
                </w:tcPr>
                <w:p w14:paraId="1FE9FAEA">
                  <w:pPr>
                    <w:jc w:val="center"/>
                    <w:rPr>
                      <w:rFonts w:hint="default" w:ascii="Times New Roman" w:hAnsi="Times New Roman" w:eastAsia="宋体" w:cs="Times New Roman"/>
                      <w:i w:val="0"/>
                      <w:iCs w:val="0"/>
                      <w:color w:val="auto"/>
                      <w:sz w:val="21"/>
                      <w:szCs w:val="21"/>
                      <w:highlight w:val="none"/>
                      <w:u w:val="none"/>
                    </w:rPr>
                  </w:pPr>
                </w:p>
              </w:tc>
              <w:tc>
                <w:tcPr>
                  <w:tcW w:w="496" w:type="dxa"/>
                  <w:vMerge w:val="restart"/>
                  <w:shd w:val="clear" w:color="auto" w:fill="auto"/>
                  <w:textDirection w:val="tbRlV"/>
                  <w:vAlign w:val="center"/>
                </w:tcPr>
                <w:p w14:paraId="2827FB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资源综合利用</w:t>
                  </w:r>
                </w:p>
              </w:tc>
              <w:tc>
                <w:tcPr>
                  <w:tcW w:w="3851" w:type="dxa"/>
                  <w:shd w:val="clear" w:color="auto" w:fill="auto"/>
                  <w:vAlign w:val="center"/>
                </w:tcPr>
                <w:p w14:paraId="2C27685C">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研石、炉渣、粉煤灰、脱硫石膏、冶炼渣、建筑垃圾等为重点，持续推进固体废物综合利用和环境整治，不断提高大宗固体废物资源化利用水平。推行生活垃圾分类，加快建设县</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市</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生活垃圾处理设施，到2025年，全疆城市生活垃圾无害化处理率达到99%以上。</w:t>
                  </w:r>
                </w:p>
              </w:tc>
              <w:tc>
                <w:tcPr>
                  <w:tcW w:w="2041" w:type="dxa"/>
                  <w:vMerge w:val="restart"/>
                  <w:shd w:val="clear" w:color="auto" w:fill="auto"/>
                  <w:vAlign w:val="center"/>
                </w:tcPr>
                <w:p w14:paraId="51583563">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本项目产生的固废优先外售综合利用。</w:t>
                  </w:r>
                </w:p>
              </w:tc>
              <w:tc>
                <w:tcPr>
                  <w:tcW w:w="554" w:type="dxa"/>
                  <w:vMerge w:val="restart"/>
                  <w:shd w:val="clear" w:color="auto" w:fill="auto"/>
                  <w:textDirection w:val="tbRlV"/>
                  <w:vAlign w:val="center"/>
                </w:tcPr>
                <w:p w14:paraId="25DFAC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符合</w:t>
                  </w:r>
                </w:p>
              </w:tc>
            </w:tr>
            <w:tr w14:paraId="5EB8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40" w:hRule="atLeast"/>
                <w:jc w:val="center"/>
              </w:trPr>
              <w:tc>
                <w:tcPr>
                  <w:tcW w:w="496" w:type="dxa"/>
                  <w:vMerge w:val="continue"/>
                  <w:shd w:val="clear" w:color="auto" w:fill="auto"/>
                  <w:textDirection w:val="tbRlV"/>
                  <w:vAlign w:val="center"/>
                </w:tcPr>
                <w:p w14:paraId="6E19EB29">
                  <w:pPr>
                    <w:jc w:val="left"/>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064A854B">
                  <w:pPr>
                    <w:jc w:val="left"/>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62D1B9D3">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〔A4.5-2〕推动工业固废按元素价值综合开发利用，加快推进尾矿</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共伴生矿</w:t>
                  </w:r>
                  <w:r>
                    <w:rPr>
                      <w:rFonts w:hint="eastAsia" w:ascii="Times New Roman" w:hAnsi="Times New Roman" w:eastAsia="宋体" w:cs="Times New Roman"/>
                      <w:i w:val="0"/>
                      <w:iCs w:val="0"/>
                      <w:snapToGrid w:val="0"/>
                      <w:color w:val="auto"/>
                      <w:kern w:val="0"/>
                      <w:sz w:val="21"/>
                      <w:szCs w:val="21"/>
                      <w:highlight w:val="none"/>
                      <w:u w:val="none"/>
                      <w:lang w:val="en-US" w:eastAsia="zh-CN" w:bidi="ar"/>
                    </w:rPr>
                    <w:t>）</w:t>
                  </w:r>
                  <w:r>
                    <w:rPr>
                      <w:rFonts w:hint="default" w:ascii="Times New Roman" w:hAnsi="Times New Roman" w:eastAsia="宋体" w:cs="Times New Roman"/>
                      <w:i w:val="0"/>
                      <w:iCs w:val="0"/>
                      <w:snapToGrid w:val="0"/>
                      <w:color w:val="auto"/>
                      <w:kern w:val="0"/>
                      <w:sz w:val="21"/>
                      <w:szCs w:val="21"/>
                      <w:highlight w:val="none"/>
                      <w:u w:val="none"/>
                      <w:lang w:val="en-US" w:eastAsia="zh-CN" w:bidi="ar"/>
                    </w:rPr>
                    <w:t>、粉煤灰、煤研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tc>
              <w:tc>
                <w:tcPr>
                  <w:tcW w:w="2041" w:type="dxa"/>
                  <w:vMerge w:val="continue"/>
                  <w:shd w:val="clear" w:color="auto" w:fill="auto"/>
                  <w:vAlign w:val="center"/>
                </w:tcPr>
                <w:p w14:paraId="6FE76F23">
                  <w:pPr>
                    <w:jc w:val="left"/>
                    <w:rPr>
                      <w:rFonts w:hint="default" w:ascii="Times New Roman" w:hAnsi="Times New Roman" w:eastAsia="宋体" w:cs="Times New Roman"/>
                      <w:i w:val="0"/>
                      <w:iCs w:val="0"/>
                      <w:color w:val="auto"/>
                      <w:sz w:val="21"/>
                      <w:szCs w:val="21"/>
                      <w:highlight w:val="none"/>
                      <w:u w:val="none"/>
                    </w:rPr>
                  </w:pPr>
                </w:p>
              </w:tc>
              <w:tc>
                <w:tcPr>
                  <w:tcW w:w="554" w:type="dxa"/>
                  <w:vMerge w:val="continue"/>
                  <w:shd w:val="clear" w:color="auto" w:fill="auto"/>
                  <w:textDirection w:val="tbRlV"/>
                  <w:vAlign w:val="center"/>
                </w:tcPr>
                <w:p w14:paraId="3A510505">
                  <w:pPr>
                    <w:jc w:val="left"/>
                    <w:rPr>
                      <w:rFonts w:hint="default" w:ascii="Times New Roman" w:hAnsi="Times New Roman" w:eastAsia="宋体" w:cs="Times New Roman"/>
                      <w:i w:val="0"/>
                      <w:iCs w:val="0"/>
                      <w:color w:val="auto"/>
                      <w:sz w:val="21"/>
                      <w:szCs w:val="21"/>
                      <w:highlight w:val="none"/>
                      <w:u w:val="none"/>
                    </w:rPr>
                  </w:pPr>
                </w:p>
              </w:tc>
            </w:tr>
            <w:tr w14:paraId="4179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jc w:val="center"/>
              </w:trPr>
              <w:tc>
                <w:tcPr>
                  <w:tcW w:w="496" w:type="dxa"/>
                  <w:vMerge w:val="continue"/>
                  <w:shd w:val="clear" w:color="auto" w:fill="auto"/>
                  <w:textDirection w:val="tbRlV"/>
                  <w:vAlign w:val="center"/>
                </w:tcPr>
                <w:p w14:paraId="042839F4">
                  <w:pPr>
                    <w:jc w:val="left"/>
                    <w:rPr>
                      <w:rFonts w:hint="default" w:ascii="Times New Roman" w:hAnsi="Times New Roman" w:eastAsia="宋体" w:cs="Times New Roman"/>
                      <w:i w:val="0"/>
                      <w:iCs w:val="0"/>
                      <w:color w:val="auto"/>
                      <w:sz w:val="21"/>
                      <w:szCs w:val="21"/>
                      <w:highlight w:val="none"/>
                      <w:u w:val="none"/>
                    </w:rPr>
                  </w:pPr>
                </w:p>
              </w:tc>
              <w:tc>
                <w:tcPr>
                  <w:tcW w:w="496" w:type="dxa"/>
                  <w:vMerge w:val="continue"/>
                  <w:shd w:val="clear" w:color="auto" w:fill="auto"/>
                  <w:textDirection w:val="tbRlV"/>
                  <w:vAlign w:val="center"/>
                </w:tcPr>
                <w:p w14:paraId="6C2F6076">
                  <w:pPr>
                    <w:jc w:val="left"/>
                    <w:rPr>
                      <w:rFonts w:hint="default" w:ascii="Times New Roman" w:hAnsi="Times New Roman" w:eastAsia="宋体" w:cs="Times New Roman"/>
                      <w:i w:val="0"/>
                      <w:iCs w:val="0"/>
                      <w:color w:val="auto"/>
                      <w:sz w:val="21"/>
                      <w:szCs w:val="21"/>
                      <w:highlight w:val="none"/>
                      <w:u w:val="none"/>
                    </w:rPr>
                  </w:pPr>
                </w:p>
              </w:tc>
              <w:tc>
                <w:tcPr>
                  <w:tcW w:w="3851" w:type="dxa"/>
                  <w:shd w:val="clear" w:color="auto" w:fill="auto"/>
                  <w:vAlign w:val="center"/>
                </w:tcPr>
                <w:p w14:paraId="03070C09">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2041" w:type="dxa"/>
                  <w:vMerge w:val="continue"/>
                  <w:shd w:val="clear" w:color="auto" w:fill="auto"/>
                  <w:vAlign w:val="center"/>
                </w:tcPr>
                <w:p w14:paraId="5CD7BFEE">
                  <w:pPr>
                    <w:jc w:val="left"/>
                    <w:rPr>
                      <w:rFonts w:hint="default" w:ascii="Times New Roman" w:hAnsi="Times New Roman" w:eastAsia="宋体" w:cs="Times New Roman"/>
                      <w:i w:val="0"/>
                      <w:iCs w:val="0"/>
                      <w:color w:val="auto"/>
                      <w:sz w:val="21"/>
                      <w:szCs w:val="21"/>
                      <w:highlight w:val="none"/>
                      <w:u w:val="none"/>
                    </w:rPr>
                  </w:pPr>
                </w:p>
              </w:tc>
              <w:tc>
                <w:tcPr>
                  <w:tcW w:w="554" w:type="dxa"/>
                  <w:vMerge w:val="continue"/>
                  <w:shd w:val="clear" w:color="auto" w:fill="auto"/>
                  <w:textDirection w:val="tbRlV"/>
                  <w:vAlign w:val="center"/>
                </w:tcPr>
                <w:p w14:paraId="07412DD8">
                  <w:pPr>
                    <w:jc w:val="left"/>
                    <w:rPr>
                      <w:rFonts w:hint="default" w:ascii="Times New Roman" w:hAnsi="Times New Roman" w:eastAsia="宋体" w:cs="Times New Roman"/>
                      <w:i w:val="0"/>
                      <w:iCs w:val="0"/>
                      <w:color w:val="auto"/>
                      <w:sz w:val="21"/>
                      <w:szCs w:val="21"/>
                      <w:highlight w:val="none"/>
                      <w:u w:val="none"/>
                    </w:rPr>
                  </w:pPr>
                </w:p>
              </w:tc>
            </w:tr>
          </w:tbl>
          <w:p w14:paraId="6A8594C5">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综上所述，本项目符合《新疆维吾尔自治区生态环境分区管控动态更新成果》（新环环评发〔2024〕157号）的相关要求。</w:t>
            </w:r>
          </w:p>
          <w:p w14:paraId="534B1B3F">
            <w:pPr>
              <w:pStyle w:val="5"/>
              <w:keepNext w:val="0"/>
              <w:pageBreakBefore w:val="0"/>
              <w:widowControl/>
              <w:numPr>
                <w:ilvl w:val="2"/>
                <w:numId w:val="0"/>
              </w:numPr>
              <w:tabs>
                <w:tab w:val="clear" w:pos="851"/>
              </w:tabs>
              <w:kinsoku w:val="0"/>
              <w:wordWrap/>
              <w:overflowPunct/>
              <w:topLinePunct w:val="0"/>
              <w:autoSpaceDE w:val="0"/>
              <w:autoSpaceDN w:val="0"/>
              <w:bidi w:val="0"/>
              <w:adjustRightInd w:val="0"/>
              <w:snapToGrid w:val="0"/>
              <w:spacing w:line="360" w:lineRule="auto"/>
              <w:jc w:val="lef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本项目</w:t>
            </w:r>
            <w:r>
              <w:rPr>
                <w:rFonts w:hint="default" w:ascii="Times New Roman" w:hAnsi="Times New Roman" w:eastAsia="宋体" w:cs="Times New Roman"/>
                <w:b/>
                <w:bCs/>
                <w:color w:val="auto"/>
                <w:sz w:val="24"/>
                <w:szCs w:val="24"/>
                <w:highlight w:val="none"/>
                <w:lang w:val="en-US" w:eastAsia="zh-CN"/>
              </w:rPr>
              <w:t>与《昌吉回族自治州生态环境分区管控动态更新成果》的符合性分析</w:t>
            </w:r>
          </w:p>
          <w:p w14:paraId="63218462">
            <w:pPr>
              <w:pStyle w:val="12"/>
              <w:keepNext w:val="0"/>
              <w:pageBreakBefore w:val="0"/>
              <w:widowControl/>
              <w:kinsoku w:val="0"/>
              <w:wordWrap/>
              <w:overflowPunct/>
              <w:topLinePunct w:val="0"/>
              <w:autoSpaceDE w:val="0"/>
              <w:autoSpaceDN w:val="0"/>
              <w:bidi w:val="0"/>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根据《昌吉回族自治州生态环境分区管控动态更新成果》，本项目属于重点管控单元，管控单元名称为“昌吉市</w:t>
            </w:r>
            <w:r>
              <w:rPr>
                <w:rFonts w:hint="eastAsia" w:ascii="Times New Roman" w:hAnsi="Times New Roman" w:eastAsia="宋体" w:cs="Times New Roman"/>
                <w:color w:val="auto"/>
                <w:sz w:val="24"/>
                <w:szCs w:val="24"/>
                <w:highlight w:val="none"/>
                <w:lang w:val="en-US" w:eastAsia="zh-CN"/>
              </w:rPr>
              <w:t>三工镇空港合作区</w:t>
            </w:r>
            <w:r>
              <w:rPr>
                <w:rFonts w:hint="default" w:ascii="Times New Roman" w:hAnsi="Times New Roman" w:eastAsia="宋体" w:cs="Times New Roman"/>
                <w:color w:val="auto"/>
                <w:sz w:val="24"/>
                <w:szCs w:val="24"/>
                <w:highlight w:val="none"/>
                <w:lang w:val="en-US" w:eastAsia="zh-CN"/>
              </w:rPr>
              <w:t>”，管控单元编码为“ZH65230120003”。本项目与《昌吉回族自治州生态环境分区管控动态更新成果》的符合性分析见表1-</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p>
          <w:p w14:paraId="11D35E81">
            <w:pPr>
              <w:pStyle w:val="61"/>
              <w:keepLines w:val="0"/>
              <w:pageBreakBefore w:val="0"/>
              <w:widowControl w:val="0"/>
              <w:kinsoku/>
              <w:wordWrap/>
              <w:overflowPunct/>
              <w:topLinePunct w:val="0"/>
              <w:bidi w:val="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表1-</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 xml:space="preserve">    </w:t>
            </w:r>
            <w:r>
              <w:rPr>
                <w:rFonts w:hint="default" w:ascii="Times New Roman" w:hAnsi="Times New Roman" w:cs="Times New Roman"/>
                <w:color w:val="auto"/>
                <w:sz w:val="21"/>
                <w:szCs w:val="21"/>
                <w:highlight w:val="none"/>
                <w:lang w:val="en-US" w:eastAsia="zh-CN"/>
              </w:rPr>
              <w:t>《昌吉回族自治州生态环境分区管控动态更新成果》的符合性分析</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612"/>
              <w:gridCol w:w="2439"/>
              <w:gridCol w:w="867"/>
            </w:tblGrid>
            <w:tr w14:paraId="2A93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6" w:type="pct"/>
                  <w:gridSpan w:val="2"/>
                  <w:noWrap w:val="0"/>
                  <w:vAlign w:val="center"/>
                </w:tcPr>
                <w:p w14:paraId="03060B5C">
                  <w:pPr>
                    <w:pStyle w:val="62"/>
                    <w:keepLines w:val="0"/>
                    <w:pageBreakBefore w:val="0"/>
                    <w:widowControl w:val="0"/>
                    <w:kinsoku/>
                    <w:wordWrap/>
                    <w:overflowPunct/>
                    <w:topLinePunct w:val="0"/>
                    <w:bidi w:val="0"/>
                    <w:jc w:val="left"/>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管控要求</w:t>
                  </w:r>
                </w:p>
              </w:tc>
              <w:tc>
                <w:tcPr>
                  <w:tcW w:w="1640" w:type="pct"/>
                  <w:noWrap w:val="0"/>
                  <w:vAlign w:val="center"/>
                </w:tcPr>
                <w:p w14:paraId="18D10D55">
                  <w:pPr>
                    <w:pStyle w:val="62"/>
                    <w:keepLines w:val="0"/>
                    <w:pageBreakBefore w:val="0"/>
                    <w:widowControl w:val="0"/>
                    <w:kinsoku/>
                    <w:wordWrap/>
                    <w:overflowPunct/>
                    <w:topLinePunct w:val="0"/>
                    <w:bidi w:val="0"/>
                    <w:jc w:val="left"/>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本项目工程概况</w:t>
                  </w:r>
                </w:p>
              </w:tc>
              <w:tc>
                <w:tcPr>
                  <w:tcW w:w="583" w:type="pct"/>
                  <w:noWrap w:val="0"/>
                  <w:vAlign w:val="center"/>
                </w:tcPr>
                <w:p w14:paraId="1B20F39E">
                  <w:pPr>
                    <w:pStyle w:val="62"/>
                    <w:keepLines w:val="0"/>
                    <w:pageBreakBefore w:val="0"/>
                    <w:widowControl w:val="0"/>
                    <w:kinsoku/>
                    <w:wordWrap/>
                    <w:overflowPunct/>
                    <w:topLinePunct w:val="0"/>
                    <w:bidi w:val="0"/>
                    <w:jc w:val="left"/>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符合性</w:t>
                  </w:r>
                </w:p>
              </w:tc>
            </w:tr>
            <w:tr w14:paraId="1077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7" w:type="pct"/>
                  <w:vMerge w:val="restart"/>
                  <w:noWrap w:val="0"/>
                  <w:vAlign w:val="center"/>
                </w:tcPr>
                <w:p w14:paraId="23784F2D">
                  <w:pPr>
                    <w:pStyle w:val="62"/>
                    <w:keepLines w:val="0"/>
                    <w:pageBreakBefore w:val="0"/>
                    <w:widowControl w:val="0"/>
                    <w:kinsoku/>
                    <w:wordWrap/>
                    <w:overflowPunct/>
                    <w:topLinePunct w:val="0"/>
                    <w:bidi w:val="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重点管控单元</w:t>
                  </w:r>
                </w:p>
              </w:tc>
              <w:tc>
                <w:tcPr>
                  <w:tcW w:w="3612" w:type="dxa"/>
                  <w:noWrap w:val="0"/>
                  <w:vAlign w:val="center"/>
                </w:tcPr>
                <w:p w14:paraId="3F1328B2">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入园企业须符合园区产业发展定位、布局规划等要求。</w:t>
                  </w:r>
                </w:p>
                <w:p w14:paraId="56A1B5C5">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val="en-US" w:eastAsia="zh-CN" w:bidi="ar"/>
                    </w:rPr>
                    <w:t>入园企业须符合国土空间规划的布局及土地利用等相关要求。</w:t>
                  </w:r>
                </w:p>
                <w:p w14:paraId="1FB33898">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园区入驻项目须满足《新疆维吾尔自治区重点行业生态环境准入条件（2024 年）》相关要求。</w:t>
                  </w:r>
                </w:p>
                <w:p w14:paraId="20813912">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4.</w:t>
                  </w:r>
                  <w:r>
                    <w:rPr>
                      <w:rFonts w:hint="default" w:ascii="Times New Roman" w:hAnsi="Times New Roman" w:eastAsia="宋体" w:cs="Times New Roman"/>
                      <w:color w:val="auto"/>
                      <w:kern w:val="0"/>
                      <w:sz w:val="21"/>
                      <w:szCs w:val="21"/>
                      <w:highlight w:val="none"/>
                      <w:lang w:val="en-US" w:eastAsia="zh-CN" w:bidi="ar"/>
                    </w:rPr>
                    <w:t>园区入驻项目须严格执行园区规划及规划环评相关要求。</w:t>
                  </w:r>
                </w:p>
                <w:p w14:paraId="51465D7E">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val="en-US" w:eastAsia="zh-CN" w:bidi="ar"/>
                    </w:rPr>
                    <w:t>除国家规定新增原料用能不纳入能源消费总量控制的项目和列入国家规划的项目外，“乌-昌-石”等重点区域原则不再新建、扩建使用燃料用煤项目。</w:t>
                  </w:r>
                </w:p>
              </w:tc>
              <w:tc>
                <w:tcPr>
                  <w:tcW w:w="2439" w:type="dxa"/>
                  <w:noWrap w:val="0"/>
                  <w:vAlign w:val="center"/>
                </w:tcPr>
                <w:p w14:paraId="53428A20">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 xml:space="preserve">本项目执行自治区、乌昌石片区总体准入要求中关于重点管控单元空间布局约束的准入要求。 </w:t>
                  </w:r>
                </w:p>
                <w:p w14:paraId="58B7935B">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val="en-US" w:eastAsia="zh-CN" w:bidi="ar"/>
                    </w:rPr>
                    <w:t>本项目为金属管件制造，属于装备制造，符合园区发展定位。</w:t>
                  </w:r>
                </w:p>
                <w:p w14:paraId="721E0732">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本项目满足《新疆维吾尔自治区重点行业生态环境准入条件（2024 年）》相关要求。</w:t>
                  </w:r>
                </w:p>
                <w:p w14:paraId="6EAC7B4D">
                  <w:pPr>
                    <w:keepNext w:val="0"/>
                    <w:keepLines w:val="0"/>
                    <w:widowControl/>
                    <w:suppressLineNumbers w:val="0"/>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
                    </w:rPr>
                    <w:t>4.</w:t>
                  </w:r>
                  <w:r>
                    <w:rPr>
                      <w:rFonts w:hint="default" w:ascii="Times New Roman" w:hAnsi="Times New Roman" w:eastAsia="宋体" w:cs="Times New Roman"/>
                      <w:color w:val="auto"/>
                      <w:kern w:val="0"/>
                      <w:sz w:val="21"/>
                      <w:szCs w:val="21"/>
                      <w:highlight w:val="none"/>
                      <w:lang w:val="en-US" w:eastAsia="zh-CN" w:bidi="ar"/>
                    </w:rPr>
                    <w:t>本项目燃料为天然气。</w:t>
                  </w:r>
                </w:p>
              </w:tc>
              <w:tc>
                <w:tcPr>
                  <w:tcW w:w="867" w:type="dxa"/>
                  <w:noWrap w:val="0"/>
                  <w:vAlign w:val="center"/>
                </w:tcPr>
                <w:p w14:paraId="087B53B5">
                  <w:pPr>
                    <w:keepNext w:val="0"/>
                    <w:keepLines w:val="0"/>
                    <w:pageBreakBefore w:val="0"/>
                    <w:widowControl/>
                    <w:shd w:val="clear"/>
                    <w:kinsoku/>
                    <w:wordWrap/>
                    <w:overflowPunct/>
                    <w:bidi w:val="0"/>
                    <w:adjustRightInd w:val="0"/>
                    <w:snapToGrid w:val="0"/>
                    <w:spacing w:beforeAutospacing="0" w:afterAutospacing="0" w:line="240" w:lineRule="auto"/>
                    <w:ind w:left="0" w:leftChars="0" w:right="0" w:rightChars="0"/>
                    <w:jc w:val="center"/>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符合</w:t>
                  </w:r>
                </w:p>
                <w:p w14:paraId="3A78F840">
                  <w:pPr>
                    <w:keepNext w:val="0"/>
                    <w:keepLines w:val="0"/>
                    <w:pageBreakBefore w:val="0"/>
                    <w:widowControl/>
                    <w:shd w:val="clear"/>
                    <w:kinsoku/>
                    <w:wordWrap/>
                    <w:overflowPunct/>
                    <w:bidi w:val="0"/>
                    <w:adjustRightInd w:val="0"/>
                    <w:snapToGrid w:val="0"/>
                    <w:spacing w:beforeAutospacing="0" w:afterAutospacing="0" w:line="240" w:lineRule="auto"/>
                    <w:ind w:left="0" w:leftChars="0" w:right="0" w:rightChars="0"/>
                    <w:jc w:val="center"/>
                    <w:rPr>
                      <w:rFonts w:hint="default" w:ascii="Times New Roman" w:hAnsi="Times New Roman" w:eastAsia="宋体" w:cs="Times New Roman"/>
                      <w:color w:val="auto"/>
                      <w:sz w:val="21"/>
                      <w:szCs w:val="21"/>
                      <w:highlight w:val="none"/>
                    </w:rPr>
                  </w:pPr>
                </w:p>
              </w:tc>
            </w:tr>
            <w:tr w14:paraId="3040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7" w:type="pct"/>
                  <w:vMerge w:val="continue"/>
                  <w:tcBorders>
                    <w:tl2br w:val="nil"/>
                    <w:tr2bl w:val="nil"/>
                  </w:tcBorders>
                  <w:noWrap w:val="0"/>
                  <w:vAlign w:val="center"/>
                </w:tcPr>
                <w:p w14:paraId="22DD6276">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p>
              </w:tc>
              <w:tc>
                <w:tcPr>
                  <w:tcW w:w="3612" w:type="dxa"/>
                  <w:tcBorders>
                    <w:tl2br w:val="nil"/>
                    <w:tr2bl w:val="nil"/>
                  </w:tcBorders>
                  <w:noWrap w:val="0"/>
                  <w:vAlign w:val="center"/>
                </w:tcPr>
                <w:p w14:paraId="092D0E68">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聚焦采暖期重污染天气治理，加大重点区域、重点行业结构调整和污染治理力度。</w:t>
                  </w:r>
                </w:p>
                <w:p w14:paraId="31631F43">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val="en-US" w:eastAsia="zh-CN" w:bidi="ar"/>
                    </w:rPr>
                    <w:t>新（改、扩）建项目应执行最严格的大气污染物排放标准。</w:t>
                  </w:r>
                </w:p>
                <w:p w14:paraId="5942DC10">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“乌-昌-石”区域内，已实施超低排放的涉气排污单位，其实施超低排放改造的污染因子执行超低排放限值，其他污染因子执行特别排放限值和特别控制要求。</w:t>
                  </w:r>
                </w:p>
                <w:p w14:paraId="5E604D91">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4.</w:t>
                  </w:r>
                  <w:r>
                    <w:rPr>
                      <w:rFonts w:hint="default" w:ascii="Times New Roman" w:hAnsi="Times New Roman" w:eastAsia="宋体" w:cs="Times New Roman"/>
                      <w:color w:val="auto"/>
                      <w:kern w:val="0"/>
                      <w:sz w:val="21"/>
                      <w:szCs w:val="21"/>
                      <w:highlight w:val="none"/>
                      <w:lang w:val="en-US" w:eastAsia="zh-CN" w:bidi="ar"/>
                    </w:rPr>
                    <w:t>推动园区企业绿色发展，严格落实水污染物排放标准。</w:t>
                  </w:r>
                </w:p>
                <w:p w14:paraId="75CC709A">
                  <w:pPr>
                    <w:keepNext w:val="0"/>
                    <w:keepLines w:val="0"/>
                    <w:widowControl/>
                    <w:suppressLineNumbers w:val="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val="en-US" w:eastAsia="zh-CN" w:bidi="ar"/>
                    </w:rPr>
                    <w:t>严格实施污染物排放总量控制要求；全面深化面源污染治理，积极推进绿色施工。</w:t>
                  </w:r>
                </w:p>
              </w:tc>
              <w:tc>
                <w:tcPr>
                  <w:tcW w:w="2439" w:type="dxa"/>
                  <w:tcBorders>
                    <w:tl2br w:val="nil"/>
                    <w:tr2bl w:val="nil"/>
                  </w:tcBorders>
                  <w:noWrap w:val="0"/>
                  <w:vAlign w:val="center"/>
                </w:tcPr>
                <w:p w14:paraId="2CC6314D">
                  <w:pPr>
                    <w:keepNext w:val="0"/>
                    <w:keepLines w:val="0"/>
                    <w:widowControl/>
                    <w:suppressLineNumbers w:val="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 xml:space="preserve">本项目执行自治区、乌昌石片区总体准入要求中关于重点管控单元污染物排放管控的准入要求。 </w:t>
                  </w:r>
                </w:p>
                <w:p w14:paraId="317C6FEA">
                  <w:pPr>
                    <w:keepNext w:val="0"/>
                    <w:keepLines w:val="0"/>
                    <w:widowControl/>
                    <w:suppressLineNumbers w:val="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val="en-US" w:eastAsia="zh-CN" w:bidi="ar"/>
                    </w:rPr>
                    <w:t xml:space="preserve">本项目废气执行最严格的大气污染物排放标准。 </w:t>
                  </w:r>
                </w:p>
                <w:p w14:paraId="5E4D02B3">
                  <w:pPr>
                    <w:keepNext w:val="0"/>
                    <w:keepLines w:val="0"/>
                    <w:widowControl/>
                    <w:suppressLineNumbers w:val="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 xml:space="preserve">本项目已设置非甲烷总烃总量控制指标，并实行倍量替代。 </w:t>
                  </w:r>
                </w:p>
                <w:p w14:paraId="70BC3FF7">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4.</w:t>
                  </w:r>
                  <w:r>
                    <w:rPr>
                      <w:rFonts w:hint="default" w:ascii="Times New Roman" w:hAnsi="Times New Roman" w:cs="Times New Roman"/>
                      <w:color w:val="auto"/>
                      <w:kern w:val="0"/>
                      <w:sz w:val="21"/>
                      <w:szCs w:val="21"/>
                      <w:highlight w:val="none"/>
                      <w:lang w:val="en-US" w:eastAsia="zh-CN" w:bidi="ar"/>
                    </w:rPr>
                    <w:t>本项目生产不使用水。</w:t>
                  </w:r>
                </w:p>
                <w:p w14:paraId="448C94E7">
                  <w:pPr>
                    <w:keepNext w:val="0"/>
                    <w:keepLines w:val="0"/>
                    <w:widowControl/>
                    <w:suppressLineNumbers w:val="0"/>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val="en-US" w:eastAsia="zh-CN" w:bidi="ar"/>
                    </w:rPr>
                    <w:t>本项目挥发性有机物实行倍量替代，企业采用</w:t>
                  </w:r>
                  <w:r>
                    <w:rPr>
                      <w:rFonts w:hint="eastAsia" w:ascii="Times New Roman" w:hAnsi="Times New Roman" w:eastAsia="宋体" w:cs="Times New Roman"/>
                      <w:color w:val="auto"/>
                      <w:kern w:val="0"/>
                      <w:sz w:val="21"/>
                      <w:szCs w:val="21"/>
                      <w:highlight w:val="none"/>
                      <w:lang w:val="en-US" w:eastAsia="zh-CN" w:bidi="ar"/>
                    </w:rPr>
                    <w:t>活性炭吸附/脱附+催化燃烧装置</w:t>
                  </w:r>
                  <w:r>
                    <w:rPr>
                      <w:rFonts w:hint="default" w:ascii="Times New Roman" w:hAnsi="Times New Roman" w:eastAsia="宋体" w:cs="Times New Roman"/>
                      <w:color w:val="auto"/>
                      <w:kern w:val="0"/>
                      <w:sz w:val="21"/>
                      <w:szCs w:val="21"/>
                      <w:highlight w:val="none"/>
                      <w:lang w:val="en-US" w:eastAsia="zh-CN" w:bidi="ar"/>
                    </w:rPr>
                    <w:t>处理挥发性有机物。</w:t>
                  </w:r>
                </w:p>
              </w:tc>
              <w:tc>
                <w:tcPr>
                  <w:tcW w:w="583" w:type="pct"/>
                  <w:tcBorders>
                    <w:tl2br w:val="nil"/>
                    <w:tr2bl w:val="nil"/>
                  </w:tcBorders>
                  <w:noWrap w:val="0"/>
                  <w:vAlign w:val="center"/>
                </w:tcPr>
                <w:p w14:paraId="25F8E0ED">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16AF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7" w:type="pct"/>
                  <w:vMerge w:val="continue"/>
                  <w:tcBorders>
                    <w:tl2br w:val="nil"/>
                    <w:tr2bl w:val="nil"/>
                  </w:tcBorders>
                  <w:noWrap w:val="0"/>
                  <w:vAlign w:val="center"/>
                </w:tcPr>
                <w:p w14:paraId="43AA6FC6">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p>
              </w:tc>
              <w:tc>
                <w:tcPr>
                  <w:tcW w:w="3612" w:type="dxa"/>
                  <w:tcBorders>
                    <w:tl2br w:val="nil"/>
                    <w:tr2bl w:val="nil"/>
                  </w:tcBorders>
                  <w:noWrap w:val="0"/>
                  <w:vAlign w:val="center"/>
                </w:tcPr>
                <w:p w14:paraId="0163C576">
                  <w:pPr>
                    <w:keepNext w:val="0"/>
                    <w:keepLines w:val="0"/>
                    <w:widowControl/>
                    <w:suppressLineNumbers w:val="0"/>
                    <w:jc w:val="left"/>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园区应设立环境应急管理机构，建立环境风险监管制度、环境风险预警制度、突发环境事件应急预案、环境风险应急保障制度等环境风险防控体系，并具备环境风险应急救援能力。</w:t>
                  </w:r>
                </w:p>
              </w:tc>
              <w:tc>
                <w:tcPr>
                  <w:tcW w:w="2439" w:type="dxa"/>
                  <w:tcBorders>
                    <w:tl2br w:val="nil"/>
                    <w:tr2bl w:val="nil"/>
                  </w:tcBorders>
                  <w:noWrap w:val="0"/>
                  <w:vAlign w:val="center"/>
                </w:tcPr>
                <w:p w14:paraId="60D7BC00">
                  <w:pPr>
                    <w:keepNext w:val="0"/>
                    <w:keepLines w:val="0"/>
                    <w:widowControl/>
                    <w:suppressLineNumbers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本项目严格执行环境保护“三同时”，及时制定突发环境事件应急预案。</w:t>
                  </w:r>
                </w:p>
              </w:tc>
              <w:tc>
                <w:tcPr>
                  <w:tcW w:w="583" w:type="pct"/>
                  <w:tcBorders>
                    <w:tl2br w:val="nil"/>
                    <w:tr2bl w:val="nil"/>
                  </w:tcBorders>
                  <w:noWrap w:val="0"/>
                  <w:vAlign w:val="center"/>
                </w:tcPr>
                <w:p w14:paraId="7452B54B">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F4B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7" w:type="pct"/>
                  <w:vMerge w:val="continue"/>
                  <w:tcBorders>
                    <w:tl2br w:val="nil"/>
                    <w:tr2bl w:val="nil"/>
                  </w:tcBorders>
                  <w:noWrap w:val="0"/>
                  <w:vAlign w:val="center"/>
                </w:tcPr>
                <w:p w14:paraId="574E00A2">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p>
              </w:tc>
              <w:tc>
                <w:tcPr>
                  <w:tcW w:w="3612" w:type="dxa"/>
                  <w:tcBorders>
                    <w:tl2br w:val="nil"/>
                    <w:tr2bl w:val="nil"/>
                  </w:tcBorders>
                  <w:noWrap w:val="0"/>
                  <w:vAlign w:val="center"/>
                </w:tcPr>
                <w:p w14:paraId="7F0E1E72">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严守水资源开发利用控制、用水效率控制和水功能区限制纳污“三条红线”，严格实行区域用水总量和强度控制，强化用水定额管理。</w:t>
                  </w:r>
                </w:p>
                <w:p w14:paraId="5C434321">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val="en-US" w:eastAsia="zh-CN" w:bidi="ar"/>
                    </w:rPr>
                    <w:t>推行清洁生产、降低生产水耗、从源头上控制污染物的产生。</w:t>
                  </w:r>
                </w:p>
                <w:p w14:paraId="0E593C1F">
                  <w:pPr>
                    <w:keepNext w:val="0"/>
                    <w:keepLines w:val="0"/>
                    <w:widowControl/>
                    <w:suppressLineNumbers w:val="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加强能耗“双控”管理，优化能源消费结构。严格合理控制煤炭消费增长，精准测算原料煤、动力煤，新增原料用能不纳入能源消费总量控制。</w:t>
                  </w:r>
                </w:p>
              </w:tc>
              <w:tc>
                <w:tcPr>
                  <w:tcW w:w="2439" w:type="dxa"/>
                  <w:tcBorders>
                    <w:tl2br w:val="nil"/>
                    <w:tr2bl w:val="nil"/>
                  </w:tcBorders>
                  <w:noWrap w:val="0"/>
                  <w:vAlign w:val="center"/>
                </w:tcPr>
                <w:p w14:paraId="1AD2985E">
                  <w:pPr>
                    <w:keepNext w:val="0"/>
                    <w:keepLines w:val="0"/>
                    <w:widowControl/>
                    <w:suppressLineNumbers w:val="0"/>
                    <w:jc w:val="left"/>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本项目不使用水。</w:t>
                  </w:r>
                </w:p>
              </w:tc>
              <w:tc>
                <w:tcPr>
                  <w:tcW w:w="583" w:type="pct"/>
                  <w:tcBorders>
                    <w:tl2br w:val="nil"/>
                    <w:tr2bl w:val="nil"/>
                  </w:tcBorders>
                  <w:noWrap w:val="0"/>
                  <w:vAlign w:val="center"/>
                </w:tcPr>
                <w:p w14:paraId="06D238B6">
                  <w:pPr>
                    <w:pStyle w:val="62"/>
                    <w:keepLines w:val="0"/>
                    <w:pageBreakBefore w:val="0"/>
                    <w:widowControl w:val="0"/>
                    <w:kinsoku/>
                    <w:wordWrap/>
                    <w:overflowPunct/>
                    <w:topLinePunct w:val="0"/>
                    <w:bidi w:val="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bl>
          <w:p w14:paraId="0E7D616C">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afterLines="0" w:line="360" w:lineRule="auto"/>
              <w:ind w:leftChars="0"/>
              <w:jc w:val="left"/>
              <w:textAlignment w:val="baseline"/>
              <w:rPr>
                <w:rFonts w:hint="default" w:ascii="Times New Roman" w:hAnsi="Times New Roman" w:cs="Times New Roman"/>
                <w:b/>
                <w:bCs/>
                <w:color w:val="auto"/>
                <w:sz w:val="24"/>
                <w:szCs w:val="24"/>
                <w:highlight w:val="none"/>
                <w:lang w:val="en-US" w:eastAsia="zh-CN"/>
              </w:rPr>
            </w:pPr>
            <w:r>
              <w:rPr>
                <w:rFonts w:hint="default" w:ascii="Times New Roman" w:hAnsi="Times New Roman" w:eastAsia="宋体" w:cs="Times New Roman"/>
                <w:b/>
                <w:bCs/>
                <w:snapToGrid w:val="0"/>
                <w:color w:val="auto"/>
                <w:kern w:val="0"/>
                <w:sz w:val="24"/>
                <w:szCs w:val="24"/>
                <w:highlight w:val="none"/>
                <w:lang w:val="en-US" w:eastAsia="zh-CN"/>
              </w:rPr>
              <w:t>3.与</w:t>
            </w:r>
            <w:r>
              <w:rPr>
                <w:rFonts w:hint="default" w:ascii="Times New Roman" w:hAnsi="Times New Roman" w:cs="Times New Roman"/>
                <w:b/>
                <w:bCs/>
                <w:color w:val="auto"/>
                <w:sz w:val="24"/>
                <w:szCs w:val="24"/>
                <w:highlight w:val="none"/>
                <w:lang w:val="en-US" w:eastAsia="zh-CN"/>
              </w:rPr>
              <w:t>《新疆维吾尔自治区环境保护条例》符合性分析</w:t>
            </w:r>
          </w:p>
          <w:p w14:paraId="723E674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《新疆维吾尔自治区环境保护条例》第二十六条提出，各级人民政府应当采取措施，调整能源结构，淘汰落后产能，加强煤炭清洁高效利用</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实施燃煤电厂超低排放和节能改造</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鼓励开发利用低污染、无污染的清洁能源。</w:t>
            </w:r>
          </w:p>
          <w:p w14:paraId="3F59372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县级以上人民政府可以根据环境质量的需要</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划定并公布高污染燃料禁燃区在禁燃区内，禁止销售、燃用原煤、粉煤、各种可燃废物等高污染燃料</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禁止新建、扩建燃用高污染燃料的设施，已建设成的，应当在规定的期限内改用清洁能源。</w:t>
            </w:r>
          </w:p>
          <w:p w14:paraId="6895D25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在自治区行政区域内严格控制引进高排放、高污染、高耗能项目，禁止建设不符合国家和自治区环境保护标准的项目。</w:t>
            </w:r>
          </w:p>
          <w:p w14:paraId="4D875955">
            <w:pPr>
              <w:pStyle w:val="38"/>
              <w:keepNext w:val="0"/>
              <w:keepLines w:val="0"/>
              <w:pageBreakBefore w:val="0"/>
              <w:widowControl/>
              <w:kinsoku w:val="0"/>
              <w:wordWrap/>
              <w:overflowPunct/>
              <w:topLinePunct w:val="0"/>
              <w:autoSpaceDE w:val="0"/>
              <w:autoSpaceDN w:val="0"/>
              <w:bidi w:val="0"/>
              <w:adjustRightInd w:val="0"/>
              <w:snapToGrid w:val="0"/>
              <w:spacing w:before="0" w:beforeLines="0" w:line="360" w:lineRule="auto"/>
              <w:jc w:val="left"/>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w:t>
            </w:r>
            <w:r>
              <w:rPr>
                <w:rFonts w:hint="eastAsia" w:ascii="Times New Roman" w:hAnsi="Times New Roman" w:eastAsia="宋体" w:cs="Times New Roman"/>
                <w:b w:val="0"/>
                <w:bCs w:val="0"/>
                <w:color w:val="auto"/>
                <w:sz w:val="24"/>
                <w:szCs w:val="24"/>
                <w:highlight w:val="none"/>
                <w:lang w:val="en-US" w:eastAsia="zh-CN"/>
              </w:rPr>
              <w:t>热风炉燃料为清洁能源天然气，氮氧化物采用低氮燃烧器处理后达标排放。</w:t>
            </w:r>
            <w:r>
              <w:rPr>
                <w:rFonts w:hint="default" w:ascii="Times New Roman" w:hAnsi="Times New Roman" w:eastAsia="宋体" w:cs="Times New Roman"/>
                <w:b w:val="0"/>
                <w:bCs w:val="0"/>
                <w:color w:val="auto"/>
                <w:sz w:val="24"/>
                <w:szCs w:val="24"/>
                <w:highlight w:val="none"/>
                <w:lang w:val="en-US" w:eastAsia="zh-CN"/>
              </w:rPr>
              <w:t>因此本项目符合《新疆维吾尔自治区环境保护条例》有关要求。</w:t>
            </w:r>
          </w:p>
          <w:p w14:paraId="4CB680BA">
            <w:pPr>
              <w:pStyle w:val="38"/>
              <w:keepNext w:val="0"/>
              <w:keepLines w:val="0"/>
              <w:pageBreakBefore w:val="0"/>
              <w:widowControl/>
              <w:kinsoku w:val="0"/>
              <w:wordWrap/>
              <w:overflowPunct/>
              <w:topLinePunct w:val="0"/>
              <w:autoSpaceDE w:val="0"/>
              <w:autoSpaceDN w:val="0"/>
              <w:bidi w:val="0"/>
              <w:adjustRightInd w:val="0"/>
              <w:snapToGrid w:val="0"/>
              <w:spacing w:before="0" w:beforeLines="0" w:line="360" w:lineRule="auto"/>
              <w:ind w:left="0" w:leftChars="0" w:firstLine="0" w:firstLineChars="0"/>
              <w:jc w:val="left"/>
              <w:textAlignment w:val="baseline"/>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4.与《新疆维吾尔自治区大气污染防治条例》符合性分析</w:t>
            </w:r>
          </w:p>
          <w:p w14:paraId="2F5D3933">
            <w:pPr>
              <w:pStyle w:val="38"/>
              <w:keepNext w:val="0"/>
              <w:keepLines w:val="0"/>
              <w:pageBreakBefore w:val="0"/>
              <w:widowControl/>
              <w:kinsoku w:val="0"/>
              <w:wordWrap/>
              <w:overflowPunct/>
              <w:topLinePunct w:val="0"/>
              <w:autoSpaceDE w:val="0"/>
              <w:autoSpaceDN w:val="0"/>
              <w:bidi w:val="0"/>
              <w:adjustRightInd w:val="0"/>
              <w:snapToGrid w:val="0"/>
              <w:spacing w:before="0" w:beforeLines="0" w:line="360" w:lineRule="auto"/>
              <w:ind w:left="0" w:leftChars="0" w:firstLine="480" w:firstLineChars="200"/>
              <w:jc w:val="left"/>
              <w:textAlignment w:val="baseline"/>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rPr>
              <w:t>《新疆维吾尔自治区大气污染防治条例》提出：各级人民政府应当采取措施，调整能源结构，淘汰落后产能，加强煤炭清洁高效利用，实施燃煤电厂超低排放和节能改造，鼓励开发利用低污染、无污染的清洁能源。禁止在自治区行政区域内引进能（水</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目录 的工艺、设备、产品。本项目为</w:t>
            </w:r>
            <w:r>
              <w:rPr>
                <w:rFonts w:hint="eastAsia" w:ascii="Times New Roman" w:hAnsi="Times New Roman" w:eastAsia="宋体" w:cs="Times New Roman"/>
                <w:color w:val="auto"/>
                <w:sz w:val="24"/>
                <w:szCs w:val="24"/>
                <w:highlight w:val="none"/>
                <w:lang w:val="en-US" w:eastAsia="zh-CN"/>
              </w:rPr>
              <w:t>金属管件制造</w:t>
            </w:r>
            <w:r>
              <w:rPr>
                <w:rFonts w:hint="default" w:ascii="Times New Roman" w:hAnsi="Times New Roman" w:eastAsia="宋体" w:cs="Times New Roman"/>
                <w:color w:val="auto"/>
                <w:sz w:val="24"/>
                <w:szCs w:val="24"/>
                <w:highlight w:val="none"/>
              </w:rPr>
              <w:t>项目，项目不属于“三高”项目，各类污染物经处置后均可实现达标排放和合理处置；项目未使用淘汰落后的工艺、设备及产品，因此，本项目符合《新疆维吾尔自治区环境保护条例》要求。</w:t>
            </w:r>
          </w:p>
          <w:p w14:paraId="4C10598E">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leftChars="0"/>
              <w:jc w:val="left"/>
              <w:textAlignment w:val="baseline"/>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cs="Times New Roman"/>
                <w:b/>
                <w:bCs/>
                <w:color w:val="auto"/>
                <w:sz w:val="24"/>
                <w:szCs w:val="24"/>
                <w:highlight w:val="none"/>
                <w:lang w:val="en-US" w:eastAsia="zh-CN"/>
              </w:rPr>
              <w:t>5.与</w:t>
            </w:r>
            <w:r>
              <w:rPr>
                <w:rFonts w:hint="default" w:ascii="Times New Roman" w:hAnsi="Times New Roman" w:eastAsia="宋体" w:cs="Times New Roman"/>
                <w:b/>
                <w:bCs/>
                <w:color w:val="auto"/>
                <w:kern w:val="0"/>
                <w:sz w:val="24"/>
                <w:szCs w:val="24"/>
                <w:highlight w:val="none"/>
                <w:lang w:val="en-US" w:eastAsia="zh-CN" w:bidi="ar"/>
              </w:rPr>
              <w:t>《新疆生态环境保护“十四五”规划》符合性分析</w:t>
            </w:r>
          </w:p>
          <w:p w14:paraId="0A245F57">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leftChars="0" w:firstLine="480" w:firstLineChars="200"/>
              <w:jc w:val="left"/>
              <w:textAlignment w:val="baseline"/>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rPr>
              <w:t>《新疆生态环境保护“十四五”规划》提出：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落实最严格的水资源管理制度，科学确定水资源承载能力，严格实行区域用水总量和强度控制，强化节水约束性指标管理。强化地下水超采治理。深入推进重点区域大气污染治理。深入推进“乌—昌—石”“奎—独—乌”和伊宁市及周边区域大气污染治理，加快推进“乌—昌—石”区域城市细颗粒物和臭氧协同防控“一市一策”驻点跟踪研究工作。强化区域大气污染联防联控，合理确定产业布局，推动区域内统一产业准入和排放标准。实施钢铁、水泥、焦化等行业季节性生产调控措施，推进散煤整治、挥发性有机污染物（以下简称“VOCs”）综合治理、钢 铁、水泥、焦化和燃煤工业锅炉行业超低排放改造、燃气锅炉低氮燃烧改造、</w:t>
            </w:r>
            <w:r>
              <w:rPr>
                <w:rFonts w:hint="default" w:ascii="Times New Roman" w:hAnsi="Times New Roman" w:eastAsia="宋体" w:cs="Times New Roman"/>
                <w:color w:val="auto"/>
                <w:sz w:val="24"/>
                <w:szCs w:val="24"/>
                <w:highlight w:val="none"/>
                <w:lang w:eastAsia="zh-CN"/>
              </w:rPr>
              <w:t>工业聚集区</w:t>
            </w:r>
            <w:r>
              <w:rPr>
                <w:rFonts w:hint="default" w:ascii="Times New Roman" w:hAnsi="Times New Roman" w:eastAsia="宋体" w:cs="Times New Roman"/>
                <w:color w:val="auto"/>
                <w:sz w:val="24"/>
                <w:szCs w:val="24"/>
                <w:highlight w:val="none"/>
              </w:rPr>
              <w:t xml:space="preserve"> 区内轨道运输（大宗货物“公转铁”）、柴油货车治理、锅</w:t>
            </w:r>
            <w:r>
              <w:rPr>
                <w:rFonts w:hint="eastAsia" w:ascii="Times New Roman" w:hAnsi="Times New Roman" w:eastAsia="宋体" w:cs="Times New Roman"/>
                <w:color w:val="auto"/>
                <w:sz w:val="24"/>
                <w:szCs w:val="24"/>
                <w:highlight w:val="none"/>
                <w:lang w:eastAsia="zh-CN"/>
              </w:rPr>
              <w:t>炉</w:t>
            </w:r>
            <w:r>
              <w:rPr>
                <w:rFonts w:hint="default" w:ascii="Times New Roman" w:hAnsi="Times New Roman" w:eastAsia="宋体" w:cs="Times New Roman"/>
                <w:color w:val="auto"/>
                <w:sz w:val="24"/>
                <w:szCs w:val="24"/>
                <w:highlight w:val="none"/>
              </w:rPr>
              <w:t>窑综合治理等工程项目。全面推行绿色施工，持续推动城市建成区重污染企业搬迁或关闭退出。本项目为</w:t>
            </w:r>
            <w:r>
              <w:rPr>
                <w:rFonts w:hint="eastAsia" w:ascii="Times New Roman" w:hAnsi="Times New Roman" w:eastAsia="宋体" w:cs="Times New Roman"/>
                <w:color w:val="auto"/>
                <w:sz w:val="24"/>
                <w:szCs w:val="24"/>
                <w:highlight w:val="none"/>
                <w:lang w:val="en-US" w:eastAsia="zh-CN"/>
              </w:rPr>
              <w:t>金属管件制造项目</w:t>
            </w:r>
            <w:r>
              <w:rPr>
                <w:rFonts w:hint="default" w:ascii="Times New Roman" w:hAnsi="Times New Roman" w:eastAsia="宋体" w:cs="Times New Roman"/>
                <w:color w:val="auto"/>
                <w:sz w:val="24"/>
                <w:szCs w:val="24"/>
                <w:highlight w:val="none"/>
              </w:rPr>
              <w:t>，不属于“三高”项目，且不属于重点行业，项目生产过程主要采用天然气和电等清洁能源，各生产环节废气均采取了严格的污染控制措施，可保证达标排放，此外，项目符合生态保护红线、环境质量底线和资源利用上线要求，因此，本项目符合《新疆生态环境保护“十四五”规划》要求</w:t>
            </w:r>
          </w:p>
          <w:p w14:paraId="0968DE82">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leftChars="0"/>
              <w:jc w:val="left"/>
              <w:textAlignment w:val="baseline"/>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6.与《昌吉州生态环境保护“十四五”规划》符合性分析</w:t>
            </w:r>
          </w:p>
          <w:p w14:paraId="68A59CBA">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leftChars="0" w:firstLine="480"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《昌吉州生态环境保护“十四五”规划》提出，</w:t>
            </w:r>
            <w:r>
              <w:rPr>
                <w:rFonts w:hint="default" w:ascii="Times New Roman" w:hAnsi="Times New Roman" w:eastAsia="宋体" w:cs="Times New Roman"/>
                <w:b w:val="0"/>
                <w:bCs w:val="0"/>
                <w:color w:val="auto"/>
                <w:sz w:val="24"/>
                <w:szCs w:val="24"/>
                <w:highlight w:val="none"/>
              </w:rPr>
              <w:t>深化工业污染治理。推进重点行业污染治理升级改造。各县市、园区电解铝、焦化、碳素等重点行业及“乌-昌-石”区域所有行业均实施特别排放限值。至2025年，全州钢铁、铸造等行业全面实现超低排放运行。推进铸造、砖瓦、矿物棉、独立轧钢、炭素、化工、煤炭洗选、包装印刷、家具、人造板、橡胶制品、塑料制品等企业集群升级改造。推进涉气工业源全过程深度治理，完成钢铁、建材、有色、火电、焦化、铸造、水泥、炭素、矿山开采等重点行业及燃煤锅炉等物料（含废渣）运输、装卸、储存、转移和工艺过程等无组织排放深度治理，加强煤矿、化工、电力、焦化、水泥等工业企业物料封闭化管理。持续推进工业源全面达标排放</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本项目为</w:t>
            </w:r>
            <w:r>
              <w:rPr>
                <w:rFonts w:hint="eastAsia" w:ascii="Times New Roman" w:hAnsi="Times New Roman" w:eastAsia="宋体" w:cs="Times New Roman"/>
                <w:color w:val="auto"/>
                <w:sz w:val="24"/>
                <w:szCs w:val="24"/>
                <w:highlight w:val="none"/>
                <w:lang w:val="en-US" w:eastAsia="zh-CN"/>
              </w:rPr>
              <w:t>金属管件制造</w:t>
            </w:r>
            <w:r>
              <w:rPr>
                <w:rFonts w:hint="default" w:ascii="Times New Roman" w:hAnsi="Times New Roman" w:eastAsia="宋体" w:cs="Times New Roman"/>
                <w:b w:val="0"/>
                <w:bCs w:val="0"/>
                <w:color w:val="auto"/>
                <w:sz w:val="24"/>
                <w:szCs w:val="24"/>
                <w:highlight w:val="none"/>
                <w:lang w:val="en-US" w:eastAsia="zh-CN"/>
              </w:rPr>
              <w:t>项目，不属于重点行业，且废气经处理后可达标排放，因此，本项目符合</w:t>
            </w:r>
            <w:r>
              <w:rPr>
                <w:rFonts w:hint="default" w:ascii="Times New Roman" w:hAnsi="Times New Roman" w:cs="Times New Roman"/>
                <w:b w:val="0"/>
                <w:bCs w:val="0"/>
                <w:color w:val="auto"/>
                <w:sz w:val="24"/>
                <w:szCs w:val="24"/>
                <w:highlight w:val="none"/>
                <w:lang w:val="en-US" w:eastAsia="zh-CN"/>
              </w:rPr>
              <w:t>《昌吉州生态环境保护“十四五”规划》要求。</w:t>
            </w:r>
          </w:p>
          <w:p w14:paraId="52B1DEEF">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afterLines="0" w:afterAutospacing="0" w:line="360" w:lineRule="auto"/>
              <w:jc w:val="left"/>
              <w:textAlignment w:val="baseline"/>
              <w:rPr>
                <w:rFonts w:hint="default" w:ascii="Times New Roman" w:hAnsi="Times New Roman" w:eastAsia="宋体" w:cs="Times New Roman"/>
                <w:b/>
                <w:bCs/>
                <w:snapToGrid w:val="0"/>
                <w:color w:val="auto"/>
                <w:kern w:val="0"/>
                <w:sz w:val="24"/>
                <w:szCs w:val="24"/>
                <w:highlight w:val="none"/>
                <w:lang w:val="en-US" w:eastAsia="zh-CN"/>
              </w:rPr>
            </w:pPr>
            <w:r>
              <w:rPr>
                <w:rFonts w:hint="default" w:ascii="Times New Roman" w:hAnsi="Times New Roman" w:eastAsia="宋体" w:cs="Times New Roman"/>
                <w:b/>
                <w:bCs/>
                <w:snapToGrid w:val="0"/>
                <w:color w:val="auto"/>
                <w:kern w:val="0"/>
                <w:sz w:val="24"/>
                <w:szCs w:val="24"/>
                <w:highlight w:val="none"/>
                <w:lang w:val="en-US" w:eastAsia="zh-CN"/>
              </w:rPr>
              <w:t>7.与《挥发性有机物（VOCs）污染防治技术政策》符合性分析</w:t>
            </w:r>
          </w:p>
          <w:p w14:paraId="3E811B19">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baseline"/>
              <w:rPr>
                <w:rFonts w:hint="default" w:ascii="Times New Roman" w:hAnsi="Times New Roman" w:eastAsia="宋体" w:cs="Times New Roman"/>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snapToGrid w:val="0"/>
                <w:color w:val="auto"/>
                <w:kern w:val="0"/>
                <w:sz w:val="24"/>
                <w:szCs w:val="24"/>
                <w:highlight w:val="none"/>
                <w:lang w:val="en-US" w:eastAsia="zh-CN"/>
              </w:rPr>
              <w:t>《挥发性有机物（VOCs）污染防治技术政策》提出，</w:t>
            </w:r>
            <w:r>
              <w:rPr>
                <w:rFonts w:hint="default" w:ascii="Times New Roman" w:hAnsi="Times New Roman" w:eastAsia="宋体" w:cs="Times New Roman"/>
                <w:i w:val="0"/>
                <w:iCs w:val="0"/>
                <w:caps w:val="0"/>
                <w:color w:val="auto"/>
                <w:spacing w:val="0"/>
                <w:sz w:val="24"/>
                <w:szCs w:val="24"/>
                <w:highlight w:val="none"/>
                <w:shd w:val="clear" w:fill="FFFFFF"/>
              </w:rPr>
              <w:t>VOCs污染防治应遵循源头和过程控制与末端治理相结合的综合防治原则。在工业生产中采用清洁生产技术，严格控制含VOCs原料与产品在生产和储运销过程中的VOCs排放，鼓励对资源和能源的回收利用</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rPr>
              <w:t>鼓励在生产和生活中使用不含VOCs的替代产品或低VOCs含量的产品</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rPr>
              <w:t>通过积极开展VOCs摸底调查、制修订重点行业VOCs排放标准和管理制度等文件、加强VOCs监测和治理、推广使用环境标志产品等措施，到2015年，基本建立起重点区域VOCs污染防治体系；到2020年，基本实现VOCs从原料到产品、从生产到消费的全过程减排。</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本项目</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使用的油性漆环氧树脂含量为90%，二甲苯含量为10%，不使用油漆稀释剂，水性漆中VOC的含量为2g/L，</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运营期VOCs经</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活性炭吸附/脱附+催化燃烧装置</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处理后可达标排放，符合政策要求。</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本项目区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东侧为昌吉市秦川机械制造有限公司，西侧为空地，南侧为新疆京泰管业有限公司，北侧为昊宇鑫鹏新型建材厂，新疆京泰管业有限公司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昊宇鑫鹏新型建材厂</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处于长期停产状态，</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昌吉市秦川机械制造有限公司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为切削工具制造业，废气污染物为颗粒物，</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昌吉市秦川机械制造有限公司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排放污染物与本项目排放污染物排放量较少，叠加对周边环境影响较小。</w:t>
            </w:r>
          </w:p>
          <w:p w14:paraId="384E2B4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right="0"/>
              <w:jc w:val="left"/>
              <w:textAlignment w:val="baseline"/>
              <w:rPr>
                <w:rFonts w:hint="default" w:ascii="Times New Roman" w:hAnsi="Times New Roman" w:eastAsia="宋体" w:cs="Times New Roman"/>
                <w:b/>
                <w:bCs/>
                <w:color w:val="auto"/>
                <w:kern w:val="0"/>
                <w:sz w:val="24"/>
                <w:szCs w:val="24"/>
                <w:highlight w:val="none"/>
                <w:lang w:val="en-US" w:eastAsia="zh-CN" w:bidi="ar"/>
              </w:rPr>
            </w:pPr>
            <w:r>
              <w:rPr>
                <w:rFonts w:hint="eastAsia" w:ascii="Times New Roman" w:hAnsi="Times New Roman" w:eastAsia="宋体" w:cs="Times New Roman"/>
                <w:b/>
                <w:bCs/>
                <w:snapToGrid w:val="0"/>
                <w:color w:val="auto"/>
                <w:kern w:val="0"/>
                <w:sz w:val="24"/>
                <w:szCs w:val="24"/>
                <w:highlight w:val="none"/>
                <w:lang w:val="en-US" w:eastAsia="zh-CN"/>
              </w:rPr>
              <w:t>8.</w:t>
            </w:r>
            <w:r>
              <w:rPr>
                <w:rFonts w:hint="default" w:ascii="Times New Roman" w:hAnsi="Times New Roman" w:eastAsia="宋体" w:cs="Times New Roman"/>
                <w:b/>
                <w:bCs/>
                <w:color w:val="auto"/>
                <w:kern w:val="0"/>
                <w:sz w:val="24"/>
                <w:szCs w:val="24"/>
                <w:highlight w:val="none"/>
                <w:lang w:val="en-US" w:eastAsia="zh-CN" w:bidi="ar"/>
              </w:rPr>
              <w:t>与《空气质量持续改善行动计划》符合性分析</w:t>
            </w:r>
          </w:p>
          <w:p w14:paraId="295796EC">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《空气质量持续改善行动计划》指出：</w:t>
            </w:r>
            <w:r>
              <w:rPr>
                <w:rFonts w:hint="default" w:ascii="Times New Roman" w:hAnsi="Times New Roman" w:eastAsia="Helvetica" w:cs="Times New Roman"/>
                <w:i w:val="0"/>
                <w:iCs w:val="0"/>
                <w:caps w:val="0"/>
                <w:color w:val="auto"/>
                <w:spacing w:val="0"/>
                <w:sz w:val="24"/>
                <w:szCs w:val="24"/>
                <w:highlight w:val="none"/>
                <w:shd w:val="clear" w:fill="FFFFFF"/>
              </w:rPr>
              <w:t>优化含VOCs原辅材料和产品结构。严格控制生产和使用高VOCs含量涂料、油墨、胶粘剂、清洗剂等建设项目，提高低（无）VOCs含量产品比重。实施源头替代工程，加大工业涂装、包装印刷和电子行业低（无）VOCs含量原辅材料替代力度。室外构筑物防护和城市道路交通标志推广使用低（无）VOCs含量涂料。在生产、销售、进口、使用等环节严格执行VOCs含量限值标准。</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本项目运营期使用油漆用量较少，</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本项目</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使用的油性漆环氧树脂含量为90%，二甲苯含量为10%，不使用油漆稀释剂，水性漆中VOC的含量为2g/L，</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运营期挥发性有机物经</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活性炭吸附/脱附+催化燃烧装置</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处理后排放，挥发性有机物的排放量较少。</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项目区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东侧为昌吉市秦川机械制造有限公司，西侧为空地，南侧为新疆京泰管业有限公司，北侧为昊宇鑫鹏新型建材厂，新疆京泰管业有限公司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昊宇鑫鹏新型建材厂</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处于长期停产状态，</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昌吉市秦川机械制造有限公司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为切削工具制造业，废气污染物为颗粒物，</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昌吉市秦川机械制造有限公司</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排放污染物与本项目排放污染物排放量较少，叠加对周边环境影响较小。符合政策要求。</w:t>
            </w:r>
          </w:p>
          <w:p w14:paraId="07DDE7DE">
            <w:pPr>
              <w:pStyle w:val="22"/>
              <w:keepNext w:val="0"/>
              <w:keepLines w:val="0"/>
              <w:pageBreakBefore w:val="0"/>
              <w:numPr>
                <w:ilvl w:val="0"/>
                <w:numId w:val="0"/>
              </w:numPr>
              <w:kinsoku w:val="0"/>
              <w:wordWrap/>
              <w:autoSpaceDE w:val="0"/>
              <w:autoSpaceDN w:val="0"/>
              <w:bidi w:val="0"/>
              <w:adjustRightInd w:val="0"/>
              <w:snapToGrid w:val="0"/>
              <w:spacing w:after="120" w:afterLines="0" w:afterAutospacing="0" w:line="360" w:lineRule="auto"/>
              <w:jc w:val="left"/>
              <w:textAlignment w:val="baseline"/>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9.与《新疆维吾尔自治区工业窑炉大气污染物综合治理实施方案》（新大气发〔2019〕127 号）符合性分析</w:t>
            </w:r>
          </w:p>
          <w:p w14:paraId="3E299A5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eastAsia" w:ascii="宋体" w:hAnsi="宋体" w:eastAsia="宋体" w:cs="宋体"/>
                <w:b w:val="0"/>
                <w:bCs w:val="0"/>
                <w:color w:val="auto"/>
                <w:sz w:val="24"/>
                <w:szCs w:val="24"/>
                <w:highlight w:val="none"/>
                <w:lang w:val="en-US" w:eastAsia="zh-CN"/>
              </w:rPr>
              <w:t>《新疆维吾尔自治区工业窑炉大气污染物综合治理实施方案》提出：</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二）加快燃料清洁低碳化替代。对以煤、石油焦、渣油、重油等为燃料的工业炉窑，加快使用清洁低碳能源以及利用工厂余热、电厂热力等进行替代。重点区域禁止掺烧高硫石油焦（硫含量大于3%）。玻璃行业全面禁止掺烧高硫石油焦。</w:t>
            </w:r>
          </w:p>
          <w:p w14:paraId="2F1A9F4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（三）实施污染深度治理</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推进工业炉窑全面达标排放。已有行业排放标准的工业炉窑，严格执行行业排放标准相关规定，配套建设高效脱硫脱硝除尘设施，确保稳定达标排放。重点区域钢铁、水泥、焦化、石化、化工、有色等行业，二氧化硫、氮氧化物、颗粒物、挥发性有机物（VOCs）排放全面执行大气污染物特别排放限值。已核发排污许可证的，应严格执行许可要求。暂未制订行业排放标准的工业炉窑，包括铸造、日用玻璃、玻璃纤维、耐火材料、石灰、矿物棉等建材行业，钨、工业硅、金属冶炼废渣（灰）二次提取等有色金属行业，氮肥、电石、无机磷、活性炭等化工行业，应参照相关行业已出台的标准，全面加大污染治理力度，铸造行业烧结、高炉工序污染排放控制按照钢铁行业相关标准要求执行；重点区域原则上按照颗粒物、二氧化硫、氮氧化物排放限值分别不高于30、200、300毫克/立方米实施改造，其中，日用玻璃、玻璃棉氮氧化物排放限值不高于400毫克/立方米。</w:t>
            </w:r>
          </w:p>
          <w:p w14:paraId="48ED9EA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本项目热风炉使用清洁能源天然气，氮氧化物经天然气处理后排放，</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颗粒物、二氧化硫、氮氧化物排放限值分别不高于30、200、300毫克/立方米</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的要求。</w:t>
            </w:r>
          </w:p>
          <w:p w14:paraId="7A0367E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Helvetica" w:cs="Times New Roman"/>
                <w:b/>
                <w:bCs/>
                <w:i w:val="0"/>
                <w:iCs w:val="0"/>
                <w:caps w:val="0"/>
                <w:color w:val="auto"/>
                <w:spacing w:val="0"/>
                <w:sz w:val="24"/>
                <w:szCs w:val="24"/>
                <w:highlight w:val="none"/>
                <w:shd w:val="clear" w:fill="FFFFFF"/>
                <w:lang w:val="en-US" w:eastAsia="zh-CN"/>
              </w:rPr>
            </w:pPr>
            <w:r>
              <w:rPr>
                <w:rFonts w:hint="eastAsia" w:ascii="宋体" w:hAnsi="宋体" w:eastAsia="宋体" w:cs="宋体"/>
                <w:b/>
                <w:bCs/>
                <w:color w:val="auto"/>
                <w:sz w:val="24"/>
                <w:szCs w:val="24"/>
                <w:highlight w:val="none"/>
                <w:lang w:val="en-US" w:eastAsia="zh-CN"/>
              </w:rPr>
              <w:t>10.与《关于进一步加强乌鲁木齐、昌吉、石河子、五家渠区域大气环境同防同治的意见》（新政办发〔2023〕29 号）符合性分析</w:t>
            </w:r>
          </w:p>
          <w:p w14:paraId="538E1C9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根据《关于加强乌鲁木齐、昌吉、石河子、五家渠区域环境同防同治的意见》文件中规定：坚决遏制“高耗能、高排放、低水平”项目盲目发展。加快推进产业布局调整，严格高耗能、高排放、低水平(“两高一低”</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项目准入，严格落实国家产业规划、产业政策“三线一单”规划环评，以及产能置换、煤炭消费减量替代、区域污染物削减等要求，坚决叫停不符合要求的“两高一低”项目。新建、改建、扩建“两高一低”项目须符合生态环境保护法律法规和相关法定规划，满足重点污染物排放总量控制、碳排放碳达峰目标、生态环境准入清单、相关规划环评和相应行业建设项目环境准入条件、环评文件审批原则要求。要充分考虑环境容量、能耗双控、碳排放等因素，除国家规定新增原料用能不纳入能源消费总量控制的项目和列入国家规划项目外，“乌一昌一石”区域严控新建、扩建使用煤炭项目，严控新增钢铁、焦化、炼油、电解铝、水泥熟料、平板玻璃、煤化工产能。新建、改建、扩建项目严格按照产能置换办法实施减量置换。推行钢铁、焦化、烧结一体化布局</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有序推动长流程炼钢转型为电炉短流程炼钢。</w:t>
            </w:r>
          </w:p>
          <w:p w14:paraId="5877ADA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eastAsia" w:ascii="宋体" w:hAnsi="宋体" w:eastAsia="宋体" w:cs="宋体"/>
                <w:color w:val="auto"/>
                <w:kern w:val="0"/>
                <w:sz w:val="24"/>
                <w:szCs w:val="24"/>
                <w:highlight w:val="none"/>
                <w:lang w:val="en-US" w:eastAsia="zh-CN" w:bidi="ar"/>
              </w:rPr>
              <w:t>本项目为</w:t>
            </w:r>
            <w:r>
              <w:rPr>
                <w:rFonts w:hint="eastAsia" w:ascii="Times New Roman" w:hAnsi="Times New Roman" w:cs="Times New Roman"/>
                <w:color w:val="auto"/>
                <w:sz w:val="24"/>
                <w:szCs w:val="24"/>
                <w:highlight w:val="none"/>
                <w:lang w:val="en-US" w:eastAsia="zh-CN"/>
              </w:rPr>
              <w:t>金属管件制造项目</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不属于</w:t>
            </w:r>
            <w:r>
              <w:rPr>
                <w:rFonts w:hint="eastAsia" w:ascii="宋体" w:hAnsi="宋体" w:eastAsia="宋体" w:cs="宋体"/>
                <w:color w:val="auto"/>
                <w:kern w:val="0"/>
                <w:sz w:val="24"/>
                <w:szCs w:val="24"/>
                <w:highlight w:val="none"/>
                <w:lang w:val="en-US" w:eastAsia="zh-CN" w:bidi="ar"/>
              </w:rPr>
              <w:t>“高耗能、高排放、低水平”及“</w:t>
            </w:r>
            <w:r>
              <w:rPr>
                <w:rFonts w:hint="eastAsia" w:cs="宋体"/>
                <w:color w:val="auto"/>
                <w:kern w:val="0"/>
                <w:sz w:val="24"/>
                <w:szCs w:val="24"/>
                <w:highlight w:val="none"/>
                <w:lang w:val="en-US" w:eastAsia="zh-CN" w:bidi="ar"/>
              </w:rPr>
              <w:t>乌</w:t>
            </w:r>
            <w:r>
              <w:rPr>
                <w:rFonts w:hint="eastAsia" w:ascii="宋体" w:hAnsi="宋体" w:eastAsia="宋体" w:cs="宋体"/>
                <w:color w:val="auto"/>
                <w:kern w:val="0"/>
                <w:sz w:val="24"/>
                <w:szCs w:val="24"/>
                <w:highlight w:val="none"/>
                <w:lang w:val="en-US" w:eastAsia="zh-CN" w:bidi="ar"/>
              </w:rPr>
              <w:t>一昌一石</w:t>
            </w:r>
            <w:r>
              <w:rPr>
                <w:rFonts w:hint="default"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区域严控新建、扩建使用煤炭项目，也不属于钢铁、焦化、炼油、电解铝、水泥熟料、平板玻璃、煤化工，本项目属于金属管件制造项目，热风炉使用清洁能源天然气。项目的建设符合《关于加强乌鲁木齐、昌吉、石河子、五家渠区域环境同防同治的意见》文件相关规定。</w:t>
            </w:r>
          </w:p>
          <w:p w14:paraId="5E0E3F2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Helvetica" w:cs="Times New Roman"/>
                <w:b/>
                <w:bCs/>
                <w:i w:val="0"/>
                <w:iCs w:val="0"/>
                <w:caps w:val="0"/>
                <w:color w:val="auto"/>
                <w:spacing w:val="0"/>
                <w:sz w:val="24"/>
                <w:szCs w:val="24"/>
                <w:highlight w:val="none"/>
                <w:shd w:val="clear" w:fill="FFFFFF"/>
                <w:lang w:val="en-US" w:eastAsia="zh-CN"/>
              </w:rPr>
            </w:pPr>
            <w:r>
              <w:rPr>
                <w:rFonts w:hint="eastAsia" w:ascii="Times New Roman" w:hAnsi="Times New Roman" w:eastAsia="Helvetica" w:cs="Times New Roman"/>
                <w:b/>
                <w:bCs/>
                <w:i w:val="0"/>
                <w:iCs w:val="0"/>
                <w:caps w:val="0"/>
                <w:color w:val="auto"/>
                <w:spacing w:val="0"/>
                <w:sz w:val="24"/>
                <w:szCs w:val="24"/>
                <w:highlight w:val="none"/>
                <w:shd w:val="clear" w:fill="FFFFFF"/>
                <w:lang w:val="en-US" w:eastAsia="zh-CN"/>
              </w:rPr>
              <w:t>11.与</w:t>
            </w:r>
            <w:r>
              <w:rPr>
                <w:rFonts w:hint="eastAsia" w:ascii="宋体" w:hAnsi="宋体" w:eastAsia="宋体" w:cs="宋体"/>
                <w:b/>
                <w:bCs/>
                <w:color w:val="auto"/>
                <w:sz w:val="24"/>
                <w:szCs w:val="24"/>
                <w:highlight w:val="none"/>
                <w:lang w:val="en-US" w:eastAsia="zh-CN"/>
              </w:rPr>
              <w:t>《关于“乌—昌—石”区域执行大气污染物特别排放限值的公告》（公告〔2023〕20 号）的符合性</w:t>
            </w:r>
          </w:p>
          <w:p w14:paraId="5287678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依据《关于“乌—昌—石”区域执行大气污染物特别排放限值的公告》中的要求：</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对于目前国家排放标准及修改单中未规定大气污染物特别排放限值的行业，待相应排放标准制修订或修改后，新受理环评的建设项目执行相应大气污染物特别排放限值，执行时间与排放标准实施时间或标准修改单发布时间同步。</w:t>
            </w:r>
          </w:p>
          <w:p w14:paraId="5505BB8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本项目厂房外非甲烷总烃执行《挥发性有机物无组织排放控制标准》（GB37822-2019）附录A的特别排放限值，符合公告的要求。</w:t>
            </w:r>
          </w:p>
          <w:p w14:paraId="22D54F9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Helvetica" w:cs="Times New Roman"/>
                <w:b/>
                <w:bCs/>
                <w:i w:val="0"/>
                <w:iCs w:val="0"/>
                <w:caps w:val="0"/>
                <w:color w:val="auto"/>
                <w:spacing w:val="0"/>
                <w:sz w:val="24"/>
                <w:szCs w:val="24"/>
                <w:highlight w:val="none"/>
                <w:shd w:val="clear" w:fill="FFFFFF"/>
                <w:lang w:val="en-US" w:eastAsia="zh-CN"/>
              </w:rPr>
            </w:pPr>
            <w:r>
              <w:rPr>
                <w:rFonts w:hint="eastAsia" w:ascii="Times New Roman" w:hAnsi="Times New Roman" w:eastAsia="Helvetica" w:cs="Times New Roman"/>
                <w:b/>
                <w:bCs/>
                <w:i w:val="0"/>
                <w:iCs w:val="0"/>
                <w:caps w:val="0"/>
                <w:color w:val="auto"/>
                <w:spacing w:val="0"/>
                <w:sz w:val="24"/>
                <w:szCs w:val="24"/>
                <w:highlight w:val="none"/>
                <w:shd w:val="clear" w:fill="FFFFFF"/>
                <w:lang w:val="en-US" w:eastAsia="zh-CN"/>
              </w:rPr>
              <w:t>12.</w:t>
            </w:r>
            <w:r>
              <w:rPr>
                <w:rFonts w:hint="eastAsia" w:ascii="宋体" w:hAnsi="宋体" w:eastAsia="宋体" w:cs="宋体"/>
                <w:b/>
                <w:bCs/>
                <w:color w:val="auto"/>
                <w:sz w:val="24"/>
                <w:szCs w:val="24"/>
                <w:highlight w:val="none"/>
                <w:lang w:val="en-US" w:eastAsia="zh-CN"/>
              </w:rPr>
              <w:t>与《重点行业挥发性有机物综合治理方案》（环大气〔2019〕53号）的符合性</w:t>
            </w:r>
          </w:p>
          <w:p w14:paraId="7CFB3A3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重点行业挥发性有机物综合治理方案》提出：有效控制无组织排放。涂料、稀释剂、清洗剂等原辅材料应密闭存储，调配、使用、回收等过程应采用密闭设备或在密闭空间内操作，采用密闭管道或密闭容器等输送。除大型工件外，禁止敞开式喷涂、晾（风）干作业。除工艺限制外，原则上实行集中调配。调配、喷涂和干燥等VOCs排放工序应配备有效的废气收集系统。</w:t>
            </w:r>
          </w:p>
          <w:p w14:paraId="5AC5666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color w:val="auto"/>
                <w:sz w:val="24"/>
                <w:szCs w:val="24"/>
                <w:highlight w:val="none"/>
                <w:lang w:val="en-US" w:eastAsia="zh-CN"/>
              </w:rPr>
              <w:t>推进建设适宜高效的治污设施。喷涂废气应设置高效漆雾处理装置。喷涂、晾（风）干废气宜采用吸附浓缩+燃烧处理方式，小风量的可采用一次性活性炭吸附等工艺。调配、流平等废气可与喷涂、晾（风）干废气一并处理。使用溶剂型涂料的生产线，烘干废气宜采用燃烧方式单独处理，具备条件的可采用回收式热力燃烧装置。</w:t>
            </w:r>
          </w:p>
          <w:p w14:paraId="50BD6AA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本项目</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使用的油性漆环氧树脂含量为90%，二甲苯含量为10%，不使用油漆稀释剂，水性漆中VOC的含量为2g/L，不存在调漆工序，项目刷漆、涂粉工序在封闭的厂房中进行，刷漆、涂粉工序产生的</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挥发性有机物经</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活性炭吸附/脱附+催化燃烧装置</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处理后</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达标</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排放，挥发性有机物的排放量较少</w:t>
            </w:r>
            <w:r>
              <w:rPr>
                <w:rFonts w:hint="eastAsia" w:ascii="Times New Roman" w:hAnsi="Times New Roman" w:eastAsia="Helvetica" w:cs="Times New Roman"/>
                <w:i w:val="0"/>
                <w:iCs w:val="0"/>
                <w:caps w:val="0"/>
                <w:color w:val="auto"/>
                <w:spacing w:val="0"/>
                <w:sz w:val="24"/>
                <w:szCs w:val="24"/>
                <w:highlight w:val="none"/>
                <w:shd w:val="clear" w:fill="FFFFFF"/>
                <w:lang w:val="en-US" w:eastAsia="zh-CN"/>
              </w:rPr>
              <w:t>，符合方案要求</w:t>
            </w:r>
            <w:r>
              <w:rPr>
                <w:rFonts w:hint="default" w:ascii="Times New Roman" w:hAnsi="Times New Roman" w:eastAsia="Helvetica" w:cs="Times New Roman"/>
                <w:i w:val="0"/>
                <w:iCs w:val="0"/>
                <w:caps w:val="0"/>
                <w:color w:val="auto"/>
                <w:spacing w:val="0"/>
                <w:sz w:val="24"/>
                <w:szCs w:val="24"/>
                <w:highlight w:val="none"/>
                <w:shd w:val="clear" w:fill="FFFFFF"/>
                <w:lang w:val="en-US" w:eastAsia="zh-CN"/>
              </w:rPr>
              <w:t>。</w:t>
            </w:r>
          </w:p>
          <w:p w14:paraId="59096B4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p>
          <w:p w14:paraId="29D784E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Helvetica" w:cs="Times New Roman"/>
                <w:i w:val="0"/>
                <w:iCs w:val="0"/>
                <w:caps w:val="0"/>
                <w:color w:val="auto"/>
                <w:spacing w:val="0"/>
                <w:sz w:val="24"/>
                <w:szCs w:val="24"/>
                <w:highlight w:val="none"/>
                <w:shd w:val="clear" w:fill="FFFFFF"/>
                <w:lang w:val="en-US" w:eastAsia="zh-CN"/>
              </w:rPr>
            </w:pPr>
          </w:p>
          <w:p w14:paraId="76D13E3F">
            <w:pPr>
              <w:pStyle w:val="12"/>
              <w:rPr>
                <w:rFonts w:hint="default"/>
                <w:color w:val="auto"/>
                <w:highlight w:val="none"/>
                <w:lang w:val="en-US" w:eastAsia="zh-CN"/>
              </w:rPr>
            </w:pPr>
          </w:p>
        </w:tc>
      </w:tr>
    </w:tbl>
    <w:p w14:paraId="6CAFF8A7">
      <w:pPr>
        <w:keepNext w:val="0"/>
        <w:keepLines w:val="0"/>
        <w:pageBreakBefore w:val="0"/>
        <w:wordWrap/>
        <w:bidi w:val="0"/>
        <w:adjustRightInd w:val="0"/>
        <w:snapToGrid w:val="0"/>
        <w:rPr>
          <w:rFonts w:hint="default" w:ascii="Times New Roman" w:hAnsi="Times New Roman" w:cs="Times New Roman"/>
          <w:color w:val="auto"/>
          <w:highlight w:val="none"/>
        </w:rPr>
        <w:sectPr>
          <w:footerReference r:id="rId5" w:type="default"/>
          <w:pgSz w:w="11905" w:h="16838"/>
          <w:pgMar w:top="1531" w:right="1531" w:bottom="1531" w:left="1531" w:header="0" w:footer="918" w:gutter="0"/>
          <w:pgBorders>
            <w:top w:val="none" w:sz="0" w:space="0"/>
            <w:left w:val="none" w:sz="0" w:space="0"/>
            <w:bottom w:val="none" w:sz="0" w:space="0"/>
            <w:right w:val="none" w:sz="0" w:space="0"/>
          </w:pgBorders>
          <w:pgNumType w:fmt="decimal" w:start="1"/>
          <w:cols w:space="0" w:num="1"/>
          <w:rtlGutter w:val="0"/>
          <w:docGrid w:linePitch="0" w:charSpace="0"/>
        </w:sectPr>
      </w:pPr>
    </w:p>
    <w:p w14:paraId="078960EE">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hint="default" w:ascii="Times New Roman" w:hAnsi="Times New Roman" w:eastAsia="黑体" w:cs="Times New Roman"/>
          <w:color w:val="auto"/>
          <w:sz w:val="29"/>
          <w:szCs w:val="29"/>
          <w:highlight w:val="none"/>
        </w:rPr>
      </w:pPr>
      <w:r>
        <w:rPr>
          <w:rFonts w:hint="eastAsia" w:ascii="Times New Roman" w:hAnsi="Times New Roman" w:eastAsia="黑体" w:cs="Times New Roman"/>
          <w:color w:val="auto"/>
          <w:spacing w:val="11"/>
          <w:position w:val="2"/>
          <w:sz w:val="29"/>
          <w:szCs w:val="29"/>
          <w:highlight w:val="none"/>
          <w:lang w:val="en-US" w:eastAsia="zh-CN"/>
        </w:rPr>
        <w:t xml:space="preserve">  </w:t>
      </w:r>
      <w:r>
        <w:rPr>
          <w:rFonts w:hint="default" w:ascii="Times New Roman" w:hAnsi="Times New Roman" w:eastAsia="黑体" w:cs="Times New Roman"/>
          <w:color w:val="auto"/>
          <w:spacing w:val="11"/>
          <w:position w:val="2"/>
          <w:sz w:val="29"/>
          <w:szCs w:val="29"/>
          <w:highlight w:val="none"/>
        </w:rPr>
        <w:t>二</w:t>
      </w:r>
      <w:r>
        <w:rPr>
          <w:rFonts w:hint="default" w:ascii="Times New Roman" w:hAnsi="Times New Roman" w:eastAsia="黑体" w:cs="Times New Roman"/>
          <w:color w:val="auto"/>
          <w:spacing w:val="8"/>
          <w:position w:val="2"/>
          <w:sz w:val="29"/>
          <w:szCs w:val="29"/>
          <w:highlight w:val="none"/>
        </w:rPr>
        <w:t>、建设项目工程分析</w:t>
      </w:r>
    </w:p>
    <w:tbl>
      <w:tblPr>
        <w:tblStyle w:val="41"/>
        <w:tblW w:w="500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461"/>
        <w:gridCol w:w="9066"/>
      </w:tblGrid>
      <w:tr w14:paraId="28A41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211" w:type="pct"/>
            <w:tcBorders>
              <w:left w:val="single" w:color="000000" w:sz="6" w:space="0"/>
            </w:tcBorders>
            <w:vAlign w:val="center"/>
          </w:tcPr>
          <w:p w14:paraId="3E522C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position w:val="4"/>
                <w:sz w:val="24"/>
                <w:szCs w:val="24"/>
                <w:highlight w:val="none"/>
              </w:rPr>
              <w:t>建</w:t>
            </w:r>
            <w:r>
              <w:rPr>
                <w:rFonts w:hint="default" w:ascii="Times New Roman" w:hAnsi="Times New Roman" w:eastAsia="宋体" w:cs="Times New Roman"/>
                <w:color w:val="auto"/>
                <w:spacing w:val="3"/>
                <w:position w:val="4"/>
                <w:sz w:val="24"/>
                <w:szCs w:val="24"/>
                <w:highlight w:val="none"/>
              </w:rPr>
              <w:t>设</w:t>
            </w:r>
            <w:r>
              <w:rPr>
                <w:rFonts w:hint="default" w:ascii="Times New Roman" w:hAnsi="Times New Roman" w:eastAsia="宋体" w:cs="Times New Roman"/>
                <w:color w:val="auto"/>
                <w:spacing w:val="-8"/>
                <w:sz w:val="24"/>
                <w:szCs w:val="24"/>
                <w:highlight w:val="none"/>
              </w:rPr>
              <w:t>内容</w:t>
            </w:r>
          </w:p>
        </w:tc>
        <w:tc>
          <w:tcPr>
            <w:tcW w:w="4788" w:type="pct"/>
            <w:tcBorders>
              <w:right w:val="single" w:color="000000" w:sz="6" w:space="0"/>
            </w:tcBorders>
            <w:vAlign w:val="center"/>
          </w:tcPr>
          <w:p w14:paraId="57C7145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建设</w:t>
            </w:r>
            <w:r>
              <w:rPr>
                <w:rFonts w:hint="eastAsia" w:ascii="Times New Roman" w:hAnsi="Times New Roman" w:eastAsia="宋体" w:cs="Times New Roman"/>
                <w:b/>
                <w:bCs w:val="0"/>
                <w:color w:val="auto"/>
                <w:sz w:val="24"/>
                <w:szCs w:val="24"/>
                <w:highlight w:val="none"/>
                <w:lang w:val="en-US" w:eastAsia="zh-CN"/>
              </w:rPr>
              <w:t>项目详情</w:t>
            </w:r>
          </w:p>
          <w:p w14:paraId="1E2E21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新疆东瑞精工管道制造有限公司年产十万件管件生产建设项目</w:t>
            </w:r>
            <w:r>
              <w:rPr>
                <w:rFonts w:hint="default" w:ascii="Times New Roman" w:hAnsi="Times New Roman" w:eastAsia="宋体" w:cs="Times New Roman"/>
                <w:color w:val="auto"/>
                <w:sz w:val="24"/>
                <w:szCs w:val="24"/>
                <w:highlight w:val="none"/>
                <w:u w:val="none"/>
                <w:lang w:val="en-US" w:eastAsia="zh-CN"/>
              </w:rPr>
              <w:t>位于</w:t>
            </w:r>
            <w:r>
              <w:rPr>
                <w:rFonts w:hint="default" w:ascii="Times New Roman" w:hAnsi="Times New Roman" w:eastAsia="Helvetica" w:cs="Times New Roman"/>
                <w:i w:val="0"/>
                <w:iCs w:val="0"/>
                <w:caps w:val="0"/>
                <w:color w:val="auto"/>
                <w:spacing w:val="0"/>
                <w:sz w:val="24"/>
                <w:szCs w:val="24"/>
                <w:highlight w:val="none"/>
                <w:shd w:val="clear" w:fill="FFFFFF"/>
              </w:rPr>
              <w:t>新疆昌吉回族自治州昌吉市三工镇</w:t>
            </w:r>
            <w:r>
              <w:rPr>
                <w:rFonts w:hint="default" w:ascii="Times New Roman" w:hAnsi="Times New Roman" w:eastAsia="宋体" w:cs="Times New Roman"/>
                <w:color w:val="auto"/>
                <w:sz w:val="24"/>
                <w:szCs w:val="24"/>
                <w:highlight w:val="none"/>
              </w:rPr>
              <w:t>空港合作区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纬三路北侧</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项目区东侧为昌吉市秦川机械制造有限公司，西侧为空地，南侧为新疆京泰管业有限公司，北侧为昊宇鑫鹏新型建材厂，</w:t>
            </w:r>
            <w:r>
              <w:rPr>
                <w:rFonts w:hint="default" w:ascii="Times New Roman" w:hAnsi="Times New Roman" w:cs="Times New Roman"/>
                <w:color w:val="auto"/>
                <w:sz w:val="24"/>
                <w:szCs w:val="24"/>
                <w:highlight w:val="none"/>
                <w:lang w:val="en-US" w:eastAsia="zh-CN"/>
              </w:rPr>
              <w:t>项目区地理位置坐标：E</w:t>
            </w:r>
            <w:r>
              <w:rPr>
                <w:rFonts w:hint="default" w:ascii="Times New Roman" w:hAnsi="Times New Roman" w:cs="Times New Roman"/>
                <w:b w:val="0"/>
                <w:bCs/>
                <w:color w:val="auto"/>
                <w:sz w:val="24"/>
                <w:highlight w:val="none"/>
                <w:lang w:val="en-US" w:eastAsia="zh-CN"/>
              </w:rPr>
              <w:t>87°14′9.076″</w:t>
            </w:r>
            <w:r>
              <w:rPr>
                <w:rFonts w:hint="default" w:ascii="Times New Roman" w:hAnsi="Times New Roman" w:cs="Times New Roman"/>
                <w:color w:val="auto"/>
                <w:sz w:val="24"/>
                <w:szCs w:val="24"/>
                <w:highlight w:val="none"/>
                <w:lang w:val="en-US" w:eastAsia="zh-CN"/>
              </w:rPr>
              <w:t>，N</w:t>
            </w:r>
            <w:r>
              <w:rPr>
                <w:rFonts w:hint="default" w:ascii="Times New Roman" w:hAnsi="Times New Roman" w:cs="Times New Roman"/>
                <w:b w:val="0"/>
                <w:bCs/>
                <w:color w:val="auto"/>
                <w:sz w:val="24"/>
                <w:highlight w:val="none"/>
                <w:lang w:val="en-US" w:eastAsia="zh-CN"/>
              </w:rPr>
              <w:t>43°52′37.392″</w:t>
            </w:r>
            <w:r>
              <w:rPr>
                <w:rFonts w:hint="default" w:ascii="Times New Roman" w:hAnsi="Times New Roman" w:cs="Times New Roman"/>
                <w:color w:val="auto"/>
                <w:sz w:val="24"/>
                <w:szCs w:val="24"/>
                <w:highlight w:val="none"/>
                <w:lang w:val="en-US" w:eastAsia="zh-CN"/>
              </w:rPr>
              <w:t>，地理位置图见附图1，周边环境关系见附图2。</w:t>
            </w:r>
          </w:p>
          <w:p w14:paraId="5E0038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2018年7月27日原昌吉市环境保护局出具了违法行为决定书，针对本项目未批先建的违法行为进行处罚，2018年8月6日</w:t>
            </w:r>
            <w:r>
              <w:rPr>
                <w:rFonts w:hint="default" w:ascii="Times New Roman" w:hAnsi="Times New Roman" w:cs="Times New Roman"/>
                <w:color w:val="auto"/>
                <w:sz w:val="24"/>
                <w:szCs w:val="24"/>
                <w:highlight w:val="none"/>
                <w:lang w:val="en-US" w:eastAsia="zh-CN"/>
              </w:rPr>
              <w:t>新疆东瑞精工管道制造有限公司</w:t>
            </w:r>
            <w:r>
              <w:rPr>
                <w:rFonts w:hint="eastAsia" w:ascii="Times New Roman" w:hAnsi="Times New Roman" w:cs="Times New Roman"/>
                <w:color w:val="auto"/>
                <w:sz w:val="24"/>
                <w:szCs w:val="24"/>
                <w:highlight w:val="none"/>
                <w:lang w:val="en-US" w:eastAsia="zh-CN"/>
              </w:rPr>
              <w:t>缴付了针对本项目未批先建的罚款（详见附件）。</w:t>
            </w:r>
          </w:p>
          <w:p w14:paraId="1473C96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2018年8月新疆东瑞精工管道制造有限公司委托环评单位编制环评报告上报审批，由于</w:t>
            </w:r>
            <w:r>
              <w:rPr>
                <w:rFonts w:hint="default" w:ascii="Times New Roman" w:hAnsi="Times New Roman" w:cs="Times New Roman"/>
                <w:color w:val="auto"/>
                <w:sz w:val="24"/>
                <w:szCs w:val="24"/>
                <w:highlight w:val="none"/>
                <w:lang w:val="en-US" w:eastAsia="zh-CN"/>
              </w:rPr>
              <w:t>昌吉市三工镇空港合作区</w:t>
            </w:r>
            <w:r>
              <w:rPr>
                <w:rFonts w:hint="eastAsia" w:ascii="Times New Roman" w:hAnsi="Times New Roman" w:cs="Times New Roman"/>
                <w:color w:val="auto"/>
                <w:sz w:val="24"/>
                <w:szCs w:val="24"/>
                <w:highlight w:val="none"/>
                <w:lang w:val="en-US" w:eastAsia="zh-CN"/>
              </w:rPr>
              <w:t>（原昌吉市三工八钢工业集中区）无相关规划环评，故本项目环评未批复，企业处于停产状态。2025年</w:t>
            </w:r>
            <w:r>
              <w:rPr>
                <w:rFonts w:hint="default" w:ascii="Times New Roman" w:hAnsi="Times New Roman" w:cs="Times New Roman"/>
                <w:color w:val="auto"/>
                <w:sz w:val="24"/>
                <w:szCs w:val="24"/>
                <w:highlight w:val="none"/>
                <w:lang w:val="en-US" w:eastAsia="zh-CN"/>
              </w:rPr>
              <w:t>《昌吉空港合作区专项规划（2024</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2035年）环境影响报告书》</w:t>
            </w:r>
            <w:r>
              <w:rPr>
                <w:rFonts w:hint="eastAsia" w:ascii="Times New Roman" w:hAnsi="Times New Roman" w:cs="Times New Roman"/>
                <w:color w:val="auto"/>
                <w:sz w:val="24"/>
                <w:szCs w:val="24"/>
                <w:highlight w:val="none"/>
                <w:lang w:val="en-US" w:eastAsia="zh-CN"/>
              </w:rPr>
              <w:t>批复后积极上报环评报告。</w:t>
            </w:r>
          </w:p>
          <w:p w14:paraId="36D66B87">
            <w:pPr>
              <w:pStyle w:val="38"/>
              <w:keepNext w:val="0"/>
              <w:keepLines w:val="0"/>
              <w:pageBreakBefore w:val="0"/>
              <w:wordWrap/>
              <w:overflowPunct/>
              <w:topLinePunct w:val="0"/>
              <w:bidi w:val="0"/>
              <w:adjustRightInd w:val="0"/>
              <w:snapToGrid w:val="0"/>
              <w:spacing w:before="0" w:beforeLines="0" w:line="360" w:lineRule="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本项目已建设</w:t>
            </w:r>
            <w:r>
              <w:rPr>
                <w:rFonts w:hint="eastAsia" w:ascii="Times New Roman" w:hAnsi="Times New Roman" w:eastAsia="宋体" w:cs="Times New Roman"/>
                <w:snapToGrid w:val="0"/>
                <w:color w:val="auto"/>
                <w:kern w:val="0"/>
                <w:sz w:val="24"/>
                <w:szCs w:val="24"/>
                <w:highlight w:val="none"/>
                <w:u w:val="none"/>
                <w:lang w:val="en-US" w:eastAsia="zh-CN"/>
              </w:rPr>
              <w:t>1号生产车间、2号生产车间、辅助、储运工程。由于本项目长期处于停产状态，故本项目无已建设环保治理设施及排放口。未做例行检测。</w:t>
            </w:r>
          </w:p>
          <w:p w14:paraId="7AC7311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0" w:firstLineChars="0"/>
              <w:jc w:val="both"/>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建设规模</w:t>
            </w:r>
          </w:p>
          <w:p w14:paraId="4047F002">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napToGrid w:val="0"/>
                <w:color w:val="auto"/>
                <w:kern w:val="0"/>
                <w:sz w:val="24"/>
                <w:szCs w:val="24"/>
                <w:highlight w:val="none"/>
                <w:lang w:val="en-US" w:eastAsia="zh-CN"/>
              </w:rPr>
            </w:pPr>
            <w:r>
              <w:rPr>
                <w:rFonts w:hint="eastAsia" w:ascii="Times New Roman" w:hAnsi="Times New Roman" w:eastAsia="宋体" w:cs="Times New Roman"/>
                <w:snapToGrid w:val="0"/>
                <w:color w:val="auto"/>
                <w:kern w:val="0"/>
                <w:sz w:val="24"/>
                <w:szCs w:val="24"/>
                <w:highlight w:val="none"/>
                <w:u w:val="none"/>
                <w:lang w:val="en-US" w:eastAsia="zh-CN"/>
              </w:rPr>
              <w:t>本项目1号生产车间及车间里布置的焊接、卷制工序已建成，2号生产车间及车间中布置的热风炉、表面处理、刷漆工序已建成，办公区、宿舍、职工餐厅原料储存区等辅助、储运工程已建设。由于本项目长期处于停产状态，故本项目无已建设环保治理设施，本次环评要求新建环保设备，</w:t>
            </w:r>
            <w:r>
              <w:rPr>
                <w:rFonts w:hint="default" w:ascii="Times New Roman" w:hAnsi="Times New Roman" w:eastAsia="宋体" w:cs="Times New Roman"/>
                <w:snapToGrid w:val="0"/>
                <w:color w:val="auto"/>
                <w:kern w:val="0"/>
                <w:sz w:val="24"/>
                <w:szCs w:val="24"/>
                <w:highlight w:val="none"/>
                <w:u w:val="none"/>
                <w:lang w:eastAsia="zh-CN"/>
              </w:rPr>
              <w:t>项目组成详见表</w:t>
            </w:r>
            <w:r>
              <w:rPr>
                <w:rFonts w:hint="default" w:ascii="Times New Roman" w:hAnsi="Times New Roman" w:eastAsia="宋体" w:cs="Times New Roman"/>
                <w:snapToGrid w:val="0"/>
                <w:color w:val="auto"/>
                <w:kern w:val="0"/>
                <w:sz w:val="24"/>
                <w:szCs w:val="24"/>
                <w:highlight w:val="none"/>
                <w:u w:val="none"/>
                <w:lang w:val="en-US" w:eastAsia="zh-CN"/>
              </w:rPr>
              <w:t>2-1。</w:t>
            </w:r>
          </w:p>
          <w:p w14:paraId="7F1D706E">
            <w:pPr>
              <w:keepNext w:val="0"/>
              <w:keepLines w:val="0"/>
              <w:pageBreakBefore w:val="0"/>
              <w:widowControl w:val="0"/>
              <w:kinsoku/>
              <w:wordWrap/>
              <w:overflowPunct w:val="0"/>
              <w:topLinePunct w:val="0"/>
              <w:autoSpaceDE/>
              <w:autoSpaceDN/>
              <w:bidi w:val="0"/>
              <w:adjustRightInd w:val="0"/>
              <w:snapToGrid w:val="0"/>
              <w:spacing w:line="240" w:lineRule="auto"/>
              <w:ind w:right="0"/>
              <w:jc w:val="center"/>
              <w:textAlignment w:val="auto"/>
              <w:rPr>
                <w:rFonts w:hint="default" w:ascii="Times New Roman" w:hAnsi="Times New Roman" w:eastAsia="宋体" w:cs="Times New Roman"/>
                <w:b/>
                <w:snapToGrid w:val="0"/>
                <w:color w:val="auto"/>
                <w:kern w:val="0"/>
                <w:sz w:val="21"/>
                <w:szCs w:val="21"/>
                <w:highlight w:val="none"/>
                <w:lang w:val="en-US" w:eastAsia="zh-CN"/>
              </w:rPr>
            </w:pPr>
            <w:r>
              <w:rPr>
                <w:rFonts w:hint="default" w:ascii="Times New Roman" w:hAnsi="Times New Roman" w:eastAsia="宋体" w:cs="Times New Roman"/>
                <w:b/>
                <w:snapToGrid w:val="0"/>
                <w:color w:val="auto"/>
                <w:kern w:val="0"/>
                <w:sz w:val="21"/>
                <w:szCs w:val="21"/>
                <w:highlight w:val="none"/>
              </w:rPr>
              <w:t>表</w:t>
            </w:r>
            <w:r>
              <w:rPr>
                <w:rFonts w:hint="default" w:ascii="Times New Roman" w:hAnsi="Times New Roman" w:eastAsia="宋体" w:cs="Times New Roman"/>
                <w:b/>
                <w:snapToGrid w:val="0"/>
                <w:color w:val="auto"/>
                <w:kern w:val="0"/>
                <w:sz w:val="21"/>
                <w:szCs w:val="21"/>
                <w:highlight w:val="none"/>
                <w:lang w:val="en-US" w:eastAsia="zh-CN"/>
              </w:rPr>
              <w:t>2-1</w:t>
            </w:r>
            <w:r>
              <w:rPr>
                <w:rFonts w:hint="default" w:ascii="Times New Roman" w:hAnsi="Times New Roman" w:eastAsia="宋体" w:cs="Times New Roman"/>
                <w:b/>
                <w:snapToGrid w:val="0"/>
                <w:color w:val="auto"/>
                <w:kern w:val="0"/>
                <w:sz w:val="21"/>
                <w:szCs w:val="21"/>
                <w:highlight w:val="none"/>
              </w:rPr>
              <w:t xml:space="preserve"> 项目组成情况一览表</w:t>
            </w:r>
          </w:p>
          <w:tbl>
            <w:tblPr>
              <w:tblStyle w:val="29"/>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361"/>
              <w:gridCol w:w="5453"/>
              <w:gridCol w:w="1278"/>
            </w:tblGrid>
            <w:tr w14:paraId="383A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407" w:type="pct"/>
                  <w:tcBorders>
                    <w:tl2br w:val="nil"/>
                    <w:tr2bl w:val="nil"/>
                  </w:tcBorders>
                  <w:vAlign w:val="center"/>
                </w:tcPr>
                <w:p w14:paraId="6B3470BE">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类别</w:t>
                  </w:r>
                </w:p>
              </w:tc>
              <w:tc>
                <w:tcPr>
                  <w:tcW w:w="772" w:type="pct"/>
                  <w:tcBorders>
                    <w:tl2br w:val="nil"/>
                    <w:tr2bl w:val="nil"/>
                  </w:tcBorders>
                  <w:vAlign w:val="center"/>
                </w:tcPr>
                <w:p w14:paraId="04B6B9C2">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工程名称</w:t>
                  </w:r>
                </w:p>
              </w:tc>
              <w:tc>
                <w:tcPr>
                  <w:tcW w:w="3094" w:type="pct"/>
                  <w:tcBorders>
                    <w:tl2br w:val="nil"/>
                    <w:tr2bl w:val="nil"/>
                  </w:tcBorders>
                  <w:vAlign w:val="center"/>
                </w:tcPr>
                <w:p w14:paraId="44E9A773">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建设项目工程内容</w:t>
                  </w:r>
                </w:p>
              </w:tc>
              <w:tc>
                <w:tcPr>
                  <w:tcW w:w="725" w:type="pct"/>
                  <w:tcBorders>
                    <w:tl2br w:val="nil"/>
                    <w:tr2bl w:val="nil"/>
                  </w:tcBorders>
                  <w:vAlign w:val="center"/>
                </w:tcPr>
                <w:p w14:paraId="2A7CA531">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221A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407" w:type="pct"/>
                  <w:vMerge w:val="restart"/>
                  <w:tcBorders>
                    <w:tl2br w:val="nil"/>
                    <w:tr2bl w:val="nil"/>
                  </w:tcBorders>
                  <w:vAlign w:val="center"/>
                </w:tcPr>
                <w:p w14:paraId="40A8C29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772" w:type="pct"/>
                  <w:tcBorders>
                    <w:tl2br w:val="nil"/>
                    <w:tr2bl w:val="nil"/>
                  </w:tcBorders>
                  <w:vAlign w:val="center"/>
                </w:tcPr>
                <w:p w14:paraId="48C42925">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snapToGrid w:val="0"/>
                      <w:color w:val="auto"/>
                      <w:kern w:val="0"/>
                      <w:sz w:val="21"/>
                      <w:szCs w:val="21"/>
                      <w:highlight w:val="none"/>
                      <w:lang w:val="en-US" w:eastAsia="zh-CN"/>
                    </w:rPr>
                    <w:t>1号生产车间</w:t>
                  </w:r>
                </w:p>
              </w:tc>
              <w:tc>
                <w:tcPr>
                  <w:tcW w:w="3094" w:type="pct"/>
                  <w:tcBorders>
                    <w:tl2br w:val="nil"/>
                    <w:tr2bl w:val="nil"/>
                  </w:tcBorders>
                  <w:vAlign w:val="center"/>
                </w:tcPr>
                <w:p w14:paraId="301299AB">
                  <w:pPr>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snapToGrid w:val="0"/>
                      <w:color w:val="auto"/>
                      <w:kern w:val="0"/>
                      <w:sz w:val="21"/>
                      <w:szCs w:val="21"/>
                      <w:highlight w:val="none"/>
                      <w:lang w:val="en-US" w:eastAsia="zh-CN"/>
                    </w:rPr>
                    <w:t>车间面积为1800m</w:t>
                  </w:r>
                  <w:r>
                    <w:rPr>
                      <w:rFonts w:hint="default" w:ascii="Times New Roman" w:hAnsi="Times New Roman" w:cs="Times New Roman"/>
                      <w:snapToGrid w:val="0"/>
                      <w:color w:val="auto"/>
                      <w:kern w:val="0"/>
                      <w:sz w:val="21"/>
                      <w:szCs w:val="21"/>
                      <w:highlight w:val="none"/>
                      <w:vertAlign w:val="superscript"/>
                      <w:lang w:val="en-US" w:eastAsia="zh-CN"/>
                    </w:rPr>
                    <w:t>2</w:t>
                  </w:r>
                  <w:r>
                    <w:rPr>
                      <w:rFonts w:hint="default" w:ascii="Times New Roman" w:hAnsi="Times New Roman" w:cs="Times New Roman"/>
                      <w:snapToGrid w:val="0"/>
                      <w:color w:val="auto"/>
                      <w:kern w:val="0"/>
                      <w:sz w:val="21"/>
                      <w:szCs w:val="21"/>
                      <w:highlight w:val="none"/>
                      <w:lang w:val="en-US" w:eastAsia="zh-CN"/>
                    </w:rPr>
                    <w:t>，布置焊接、卷制等工序</w:t>
                  </w:r>
                </w:p>
              </w:tc>
              <w:tc>
                <w:tcPr>
                  <w:tcW w:w="725" w:type="pct"/>
                  <w:tcBorders>
                    <w:tl2br w:val="nil"/>
                    <w:tr2bl w:val="nil"/>
                  </w:tcBorders>
                  <w:vAlign w:val="center"/>
                </w:tcPr>
                <w:p w14:paraId="13DF906B">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3C17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407" w:type="pct"/>
                  <w:vMerge w:val="continue"/>
                  <w:tcBorders>
                    <w:tl2br w:val="nil"/>
                    <w:tr2bl w:val="nil"/>
                  </w:tcBorders>
                  <w:vAlign w:val="center"/>
                </w:tcPr>
                <w:p w14:paraId="6C707863">
                  <w:pPr>
                    <w:jc w:val="center"/>
                    <w:rPr>
                      <w:rFonts w:hint="default" w:ascii="Times New Roman" w:hAnsi="Times New Roman" w:cs="Times New Roman"/>
                      <w:color w:val="auto"/>
                      <w:highlight w:val="none"/>
                    </w:rPr>
                  </w:pPr>
                </w:p>
              </w:tc>
              <w:tc>
                <w:tcPr>
                  <w:tcW w:w="772" w:type="pct"/>
                  <w:tcBorders>
                    <w:tl2br w:val="nil"/>
                    <w:tr2bl w:val="nil"/>
                  </w:tcBorders>
                  <w:vAlign w:val="center"/>
                </w:tcPr>
                <w:p w14:paraId="7B2E2F95">
                  <w:pPr>
                    <w:jc w:val="center"/>
                    <w:rPr>
                      <w:rFonts w:hint="default" w:ascii="Times New Roman" w:hAnsi="Times New Roman" w:cs="Times New Roman"/>
                      <w:color w:val="auto"/>
                      <w:sz w:val="21"/>
                      <w:szCs w:val="21"/>
                      <w:highlight w:val="none"/>
                    </w:rPr>
                  </w:pPr>
                  <w:r>
                    <w:rPr>
                      <w:rFonts w:hint="default" w:ascii="Times New Roman" w:hAnsi="Times New Roman" w:cs="Times New Roman"/>
                      <w:snapToGrid w:val="0"/>
                      <w:color w:val="auto"/>
                      <w:kern w:val="0"/>
                      <w:sz w:val="21"/>
                      <w:szCs w:val="21"/>
                      <w:highlight w:val="none"/>
                      <w:lang w:val="en-US" w:eastAsia="zh-CN"/>
                    </w:rPr>
                    <w:t>2</w:t>
                  </w:r>
                  <w:r>
                    <w:rPr>
                      <w:rFonts w:hint="default" w:ascii="Times New Roman" w:hAnsi="Times New Roman" w:eastAsia="Arial" w:cs="Times New Roman"/>
                      <w:snapToGrid w:val="0"/>
                      <w:color w:val="auto"/>
                      <w:kern w:val="0"/>
                      <w:sz w:val="21"/>
                      <w:szCs w:val="21"/>
                      <w:highlight w:val="none"/>
                      <w:lang w:val="en-US" w:eastAsia="zh-CN"/>
                    </w:rPr>
                    <w:t>号生产车间</w:t>
                  </w:r>
                </w:p>
              </w:tc>
              <w:tc>
                <w:tcPr>
                  <w:tcW w:w="3094" w:type="pct"/>
                  <w:tcBorders>
                    <w:tl2br w:val="nil"/>
                    <w:tr2bl w:val="nil"/>
                  </w:tcBorders>
                  <w:vAlign w:val="center"/>
                </w:tcPr>
                <w:p w14:paraId="4E7A5A47">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车间面积为3500m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，布置热风炉</w:t>
                  </w:r>
                  <w:r>
                    <w:rPr>
                      <w:rFonts w:hint="eastAsia" w:ascii="Times New Roman" w:hAnsi="Times New Roman" w:eastAsia="宋体" w:cs="Times New Roman"/>
                      <w:color w:val="auto"/>
                      <w:sz w:val="21"/>
                      <w:szCs w:val="21"/>
                      <w:highlight w:val="none"/>
                      <w:lang w:val="en-US" w:eastAsia="zh-CN"/>
                    </w:rPr>
                    <w:t>2台</w:t>
                  </w:r>
                  <w:r>
                    <w:rPr>
                      <w:rFonts w:hint="default" w:ascii="Times New Roman" w:hAnsi="Times New Roman" w:eastAsia="宋体" w:cs="Times New Roman"/>
                      <w:color w:val="auto"/>
                      <w:sz w:val="21"/>
                      <w:szCs w:val="21"/>
                      <w:highlight w:val="none"/>
                      <w:lang w:val="en-US" w:eastAsia="zh-CN"/>
                    </w:rPr>
                    <w:t>、刷漆</w:t>
                  </w:r>
                  <w:r>
                    <w:rPr>
                      <w:rFonts w:hint="default" w:ascii="Times New Roman" w:hAnsi="Times New Roman" w:cs="Times New Roman"/>
                      <w:snapToGrid w:val="0"/>
                      <w:color w:val="auto"/>
                      <w:kern w:val="0"/>
                      <w:sz w:val="21"/>
                      <w:szCs w:val="21"/>
                      <w:highlight w:val="none"/>
                      <w:lang w:val="en-US" w:eastAsia="zh-CN"/>
                    </w:rPr>
                    <w:t>、表面处理</w:t>
                  </w:r>
                  <w:r>
                    <w:rPr>
                      <w:rFonts w:hint="default" w:ascii="Times New Roman" w:hAnsi="Times New Roman" w:eastAsia="宋体" w:cs="Times New Roman"/>
                      <w:color w:val="auto"/>
                      <w:sz w:val="21"/>
                      <w:szCs w:val="21"/>
                      <w:highlight w:val="none"/>
                      <w:lang w:val="en-US" w:eastAsia="zh-CN"/>
                    </w:rPr>
                    <w:t>等工序</w:t>
                  </w:r>
                </w:p>
              </w:tc>
              <w:tc>
                <w:tcPr>
                  <w:tcW w:w="725" w:type="pct"/>
                  <w:tcBorders>
                    <w:tl2br w:val="nil"/>
                    <w:tr2bl w:val="nil"/>
                  </w:tcBorders>
                  <w:vAlign w:val="center"/>
                </w:tcPr>
                <w:p w14:paraId="0DA8D50F">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1593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07" w:type="pct"/>
                  <w:vMerge w:val="restart"/>
                  <w:tcBorders>
                    <w:tl2br w:val="nil"/>
                    <w:tr2bl w:val="nil"/>
                  </w:tcBorders>
                  <w:vAlign w:val="center"/>
                </w:tcPr>
                <w:p w14:paraId="24E0B20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辅助工程</w:t>
                  </w:r>
                </w:p>
              </w:tc>
              <w:tc>
                <w:tcPr>
                  <w:tcW w:w="772" w:type="pct"/>
                  <w:tcBorders>
                    <w:tl2br w:val="nil"/>
                    <w:tr2bl w:val="nil"/>
                  </w:tcBorders>
                  <w:vAlign w:val="center"/>
                </w:tcPr>
                <w:p w14:paraId="64F38D62">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办公</w:t>
                  </w:r>
                  <w:r>
                    <w:rPr>
                      <w:rFonts w:hint="default" w:ascii="Times New Roman" w:hAnsi="Times New Roman" w:eastAsia="宋体" w:cs="Times New Roman"/>
                      <w:color w:val="auto"/>
                      <w:sz w:val="21"/>
                      <w:szCs w:val="21"/>
                      <w:highlight w:val="none"/>
                      <w:lang w:val="en-US" w:eastAsia="zh-CN"/>
                    </w:rPr>
                    <w:t>区</w:t>
                  </w:r>
                </w:p>
              </w:tc>
              <w:tc>
                <w:tcPr>
                  <w:tcW w:w="3094" w:type="pct"/>
                  <w:tcBorders>
                    <w:tl2br w:val="nil"/>
                    <w:tr2bl w:val="nil"/>
                  </w:tcBorders>
                  <w:vAlign w:val="center"/>
                </w:tcPr>
                <w:p w14:paraId="55419264">
                  <w:pPr>
                    <w:pStyle w:val="13"/>
                    <w:adjustRightInd w:val="0"/>
                    <w:snapToGrid w:val="0"/>
                    <w:spacing w:after="0"/>
                    <w:ind w:left="0" w:leftChars="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val="en-US" w:eastAsia="zh-CN"/>
                    </w:rPr>
                    <w:t>办公区200</w:t>
                  </w:r>
                  <w:r>
                    <w:rPr>
                      <w:rFonts w:hint="default" w:ascii="Times New Roman" w:hAnsi="Times New Roman" w:cs="Times New Roman"/>
                      <w:color w:val="auto"/>
                      <w:sz w:val="21"/>
                      <w:szCs w:val="21"/>
                      <w:highlight w:val="none"/>
                      <w:u w:val="none"/>
                      <w:lang w:val="en-US" w:eastAsia="zh-CN"/>
                    </w:rPr>
                    <w:t>m</w:t>
                  </w:r>
                  <w:r>
                    <w:rPr>
                      <w:rFonts w:hint="default" w:ascii="Times New Roman" w:hAnsi="Times New Roman" w:cs="Times New Roman"/>
                      <w:color w:val="auto"/>
                      <w:sz w:val="21"/>
                      <w:szCs w:val="21"/>
                      <w:highlight w:val="none"/>
                      <w:u w:val="none"/>
                      <w:vertAlign w:val="superscript"/>
                      <w:lang w:val="en-US" w:eastAsia="zh-CN"/>
                    </w:rPr>
                    <w:t>2</w:t>
                  </w:r>
                </w:p>
              </w:tc>
              <w:tc>
                <w:tcPr>
                  <w:tcW w:w="725" w:type="pct"/>
                  <w:tcBorders>
                    <w:tl2br w:val="nil"/>
                    <w:tr2bl w:val="nil"/>
                  </w:tcBorders>
                  <w:vAlign w:val="center"/>
                </w:tcPr>
                <w:p w14:paraId="15A991A4">
                  <w:pPr>
                    <w:widowControl/>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bCs/>
                      <w:color w:val="auto"/>
                      <w:sz w:val="21"/>
                      <w:szCs w:val="21"/>
                      <w:highlight w:val="none"/>
                      <w:lang w:val="en-US" w:eastAsia="zh-CN"/>
                    </w:rPr>
                    <w:t>建</w:t>
                  </w:r>
                </w:p>
              </w:tc>
            </w:tr>
            <w:tr w14:paraId="02AC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7" w:type="pct"/>
                  <w:vMerge w:val="continue"/>
                  <w:tcBorders>
                    <w:tl2br w:val="nil"/>
                    <w:tr2bl w:val="nil"/>
                  </w:tcBorders>
                  <w:vAlign w:val="center"/>
                </w:tcPr>
                <w:p w14:paraId="54306407">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7ABC9955">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宿舍</w:t>
                  </w:r>
                </w:p>
              </w:tc>
              <w:tc>
                <w:tcPr>
                  <w:tcW w:w="3094" w:type="pct"/>
                  <w:tcBorders>
                    <w:tl2br w:val="nil"/>
                    <w:tr2bl w:val="nil"/>
                  </w:tcBorders>
                  <w:vAlign w:val="center"/>
                </w:tcPr>
                <w:p w14:paraId="7D147B11">
                  <w:pPr>
                    <w:pStyle w:val="13"/>
                    <w:adjustRightInd w:val="0"/>
                    <w:snapToGrid w:val="0"/>
                    <w:spacing w:after="0"/>
                    <w:ind w:left="0" w:lef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宿舍面积为200</w:t>
                  </w:r>
                  <w:r>
                    <w:rPr>
                      <w:rFonts w:hint="default" w:ascii="Times New Roman" w:hAnsi="Times New Roman" w:cs="Times New Roman"/>
                      <w:color w:val="auto"/>
                      <w:sz w:val="21"/>
                      <w:szCs w:val="21"/>
                      <w:highlight w:val="none"/>
                      <w:u w:val="none"/>
                      <w:lang w:val="en-US" w:eastAsia="zh-CN"/>
                    </w:rPr>
                    <w:t>m</w:t>
                  </w:r>
                  <w:r>
                    <w:rPr>
                      <w:rFonts w:hint="default" w:ascii="Times New Roman" w:hAnsi="Times New Roman" w:cs="Times New Roman"/>
                      <w:color w:val="auto"/>
                      <w:sz w:val="21"/>
                      <w:szCs w:val="21"/>
                      <w:highlight w:val="none"/>
                      <w:u w:val="none"/>
                      <w:vertAlign w:val="superscript"/>
                      <w:lang w:val="en-US" w:eastAsia="zh-CN"/>
                    </w:rPr>
                    <w:t>2</w:t>
                  </w:r>
                </w:p>
              </w:tc>
              <w:tc>
                <w:tcPr>
                  <w:tcW w:w="725" w:type="pct"/>
                  <w:tcBorders>
                    <w:tl2br w:val="nil"/>
                    <w:tr2bl w:val="nil"/>
                  </w:tcBorders>
                  <w:vAlign w:val="center"/>
                </w:tcPr>
                <w:p w14:paraId="4FE1B8ED">
                  <w:pPr>
                    <w:widowControl/>
                    <w:jc w:val="center"/>
                    <w:rPr>
                      <w:rFonts w:hint="default" w:ascii="Times New Roman" w:hAnsi="Times New Roman" w:cs="Times New Roman"/>
                      <w:bCs/>
                      <w:color w:val="auto"/>
                      <w:sz w:val="21"/>
                      <w:szCs w:val="21"/>
                      <w:highlight w:val="none"/>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5C5F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07" w:type="pct"/>
                  <w:vMerge w:val="continue"/>
                  <w:tcBorders>
                    <w:tl2br w:val="nil"/>
                    <w:tr2bl w:val="nil"/>
                  </w:tcBorders>
                  <w:vAlign w:val="center"/>
                </w:tcPr>
                <w:p w14:paraId="05DB8422">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31F391E6">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职工餐厅</w:t>
                  </w:r>
                </w:p>
              </w:tc>
              <w:tc>
                <w:tcPr>
                  <w:tcW w:w="3094" w:type="pct"/>
                  <w:tcBorders>
                    <w:tl2br w:val="nil"/>
                    <w:tr2bl w:val="nil"/>
                  </w:tcBorders>
                  <w:vAlign w:val="center"/>
                </w:tcPr>
                <w:p w14:paraId="22078FDA">
                  <w:pPr>
                    <w:pStyle w:val="13"/>
                    <w:adjustRightInd w:val="0"/>
                    <w:snapToGrid w:val="0"/>
                    <w:spacing w:after="0"/>
                    <w:ind w:left="0" w:left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面积为30</w:t>
                  </w:r>
                  <w:r>
                    <w:rPr>
                      <w:rFonts w:hint="default" w:ascii="Times New Roman" w:hAnsi="Times New Roman" w:cs="Times New Roman"/>
                      <w:color w:val="auto"/>
                      <w:sz w:val="21"/>
                      <w:szCs w:val="21"/>
                      <w:highlight w:val="none"/>
                      <w:u w:val="none"/>
                      <w:lang w:val="en-US" w:eastAsia="zh-CN"/>
                    </w:rPr>
                    <w:t>m</w:t>
                  </w:r>
                  <w:r>
                    <w:rPr>
                      <w:rFonts w:hint="default" w:ascii="Times New Roman" w:hAnsi="Times New Roman" w:cs="Times New Roman"/>
                      <w:color w:val="auto"/>
                      <w:sz w:val="21"/>
                      <w:szCs w:val="21"/>
                      <w:highlight w:val="none"/>
                      <w:u w:val="none"/>
                      <w:vertAlign w:val="superscript"/>
                      <w:lang w:val="en-US" w:eastAsia="zh-CN"/>
                    </w:rPr>
                    <w:t>2</w:t>
                  </w:r>
                  <w:r>
                    <w:rPr>
                      <w:rFonts w:hint="default" w:ascii="Times New Roman" w:hAnsi="Times New Roman" w:cs="Times New Roman"/>
                      <w:color w:val="auto"/>
                      <w:sz w:val="21"/>
                      <w:szCs w:val="21"/>
                      <w:highlight w:val="none"/>
                      <w:u w:val="none"/>
                      <w:vertAlign w:val="baseline"/>
                      <w:lang w:val="en-US" w:eastAsia="zh-CN"/>
                    </w:rPr>
                    <w:t>，</w:t>
                  </w:r>
                </w:p>
              </w:tc>
              <w:tc>
                <w:tcPr>
                  <w:tcW w:w="725" w:type="pct"/>
                  <w:tcBorders>
                    <w:tl2br w:val="nil"/>
                    <w:tr2bl w:val="nil"/>
                  </w:tcBorders>
                  <w:vAlign w:val="center"/>
                </w:tcPr>
                <w:p w14:paraId="3DAC39A0">
                  <w:pPr>
                    <w:widowControl/>
                    <w:jc w:val="center"/>
                    <w:rPr>
                      <w:rFonts w:hint="default" w:ascii="Times New Roman" w:hAnsi="Times New Roman" w:cs="Times New Roman"/>
                      <w:bCs/>
                      <w:color w:val="auto"/>
                      <w:sz w:val="21"/>
                      <w:szCs w:val="21"/>
                      <w:highlight w:val="none"/>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2158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07" w:type="pct"/>
                  <w:vMerge w:val="restart"/>
                  <w:tcBorders>
                    <w:tl2br w:val="nil"/>
                    <w:tr2bl w:val="nil"/>
                  </w:tcBorders>
                  <w:vAlign w:val="center"/>
                </w:tcPr>
                <w:p w14:paraId="37658C4A">
                  <w:pPr>
                    <w:widowControl/>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0"/>
                      <w:sz w:val="21"/>
                      <w:szCs w:val="21"/>
                      <w:highlight w:val="none"/>
                    </w:rPr>
                    <w:t>储运工程</w:t>
                  </w:r>
                </w:p>
              </w:tc>
              <w:tc>
                <w:tcPr>
                  <w:tcW w:w="772" w:type="pct"/>
                  <w:tcBorders>
                    <w:tl2br w:val="nil"/>
                    <w:tr2bl w:val="nil"/>
                  </w:tcBorders>
                  <w:vAlign w:val="center"/>
                </w:tcPr>
                <w:p w14:paraId="2F4F949D">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原料储存</w:t>
                  </w:r>
                </w:p>
              </w:tc>
              <w:tc>
                <w:tcPr>
                  <w:tcW w:w="3094" w:type="pct"/>
                  <w:tcBorders>
                    <w:tl2br w:val="nil"/>
                    <w:tr2bl w:val="nil"/>
                  </w:tcBorders>
                  <w:vAlign w:val="center"/>
                </w:tcPr>
                <w:p w14:paraId="729F5D4E">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面积1500</w:t>
                  </w:r>
                  <w:r>
                    <w:rPr>
                      <w:rFonts w:hint="default" w:ascii="Times New Roman" w:hAnsi="Times New Roman" w:cs="Times New Roman"/>
                      <w:color w:val="auto"/>
                      <w:sz w:val="21"/>
                      <w:szCs w:val="21"/>
                      <w:highlight w:val="none"/>
                      <w:u w:val="none"/>
                      <w:lang w:val="en-US" w:eastAsia="zh-CN"/>
                    </w:rPr>
                    <w:t>m</w:t>
                  </w:r>
                  <w:r>
                    <w:rPr>
                      <w:rFonts w:hint="default" w:ascii="Times New Roman" w:hAnsi="Times New Roman" w:cs="Times New Roman"/>
                      <w:color w:val="auto"/>
                      <w:sz w:val="21"/>
                      <w:szCs w:val="21"/>
                      <w:highlight w:val="none"/>
                      <w:u w:val="none"/>
                      <w:vertAlign w:val="superscript"/>
                      <w:lang w:val="en-US" w:eastAsia="zh-CN"/>
                    </w:rPr>
                    <w:t>2</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rPr>
                    <w:t>用于</w:t>
                  </w:r>
                  <w:r>
                    <w:rPr>
                      <w:rFonts w:hint="default" w:ascii="Times New Roman" w:hAnsi="Times New Roman" w:eastAsia="宋体" w:cs="Times New Roman"/>
                      <w:color w:val="auto"/>
                      <w:sz w:val="21"/>
                      <w:szCs w:val="21"/>
                      <w:highlight w:val="none"/>
                      <w:lang w:val="en-US" w:eastAsia="zh-CN"/>
                    </w:rPr>
                    <w:t>原辅材料存放</w:t>
                  </w:r>
                </w:p>
              </w:tc>
              <w:tc>
                <w:tcPr>
                  <w:tcW w:w="725" w:type="pct"/>
                  <w:vMerge w:val="restart"/>
                  <w:tcBorders>
                    <w:tl2br w:val="nil"/>
                    <w:tr2bl w:val="nil"/>
                  </w:tcBorders>
                  <w:vAlign w:val="center"/>
                </w:tcPr>
                <w:p w14:paraId="67747FAD">
                  <w:pPr>
                    <w:widowControl/>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7A89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07" w:type="pct"/>
                  <w:vMerge w:val="continue"/>
                  <w:tcBorders>
                    <w:tl2br w:val="nil"/>
                    <w:tr2bl w:val="nil"/>
                  </w:tcBorders>
                  <w:vAlign w:val="center"/>
                </w:tcPr>
                <w:p w14:paraId="56092EE0">
                  <w:pPr>
                    <w:widowControl/>
                    <w:jc w:val="center"/>
                    <w:textAlignment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4393F066">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成品储存</w:t>
                  </w:r>
                </w:p>
              </w:tc>
              <w:tc>
                <w:tcPr>
                  <w:tcW w:w="3094" w:type="pct"/>
                  <w:tcBorders>
                    <w:tl2br w:val="nil"/>
                    <w:tr2bl w:val="nil"/>
                  </w:tcBorders>
                  <w:vAlign w:val="center"/>
                </w:tcPr>
                <w:p w14:paraId="4A3D512C">
                  <w:pPr>
                    <w:pStyle w:val="13"/>
                    <w:adjustRightInd w:val="0"/>
                    <w:snapToGrid w:val="0"/>
                    <w:spacing w:after="0"/>
                    <w:ind w:left="0" w:lef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面积3000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rPr>
                    <w:t>，用于成品</w:t>
                  </w:r>
                  <w:r>
                    <w:rPr>
                      <w:rFonts w:hint="default" w:ascii="Times New Roman" w:hAnsi="Times New Roman" w:eastAsia="宋体" w:cs="Times New Roman"/>
                      <w:color w:val="auto"/>
                      <w:sz w:val="21"/>
                      <w:szCs w:val="21"/>
                      <w:highlight w:val="none"/>
                      <w:lang w:val="en-US" w:eastAsia="zh-CN"/>
                    </w:rPr>
                    <w:t>存放，</w:t>
                  </w:r>
                </w:p>
              </w:tc>
              <w:tc>
                <w:tcPr>
                  <w:tcW w:w="725" w:type="pct"/>
                  <w:vMerge w:val="continue"/>
                  <w:tcBorders>
                    <w:tl2br w:val="nil"/>
                    <w:tr2bl w:val="nil"/>
                  </w:tcBorders>
                  <w:vAlign w:val="center"/>
                </w:tcPr>
                <w:p w14:paraId="51E9C6AF">
                  <w:pPr>
                    <w:widowControl/>
                    <w:jc w:val="center"/>
                    <w:rPr>
                      <w:rFonts w:hint="default" w:ascii="Times New Roman" w:hAnsi="Times New Roman" w:cs="Times New Roman"/>
                      <w:color w:val="auto"/>
                      <w:sz w:val="21"/>
                      <w:szCs w:val="21"/>
                      <w:highlight w:val="none"/>
                      <w:lang w:val="en-US" w:eastAsia="zh-CN"/>
                    </w:rPr>
                  </w:pPr>
                </w:p>
              </w:tc>
            </w:tr>
            <w:tr w14:paraId="2390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407" w:type="pct"/>
                  <w:vMerge w:val="restart"/>
                  <w:tcBorders>
                    <w:tl2br w:val="nil"/>
                    <w:tr2bl w:val="nil"/>
                  </w:tcBorders>
                  <w:vAlign w:val="center"/>
                </w:tcPr>
                <w:p w14:paraId="6199351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772" w:type="pct"/>
                  <w:tcBorders>
                    <w:tl2br w:val="nil"/>
                    <w:tr2bl w:val="nil"/>
                  </w:tcBorders>
                  <w:vAlign w:val="center"/>
                </w:tcPr>
                <w:p w14:paraId="0DA50DB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供水系统</w:t>
                  </w:r>
                </w:p>
              </w:tc>
              <w:tc>
                <w:tcPr>
                  <w:tcW w:w="3094" w:type="pct"/>
                  <w:tcBorders>
                    <w:tl2br w:val="nil"/>
                    <w:tr2bl w:val="nil"/>
                  </w:tcBorders>
                  <w:vAlign w:val="center"/>
                </w:tcPr>
                <w:p w14:paraId="4C902ACF">
                  <w:pPr>
                    <w:pStyle w:val="11"/>
                    <w:jc w:val="center"/>
                    <w:rPr>
                      <w:rFonts w:hint="default" w:ascii="Times New Roman" w:hAnsi="Times New Roman" w:cs="Times New Roman"/>
                      <w:bCs/>
                      <w:color w:val="auto"/>
                      <w:sz w:val="21"/>
                      <w:szCs w:val="21"/>
                      <w:highlight w:val="none"/>
                    </w:rPr>
                  </w:pPr>
                  <w:r>
                    <w:rPr>
                      <w:rFonts w:hint="eastAsia" w:ascii="Times New Roman" w:hAnsi="Times New Roman" w:cs="Times New Roman"/>
                      <w:color w:val="auto"/>
                      <w:sz w:val="21"/>
                      <w:szCs w:val="21"/>
                      <w:highlight w:val="none"/>
                      <w:lang w:val="en-US" w:eastAsia="zh-CN"/>
                    </w:rPr>
                    <w:t>三工镇空港合作区</w:t>
                  </w:r>
                  <w:r>
                    <w:rPr>
                      <w:rFonts w:hint="default" w:ascii="Times New Roman" w:hAnsi="Times New Roman" w:cs="Times New Roman"/>
                      <w:color w:val="auto"/>
                      <w:sz w:val="21"/>
                      <w:szCs w:val="21"/>
                      <w:highlight w:val="none"/>
                      <w:lang w:val="en-US" w:eastAsia="zh-CN"/>
                    </w:rPr>
                    <w:t>供水管网</w:t>
                  </w:r>
                </w:p>
              </w:tc>
              <w:tc>
                <w:tcPr>
                  <w:tcW w:w="725" w:type="pct"/>
                  <w:vMerge w:val="restart"/>
                  <w:tcBorders>
                    <w:tl2br w:val="nil"/>
                    <w:tr2bl w:val="nil"/>
                  </w:tcBorders>
                  <w:vAlign w:val="center"/>
                </w:tcPr>
                <w:p w14:paraId="76201D74">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已</w:t>
                  </w:r>
                  <w:r>
                    <w:rPr>
                      <w:rFonts w:hint="default" w:ascii="Times New Roman" w:hAnsi="Times New Roman" w:eastAsia="宋体" w:cs="Times New Roman"/>
                      <w:color w:val="auto"/>
                      <w:sz w:val="21"/>
                      <w:szCs w:val="21"/>
                      <w:highlight w:val="none"/>
                      <w:lang w:val="en-US" w:eastAsia="zh-CN"/>
                    </w:rPr>
                    <w:t>建</w:t>
                  </w:r>
                </w:p>
              </w:tc>
            </w:tr>
            <w:tr w14:paraId="1E40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07" w:type="pct"/>
                  <w:vMerge w:val="continue"/>
                  <w:tcBorders>
                    <w:tl2br w:val="nil"/>
                    <w:tr2bl w:val="nil"/>
                  </w:tcBorders>
                  <w:vAlign w:val="center"/>
                </w:tcPr>
                <w:p w14:paraId="437BFD12">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76B0E01A">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供电系统</w:t>
                  </w:r>
                </w:p>
              </w:tc>
              <w:tc>
                <w:tcPr>
                  <w:tcW w:w="3094" w:type="pct"/>
                  <w:tcBorders>
                    <w:tl2br w:val="nil"/>
                    <w:tr2bl w:val="nil"/>
                  </w:tcBorders>
                  <w:vAlign w:val="center"/>
                </w:tcPr>
                <w:p w14:paraId="6DF15C5D">
                  <w:pPr>
                    <w:pStyle w:val="13"/>
                    <w:adjustRightInd w:val="0"/>
                    <w:snapToGrid w:val="0"/>
                    <w:spacing w:after="0"/>
                    <w:ind w:left="0" w:lef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由市政供电系统供给</w:t>
                  </w:r>
                </w:p>
              </w:tc>
              <w:tc>
                <w:tcPr>
                  <w:tcW w:w="725" w:type="pct"/>
                  <w:vMerge w:val="continue"/>
                  <w:tcBorders>
                    <w:tl2br w:val="nil"/>
                    <w:tr2bl w:val="nil"/>
                  </w:tcBorders>
                  <w:vAlign w:val="center"/>
                </w:tcPr>
                <w:p w14:paraId="44DBFF19">
                  <w:pPr>
                    <w:jc w:val="center"/>
                    <w:rPr>
                      <w:rFonts w:hint="default" w:ascii="Times New Roman" w:hAnsi="Times New Roman" w:cs="Times New Roman"/>
                      <w:color w:val="auto"/>
                      <w:sz w:val="21"/>
                      <w:szCs w:val="21"/>
                      <w:highlight w:val="none"/>
                    </w:rPr>
                  </w:pPr>
                </w:p>
              </w:tc>
            </w:tr>
            <w:tr w14:paraId="7AA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07" w:type="pct"/>
                  <w:vMerge w:val="continue"/>
                  <w:tcBorders>
                    <w:tl2br w:val="nil"/>
                    <w:tr2bl w:val="nil"/>
                  </w:tcBorders>
                  <w:vAlign w:val="center"/>
                </w:tcPr>
                <w:p w14:paraId="426A305F">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35CA7F9B">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供暖系统</w:t>
                  </w:r>
                </w:p>
              </w:tc>
              <w:tc>
                <w:tcPr>
                  <w:tcW w:w="3094" w:type="pct"/>
                  <w:tcBorders>
                    <w:tl2br w:val="nil"/>
                    <w:tr2bl w:val="nil"/>
                  </w:tcBorders>
                  <w:vAlign w:val="center"/>
                </w:tcPr>
                <w:p w14:paraId="62E31BA2">
                  <w:pPr>
                    <w:pStyle w:val="13"/>
                    <w:adjustRightInd w:val="0"/>
                    <w:snapToGrid w:val="0"/>
                    <w:spacing w:after="0"/>
                    <w:ind w:left="0" w:leftChars="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办公区域由</w:t>
                  </w:r>
                  <w:r>
                    <w:rPr>
                      <w:rFonts w:hint="eastAsia" w:ascii="Times New Roman" w:hAnsi="Times New Roman" w:cs="Times New Roman"/>
                      <w:color w:val="auto"/>
                      <w:sz w:val="21"/>
                      <w:szCs w:val="21"/>
                      <w:highlight w:val="none"/>
                      <w:lang w:val="en-US" w:eastAsia="zh-CN"/>
                    </w:rPr>
                    <w:t>三工镇空港合作区</w:t>
                  </w:r>
                  <w:r>
                    <w:rPr>
                      <w:rFonts w:hint="default" w:ascii="Times New Roman" w:hAnsi="Times New Roman" w:cs="Times New Roman"/>
                      <w:color w:val="auto"/>
                      <w:sz w:val="21"/>
                      <w:szCs w:val="21"/>
                      <w:highlight w:val="none"/>
                      <w:lang w:val="en-US" w:eastAsia="zh-CN"/>
                    </w:rPr>
                    <w:t>集中供暖管网供暖</w:t>
                  </w:r>
                </w:p>
              </w:tc>
              <w:tc>
                <w:tcPr>
                  <w:tcW w:w="725" w:type="pct"/>
                  <w:vMerge w:val="continue"/>
                  <w:tcBorders>
                    <w:tl2br w:val="nil"/>
                    <w:tr2bl w:val="nil"/>
                  </w:tcBorders>
                  <w:vAlign w:val="center"/>
                </w:tcPr>
                <w:p w14:paraId="0A40DE3A">
                  <w:pPr>
                    <w:jc w:val="center"/>
                    <w:rPr>
                      <w:rFonts w:hint="default" w:ascii="Times New Roman" w:hAnsi="Times New Roman" w:cs="Times New Roman"/>
                      <w:color w:val="auto"/>
                      <w:sz w:val="21"/>
                      <w:szCs w:val="21"/>
                      <w:highlight w:val="none"/>
                    </w:rPr>
                  </w:pPr>
                </w:p>
              </w:tc>
            </w:tr>
            <w:tr w14:paraId="74C1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07" w:type="pct"/>
                  <w:vMerge w:val="continue"/>
                  <w:tcBorders>
                    <w:tl2br w:val="nil"/>
                    <w:tr2bl w:val="nil"/>
                  </w:tcBorders>
                  <w:vAlign w:val="center"/>
                </w:tcPr>
                <w:p w14:paraId="1586F198">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79665C57">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排水系统</w:t>
                  </w:r>
                </w:p>
              </w:tc>
              <w:tc>
                <w:tcPr>
                  <w:tcW w:w="3094" w:type="pct"/>
                  <w:tcBorders>
                    <w:tl2br w:val="nil"/>
                    <w:tr2bl w:val="nil"/>
                  </w:tcBorders>
                  <w:vAlign w:val="center"/>
                </w:tcPr>
                <w:p w14:paraId="3AF53479">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三工镇空港合作区</w:t>
                  </w:r>
                  <w:r>
                    <w:rPr>
                      <w:rFonts w:hint="default" w:ascii="Times New Roman" w:hAnsi="Times New Roman" w:cs="Times New Roman"/>
                      <w:color w:val="auto"/>
                      <w:sz w:val="21"/>
                      <w:szCs w:val="21"/>
                      <w:highlight w:val="none"/>
                      <w:lang w:val="en-US" w:eastAsia="zh-CN"/>
                    </w:rPr>
                    <w:t>排水管网</w:t>
                  </w:r>
                </w:p>
              </w:tc>
              <w:tc>
                <w:tcPr>
                  <w:tcW w:w="725" w:type="pct"/>
                  <w:vMerge w:val="continue"/>
                  <w:tcBorders>
                    <w:tl2br w:val="nil"/>
                    <w:tr2bl w:val="nil"/>
                  </w:tcBorders>
                  <w:vAlign w:val="center"/>
                </w:tcPr>
                <w:p w14:paraId="6A881E67">
                  <w:pPr>
                    <w:jc w:val="center"/>
                    <w:rPr>
                      <w:rFonts w:hint="default" w:ascii="Times New Roman" w:hAnsi="Times New Roman" w:cs="Times New Roman"/>
                      <w:color w:val="auto"/>
                      <w:sz w:val="21"/>
                      <w:szCs w:val="21"/>
                      <w:highlight w:val="none"/>
                    </w:rPr>
                  </w:pPr>
                </w:p>
              </w:tc>
            </w:tr>
            <w:tr w14:paraId="426C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07" w:type="pct"/>
                  <w:vMerge w:val="restart"/>
                  <w:tcBorders>
                    <w:tl2br w:val="nil"/>
                    <w:tr2bl w:val="nil"/>
                  </w:tcBorders>
                  <w:vAlign w:val="center"/>
                </w:tcPr>
                <w:p w14:paraId="0ADEC44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772" w:type="pct"/>
                  <w:vMerge w:val="restart"/>
                  <w:tcBorders>
                    <w:tl2br w:val="nil"/>
                    <w:tr2bl w:val="nil"/>
                  </w:tcBorders>
                  <w:vAlign w:val="center"/>
                </w:tcPr>
                <w:p w14:paraId="4431617D">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废气处理措施</w:t>
                  </w:r>
                </w:p>
              </w:tc>
              <w:tc>
                <w:tcPr>
                  <w:tcW w:w="3094" w:type="pct"/>
                  <w:tcBorders>
                    <w:tl2br w:val="nil"/>
                    <w:tr2bl w:val="nil"/>
                  </w:tcBorders>
                  <w:vAlign w:val="center"/>
                </w:tcPr>
                <w:p w14:paraId="50CDDADC">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刷漆、涂粉工序</w:t>
                  </w:r>
                  <w:r>
                    <w:rPr>
                      <w:rFonts w:hint="default" w:ascii="Times New Roman" w:hAnsi="Times New Roman" w:cs="Times New Roman"/>
                      <w:color w:val="auto"/>
                      <w:sz w:val="21"/>
                      <w:szCs w:val="21"/>
                      <w:highlight w:val="none"/>
                    </w:rPr>
                    <w:t>废气</w:t>
                  </w:r>
                  <w:r>
                    <w:rPr>
                      <w:rFonts w:hint="default" w:ascii="Times New Roman" w:hAnsi="Times New Roman" w:eastAsia="宋体" w:cs="Times New Roman"/>
                      <w:color w:val="auto"/>
                      <w:sz w:val="21"/>
                      <w:szCs w:val="21"/>
                      <w:highlight w:val="none"/>
                      <w:lang w:val="en-US" w:eastAsia="zh-CN"/>
                    </w:rPr>
                    <w:t>负压</w:t>
                  </w:r>
                  <w:r>
                    <w:rPr>
                      <w:rFonts w:hint="default" w:ascii="Times New Roman" w:hAnsi="Times New Roman" w:cs="Times New Roman"/>
                      <w:color w:val="auto"/>
                      <w:sz w:val="21"/>
                      <w:szCs w:val="21"/>
                      <w:highlight w:val="none"/>
                    </w:rPr>
                    <w:t>收集采用</w:t>
                  </w:r>
                  <w:r>
                    <w:rPr>
                      <w:rFonts w:hint="eastAsia" w:ascii="Times New Roman" w:hAnsi="Times New Roman" w:eastAsia="宋体" w:cs="Times New Roman"/>
                      <w:color w:val="auto"/>
                      <w:sz w:val="21"/>
                      <w:szCs w:val="21"/>
                      <w:highlight w:val="none"/>
                      <w:lang w:eastAsia="zh-CN"/>
                    </w:rPr>
                    <w:t>活性炭吸附/脱附+催化燃烧装置</w:t>
                  </w:r>
                  <w:r>
                    <w:rPr>
                      <w:rFonts w:hint="default" w:ascii="Times New Roman" w:hAnsi="Times New Roman" w:cs="Times New Roman"/>
                      <w:color w:val="auto"/>
                      <w:sz w:val="21"/>
                      <w:szCs w:val="21"/>
                      <w:highlight w:val="none"/>
                    </w:rPr>
                    <w:t>处理后经15m排气筒排放</w:t>
                  </w:r>
                </w:p>
              </w:tc>
              <w:tc>
                <w:tcPr>
                  <w:tcW w:w="725" w:type="pct"/>
                  <w:tcBorders>
                    <w:tl2br w:val="nil"/>
                    <w:tr2bl w:val="nil"/>
                  </w:tcBorders>
                  <w:vAlign w:val="center"/>
                </w:tcPr>
                <w:p w14:paraId="51FAB739">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新建</w:t>
                  </w:r>
                </w:p>
              </w:tc>
            </w:tr>
            <w:tr w14:paraId="06F8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07" w:type="pct"/>
                  <w:vMerge w:val="continue"/>
                  <w:tcBorders>
                    <w:tl2br w:val="nil"/>
                    <w:tr2bl w:val="nil"/>
                  </w:tcBorders>
                  <w:vAlign w:val="center"/>
                </w:tcPr>
                <w:p w14:paraId="3ECE1DD9">
                  <w:pPr>
                    <w:jc w:val="center"/>
                    <w:rPr>
                      <w:rFonts w:hint="default" w:ascii="Times New Roman" w:hAnsi="Times New Roman" w:cs="Times New Roman"/>
                      <w:color w:val="auto"/>
                      <w:sz w:val="21"/>
                      <w:szCs w:val="21"/>
                      <w:highlight w:val="none"/>
                    </w:rPr>
                  </w:pPr>
                </w:p>
              </w:tc>
              <w:tc>
                <w:tcPr>
                  <w:tcW w:w="772" w:type="pct"/>
                  <w:vMerge w:val="continue"/>
                  <w:tcBorders>
                    <w:tl2br w:val="nil"/>
                    <w:tr2bl w:val="nil"/>
                  </w:tcBorders>
                  <w:vAlign w:val="center"/>
                </w:tcPr>
                <w:p w14:paraId="25EC0A1D">
                  <w:pPr>
                    <w:pStyle w:val="13"/>
                    <w:adjustRightInd w:val="0"/>
                    <w:snapToGrid w:val="0"/>
                    <w:spacing w:after="0"/>
                    <w:ind w:left="0" w:leftChars="0"/>
                    <w:jc w:val="center"/>
                    <w:rPr>
                      <w:rFonts w:hint="default" w:ascii="Times New Roman" w:hAnsi="Times New Roman" w:cs="Times New Roman"/>
                      <w:color w:val="auto"/>
                      <w:sz w:val="21"/>
                      <w:szCs w:val="21"/>
                      <w:highlight w:val="none"/>
                    </w:rPr>
                  </w:pPr>
                </w:p>
              </w:tc>
              <w:tc>
                <w:tcPr>
                  <w:tcW w:w="3094" w:type="pct"/>
                  <w:tcBorders>
                    <w:tl2br w:val="nil"/>
                    <w:tr2bl w:val="nil"/>
                  </w:tcBorders>
                  <w:vAlign w:val="center"/>
                </w:tcPr>
                <w:p w14:paraId="50C397D5">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热</w:t>
                  </w:r>
                  <w:r>
                    <w:rPr>
                      <w:rFonts w:hint="default" w:ascii="Times New Roman" w:hAnsi="Times New Roman" w:eastAsia="宋体" w:cs="Times New Roman"/>
                      <w:color w:val="auto"/>
                      <w:sz w:val="21"/>
                      <w:szCs w:val="21"/>
                      <w:highlight w:val="none"/>
                      <w:lang w:val="en-US" w:eastAsia="zh-CN"/>
                    </w:rPr>
                    <w:t>炉配置低氮燃烧器，烟气经</w:t>
                  </w:r>
                  <w:r>
                    <w:rPr>
                      <w:rFonts w:hint="eastAsia"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m高的烟囱排放</w:t>
                  </w:r>
                </w:p>
              </w:tc>
              <w:tc>
                <w:tcPr>
                  <w:tcW w:w="725" w:type="pct"/>
                  <w:tcBorders>
                    <w:tl2br w:val="nil"/>
                    <w:tr2bl w:val="nil"/>
                  </w:tcBorders>
                  <w:vAlign w:val="center"/>
                </w:tcPr>
                <w:p w14:paraId="00156103">
                  <w:pPr>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新</w:t>
                  </w:r>
                  <w:r>
                    <w:rPr>
                      <w:rFonts w:hint="default" w:ascii="Times New Roman" w:hAnsi="Times New Roman" w:cs="Times New Roman"/>
                      <w:bCs/>
                      <w:color w:val="auto"/>
                      <w:sz w:val="21"/>
                      <w:szCs w:val="21"/>
                      <w:highlight w:val="none"/>
                    </w:rPr>
                    <w:t>建</w:t>
                  </w:r>
                </w:p>
              </w:tc>
            </w:tr>
            <w:tr w14:paraId="1A4A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07" w:type="pct"/>
                  <w:vMerge w:val="continue"/>
                  <w:tcBorders>
                    <w:tl2br w:val="nil"/>
                    <w:tr2bl w:val="nil"/>
                  </w:tcBorders>
                  <w:vAlign w:val="center"/>
                </w:tcPr>
                <w:p w14:paraId="238AB355">
                  <w:pPr>
                    <w:jc w:val="center"/>
                    <w:rPr>
                      <w:rFonts w:hint="default" w:ascii="Times New Roman" w:hAnsi="Times New Roman" w:cs="Times New Roman"/>
                      <w:color w:val="auto"/>
                      <w:sz w:val="21"/>
                      <w:szCs w:val="21"/>
                      <w:highlight w:val="none"/>
                    </w:rPr>
                  </w:pPr>
                </w:p>
              </w:tc>
              <w:tc>
                <w:tcPr>
                  <w:tcW w:w="772" w:type="pct"/>
                  <w:vMerge w:val="continue"/>
                  <w:tcBorders>
                    <w:tl2br w:val="nil"/>
                    <w:tr2bl w:val="nil"/>
                  </w:tcBorders>
                  <w:vAlign w:val="center"/>
                </w:tcPr>
                <w:p w14:paraId="77BD4E9D">
                  <w:pPr>
                    <w:pStyle w:val="13"/>
                    <w:adjustRightInd w:val="0"/>
                    <w:snapToGrid w:val="0"/>
                    <w:spacing w:after="0"/>
                    <w:ind w:left="0" w:leftChars="0"/>
                    <w:jc w:val="center"/>
                    <w:rPr>
                      <w:rFonts w:hint="default" w:ascii="Times New Roman" w:hAnsi="Times New Roman" w:cs="Times New Roman"/>
                      <w:color w:val="auto"/>
                      <w:sz w:val="21"/>
                      <w:szCs w:val="21"/>
                      <w:highlight w:val="none"/>
                    </w:rPr>
                  </w:pPr>
                </w:p>
              </w:tc>
              <w:tc>
                <w:tcPr>
                  <w:tcW w:w="3094" w:type="pct"/>
                  <w:tcBorders>
                    <w:tl2br w:val="nil"/>
                    <w:tr2bl w:val="nil"/>
                  </w:tcBorders>
                  <w:vAlign w:val="center"/>
                </w:tcPr>
                <w:p w14:paraId="033A4ACF">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喷砂表面处理工序颗粒物经布袋除尘器处理后排放，焊接工序废气采用焊烟净化器处理后排放</w:t>
                  </w:r>
                </w:p>
              </w:tc>
              <w:tc>
                <w:tcPr>
                  <w:tcW w:w="725" w:type="pct"/>
                  <w:tcBorders>
                    <w:tl2br w:val="nil"/>
                    <w:tr2bl w:val="nil"/>
                  </w:tcBorders>
                  <w:vAlign w:val="center"/>
                </w:tcPr>
                <w:p w14:paraId="4B640689">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新建</w:t>
                  </w:r>
                </w:p>
              </w:tc>
            </w:tr>
            <w:tr w14:paraId="713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407" w:type="pct"/>
                  <w:vMerge w:val="continue"/>
                  <w:tcBorders>
                    <w:tl2br w:val="nil"/>
                    <w:tr2bl w:val="nil"/>
                  </w:tcBorders>
                  <w:vAlign w:val="center"/>
                </w:tcPr>
                <w:p w14:paraId="61102E7C">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012E147F">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废水处理措施</w:t>
                  </w:r>
                </w:p>
              </w:tc>
              <w:tc>
                <w:tcPr>
                  <w:tcW w:w="3094" w:type="pct"/>
                  <w:tcBorders>
                    <w:tl2br w:val="nil"/>
                    <w:tr2bl w:val="nil"/>
                  </w:tcBorders>
                  <w:vAlign w:val="center"/>
                </w:tcPr>
                <w:p w14:paraId="7D8E5AAD">
                  <w:pPr>
                    <w:pStyle w:val="13"/>
                    <w:adjustRightInd w:val="0"/>
                    <w:snapToGrid w:val="0"/>
                    <w:spacing w:after="0"/>
                    <w:ind w:left="0" w:left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cs="Times New Roman"/>
                      <w:color w:val="auto"/>
                      <w:sz w:val="21"/>
                      <w:szCs w:val="21"/>
                      <w:highlight w:val="none"/>
                      <w:lang w:val="en-US" w:eastAsia="zh-CN"/>
                    </w:rPr>
                    <w:t>厂区防渗池，定期由吸污车拉运</w:t>
                  </w: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待园区下水管网建成后接入园区下水管网，进入污水处理厂处理</w:t>
                  </w:r>
                  <w:r>
                    <w:rPr>
                      <w:rFonts w:hint="default" w:ascii="Times New Roman" w:hAnsi="Times New Roman" w:cs="Times New Roman"/>
                      <w:color w:val="auto"/>
                      <w:sz w:val="21"/>
                      <w:szCs w:val="21"/>
                      <w:highlight w:val="none"/>
                      <w:lang w:val="en-US" w:eastAsia="zh-CN"/>
                    </w:rPr>
                    <w:t>。</w:t>
                  </w:r>
                </w:p>
              </w:tc>
              <w:tc>
                <w:tcPr>
                  <w:tcW w:w="725" w:type="pct"/>
                  <w:tcBorders>
                    <w:tl2br w:val="nil"/>
                    <w:tr2bl w:val="nil"/>
                  </w:tcBorders>
                  <w:vAlign w:val="center"/>
                </w:tcPr>
                <w:p w14:paraId="1ADCAB2E">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已</w:t>
                  </w:r>
                  <w:r>
                    <w:rPr>
                      <w:rFonts w:hint="default" w:ascii="Times New Roman" w:hAnsi="Times New Roman" w:cs="Times New Roman"/>
                      <w:bCs/>
                      <w:color w:val="auto"/>
                      <w:sz w:val="21"/>
                      <w:szCs w:val="21"/>
                      <w:highlight w:val="none"/>
                    </w:rPr>
                    <w:t>建</w:t>
                  </w:r>
                </w:p>
              </w:tc>
            </w:tr>
            <w:tr w14:paraId="45F0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07" w:type="pct"/>
                  <w:vMerge w:val="continue"/>
                  <w:tcBorders>
                    <w:tl2br w:val="nil"/>
                    <w:tr2bl w:val="nil"/>
                  </w:tcBorders>
                  <w:vAlign w:val="center"/>
                </w:tcPr>
                <w:p w14:paraId="6E7E22AB">
                  <w:pPr>
                    <w:jc w:val="center"/>
                    <w:rPr>
                      <w:rFonts w:hint="default" w:ascii="Times New Roman" w:hAnsi="Times New Roman" w:cs="Times New Roman"/>
                      <w:color w:val="auto"/>
                      <w:sz w:val="21"/>
                      <w:szCs w:val="21"/>
                      <w:highlight w:val="none"/>
                    </w:rPr>
                  </w:pPr>
                </w:p>
              </w:tc>
              <w:tc>
                <w:tcPr>
                  <w:tcW w:w="772" w:type="pct"/>
                  <w:tcBorders>
                    <w:tl2br w:val="nil"/>
                    <w:tr2bl w:val="nil"/>
                  </w:tcBorders>
                  <w:vAlign w:val="center"/>
                </w:tcPr>
                <w:p w14:paraId="21A05F00">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噪声防治措施</w:t>
                  </w:r>
                </w:p>
              </w:tc>
              <w:tc>
                <w:tcPr>
                  <w:tcW w:w="3094" w:type="pct"/>
                  <w:tcBorders>
                    <w:tl2br w:val="nil"/>
                    <w:tr2bl w:val="nil"/>
                  </w:tcBorders>
                  <w:vAlign w:val="center"/>
                </w:tcPr>
                <w:p w14:paraId="63A7FBA8">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车间密闭隔声，设备隔振、减振等措施</w:t>
                  </w:r>
                </w:p>
              </w:tc>
              <w:tc>
                <w:tcPr>
                  <w:tcW w:w="725" w:type="pct"/>
                  <w:tcBorders>
                    <w:tl2br w:val="nil"/>
                    <w:tr2bl w:val="nil"/>
                  </w:tcBorders>
                  <w:vAlign w:val="center"/>
                </w:tcPr>
                <w:p w14:paraId="214A53F1">
                  <w:pPr>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bCs/>
                      <w:color w:val="auto"/>
                      <w:sz w:val="21"/>
                      <w:szCs w:val="21"/>
                      <w:highlight w:val="none"/>
                      <w:lang w:val="en-US" w:eastAsia="zh-CN"/>
                    </w:rPr>
                    <w:t>已</w:t>
                  </w:r>
                  <w:r>
                    <w:rPr>
                      <w:rFonts w:hint="default" w:ascii="Times New Roman" w:hAnsi="Times New Roman" w:cs="Times New Roman"/>
                      <w:bCs/>
                      <w:color w:val="auto"/>
                      <w:sz w:val="21"/>
                      <w:szCs w:val="21"/>
                      <w:highlight w:val="none"/>
                    </w:rPr>
                    <w:t>建</w:t>
                  </w:r>
                </w:p>
              </w:tc>
            </w:tr>
            <w:tr w14:paraId="532A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07" w:type="pct"/>
                  <w:vMerge w:val="continue"/>
                  <w:tcBorders>
                    <w:tl2br w:val="nil"/>
                    <w:tr2bl w:val="nil"/>
                  </w:tcBorders>
                  <w:vAlign w:val="center"/>
                </w:tcPr>
                <w:p w14:paraId="455B0342">
                  <w:pPr>
                    <w:jc w:val="center"/>
                    <w:rPr>
                      <w:rFonts w:hint="default" w:ascii="Times New Roman" w:hAnsi="Times New Roman" w:cs="Times New Roman"/>
                      <w:color w:val="auto"/>
                      <w:sz w:val="21"/>
                      <w:szCs w:val="21"/>
                      <w:highlight w:val="none"/>
                    </w:rPr>
                  </w:pPr>
                </w:p>
              </w:tc>
              <w:tc>
                <w:tcPr>
                  <w:tcW w:w="772" w:type="pct"/>
                  <w:vMerge w:val="restart"/>
                  <w:tcBorders>
                    <w:tl2br w:val="nil"/>
                    <w:tr2bl w:val="nil"/>
                  </w:tcBorders>
                  <w:vAlign w:val="center"/>
                </w:tcPr>
                <w:p w14:paraId="26F5AEA3">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固废处置措施</w:t>
                  </w:r>
                </w:p>
              </w:tc>
              <w:tc>
                <w:tcPr>
                  <w:tcW w:w="3094" w:type="pct"/>
                  <w:tcBorders>
                    <w:tl2br w:val="nil"/>
                    <w:tr2bl w:val="nil"/>
                  </w:tcBorders>
                  <w:vAlign w:val="center"/>
                </w:tcPr>
                <w:p w14:paraId="1E5E44ED">
                  <w:pPr>
                    <w:pStyle w:val="13"/>
                    <w:adjustRightInd w:val="0"/>
                    <w:snapToGrid w:val="0"/>
                    <w:spacing w:after="0"/>
                    <w:ind w:left="0" w:lef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生活垃圾集中收集后由环卫部门清运</w:t>
                  </w:r>
                </w:p>
              </w:tc>
              <w:tc>
                <w:tcPr>
                  <w:tcW w:w="725" w:type="pct"/>
                  <w:vMerge w:val="restart"/>
                  <w:tcBorders>
                    <w:tl2br w:val="nil"/>
                    <w:tr2bl w:val="nil"/>
                  </w:tcBorders>
                  <w:vAlign w:val="center"/>
                </w:tcPr>
                <w:p w14:paraId="5457CC71">
                  <w:pPr>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bCs/>
                      <w:color w:val="auto"/>
                      <w:sz w:val="21"/>
                      <w:szCs w:val="21"/>
                      <w:highlight w:val="none"/>
                      <w:lang w:val="en-US" w:eastAsia="zh-CN"/>
                    </w:rPr>
                    <w:t>已</w:t>
                  </w:r>
                  <w:r>
                    <w:rPr>
                      <w:rFonts w:hint="default" w:ascii="Times New Roman" w:hAnsi="Times New Roman" w:cs="Times New Roman"/>
                      <w:bCs/>
                      <w:color w:val="auto"/>
                      <w:sz w:val="21"/>
                      <w:szCs w:val="21"/>
                      <w:highlight w:val="none"/>
                    </w:rPr>
                    <w:t>建</w:t>
                  </w:r>
                </w:p>
              </w:tc>
            </w:tr>
            <w:tr w14:paraId="5DA1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07" w:type="pct"/>
                  <w:vMerge w:val="continue"/>
                  <w:tcBorders>
                    <w:tl2br w:val="nil"/>
                    <w:tr2bl w:val="nil"/>
                  </w:tcBorders>
                  <w:vAlign w:val="center"/>
                </w:tcPr>
                <w:p w14:paraId="52BBDA6C">
                  <w:pPr>
                    <w:jc w:val="center"/>
                    <w:rPr>
                      <w:rFonts w:hint="default" w:ascii="Times New Roman" w:hAnsi="Times New Roman" w:cs="Times New Roman"/>
                      <w:color w:val="auto"/>
                      <w:sz w:val="21"/>
                      <w:szCs w:val="21"/>
                      <w:highlight w:val="none"/>
                    </w:rPr>
                  </w:pPr>
                </w:p>
              </w:tc>
              <w:tc>
                <w:tcPr>
                  <w:tcW w:w="772" w:type="pct"/>
                  <w:vMerge w:val="continue"/>
                  <w:tcBorders>
                    <w:tl2br w:val="nil"/>
                    <w:tr2bl w:val="nil"/>
                  </w:tcBorders>
                  <w:vAlign w:val="center"/>
                </w:tcPr>
                <w:p w14:paraId="06886FE3">
                  <w:pPr>
                    <w:jc w:val="center"/>
                    <w:rPr>
                      <w:rFonts w:hint="default" w:ascii="Times New Roman" w:hAnsi="Times New Roman" w:cs="Times New Roman"/>
                      <w:color w:val="auto"/>
                      <w:sz w:val="21"/>
                      <w:szCs w:val="21"/>
                      <w:highlight w:val="none"/>
                    </w:rPr>
                  </w:pPr>
                </w:p>
              </w:tc>
              <w:tc>
                <w:tcPr>
                  <w:tcW w:w="3094" w:type="pct"/>
                  <w:tcBorders>
                    <w:tl2br w:val="nil"/>
                    <w:tr2bl w:val="nil"/>
                  </w:tcBorders>
                  <w:vAlign w:val="center"/>
                </w:tcPr>
                <w:p w14:paraId="44511C13">
                  <w:pPr>
                    <w:pStyle w:val="13"/>
                    <w:adjustRightInd w:val="0"/>
                    <w:snapToGrid w:val="0"/>
                    <w:spacing w:after="0"/>
                    <w:ind w:left="0" w:leftChars="0"/>
                    <w:jc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废弃边角料在一般工业固废暂存区暂存后外售</w:t>
                  </w:r>
                  <w:r>
                    <w:rPr>
                      <w:rFonts w:hint="default" w:ascii="Times New Roman" w:hAnsi="Times New Roman" w:cs="Times New Roman"/>
                      <w:color w:val="auto"/>
                      <w:sz w:val="21"/>
                      <w:szCs w:val="21"/>
                      <w:highlight w:val="none"/>
                      <w:u w:val="none"/>
                      <w:vertAlign w:val="baseline"/>
                      <w:lang w:val="en-US" w:eastAsia="zh-CN"/>
                    </w:rPr>
                    <w:t>。</w:t>
                  </w:r>
                </w:p>
              </w:tc>
              <w:tc>
                <w:tcPr>
                  <w:tcW w:w="725" w:type="pct"/>
                  <w:vMerge w:val="continue"/>
                  <w:tcBorders>
                    <w:tl2br w:val="nil"/>
                    <w:tr2bl w:val="nil"/>
                  </w:tcBorders>
                  <w:vAlign w:val="center"/>
                </w:tcPr>
                <w:p w14:paraId="22180A9B">
                  <w:pPr>
                    <w:jc w:val="center"/>
                    <w:rPr>
                      <w:rFonts w:hint="default" w:ascii="Times New Roman" w:hAnsi="Times New Roman" w:cs="Times New Roman"/>
                      <w:color w:val="auto"/>
                      <w:sz w:val="21"/>
                      <w:szCs w:val="21"/>
                      <w:highlight w:val="none"/>
                    </w:rPr>
                  </w:pPr>
                </w:p>
              </w:tc>
            </w:tr>
            <w:tr w14:paraId="5E7F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407" w:type="pct"/>
                  <w:vMerge w:val="continue"/>
                  <w:tcBorders>
                    <w:tl2br w:val="nil"/>
                    <w:tr2bl w:val="nil"/>
                  </w:tcBorders>
                  <w:vAlign w:val="center"/>
                </w:tcPr>
                <w:p w14:paraId="61E01655">
                  <w:pPr>
                    <w:jc w:val="center"/>
                    <w:rPr>
                      <w:rFonts w:hint="default" w:ascii="Times New Roman" w:hAnsi="Times New Roman" w:cs="Times New Roman"/>
                      <w:color w:val="auto"/>
                      <w:sz w:val="21"/>
                      <w:szCs w:val="21"/>
                      <w:highlight w:val="none"/>
                    </w:rPr>
                  </w:pPr>
                </w:p>
              </w:tc>
              <w:tc>
                <w:tcPr>
                  <w:tcW w:w="772" w:type="pct"/>
                  <w:vMerge w:val="continue"/>
                  <w:tcBorders>
                    <w:tl2br w:val="nil"/>
                    <w:tr2bl w:val="nil"/>
                  </w:tcBorders>
                  <w:vAlign w:val="center"/>
                </w:tcPr>
                <w:p w14:paraId="495803CD">
                  <w:pPr>
                    <w:jc w:val="center"/>
                    <w:rPr>
                      <w:rFonts w:hint="default" w:ascii="Times New Roman" w:hAnsi="Times New Roman" w:cs="Times New Roman"/>
                      <w:color w:val="auto"/>
                      <w:sz w:val="21"/>
                      <w:szCs w:val="21"/>
                      <w:highlight w:val="none"/>
                    </w:rPr>
                  </w:pPr>
                </w:p>
              </w:tc>
              <w:tc>
                <w:tcPr>
                  <w:tcW w:w="3094" w:type="pct"/>
                  <w:tcBorders>
                    <w:tl2br w:val="nil"/>
                    <w:tr2bl w:val="nil"/>
                  </w:tcBorders>
                  <w:vAlign w:val="center"/>
                </w:tcPr>
                <w:p w14:paraId="6638A481">
                  <w:pPr>
                    <w:pStyle w:val="13"/>
                    <w:adjustRightInd w:val="0"/>
                    <w:snapToGrid w:val="0"/>
                    <w:spacing w:after="0"/>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厂房外东侧设置危废暂存间，占地面积约</w:t>
                  </w:r>
                  <w:r>
                    <w:rPr>
                      <w:rFonts w:hint="eastAsia" w:ascii="Times New Roman" w:hAnsi="Times New Roman" w:eastAsia="宋体"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，用于</w:t>
                  </w:r>
                  <w:r>
                    <w:rPr>
                      <w:rFonts w:hint="default" w:ascii="Times New Roman" w:hAnsi="Times New Roman" w:cs="Times New Roman" w:eastAsiaTheme="minorEastAsia"/>
                      <w:color w:val="auto"/>
                      <w:sz w:val="21"/>
                      <w:szCs w:val="21"/>
                      <w:highlight w:val="none"/>
                    </w:rPr>
                    <w:t>废</w:t>
                  </w:r>
                  <w:r>
                    <w:rPr>
                      <w:rFonts w:hint="default" w:ascii="Times New Roman" w:hAnsi="Times New Roman" w:cs="Times New Roman" w:eastAsiaTheme="minorEastAsia"/>
                      <w:color w:val="auto"/>
                      <w:sz w:val="21"/>
                      <w:szCs w:val="21"/>
                      <w:highlight w:val="none"/>
                      <w:lang w:val="en-US" w:eastAsia="zh-CN"/>
                    </w:rPr>
                    <w:t>油漆桶</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en-US" w:eastAsia="zh-CN"/>
                    </w:rPr>
                    <w:t>废漆渣、</w:t>
                  </w:r>
                  <w:r>
                    <w:rPr>
                      <w:rFonts w:hint="default" w:ascii="Times New Roman" w:hAnsi="Times New Roman" w:cs="Times New Roman" w:eastAsiaTheme="minorEastAsia"/>
                      <w:color w:val="auto"/>
                      <w:sz w:val="21"/>
                      <w:szCs w:val="21"/>
                      <w:highlight w:val="none"/>
                    </w:rPr>
                    <w:t>废活性炭</w:t>
                  </w:r>
                  <w:r>
                    <w:rPr>
                      <w:rFonts w:hint="default" w:ascii="Times New Roman" w:hAnsi="Times New Roman" w:cs="Times New Roman"/>
                      <w:color w:val="auto"/>
                      <w:sz w:val="21"/>
                      <w:szCs w:val="21"/>
                      <w:highlight w:val="none"/>
                    </w:rPr>
                    <w:t>等危险废物的存放，设置铁托盘</w:t>
                  </w:r>
                  <w:r>
                    <w:rPr>
                      <w:rFonts w:hint="default" w:ascii="Times New Roman" w:hAnsi="Times New Roman" w:cs="Times New Roman"/>
                      <w:color w:val="auto"/>
                      <w:sz w:val="21"/>
                      <w:szCs w:val="21"/>
                      <w:highlight w:val="none"/>
                      <w:lang w:val="en-US" w:eastAsia="zh-CN"/>
                    </w:rPr>
                    <w:t>防渗，委托有资质的单位进行处置。</w:t>
                  </w:r>
                </w:p>
              </w:tc>
              <w:tc>
                <w:tcPr>
                  <w:tcW w:w="725" w:type="pct"/>
                  <w:tcBorders>
                    <w:tl2br w:val="nil"/>
                    <w:tr2bl w:val="nil"/>
                  </w:tcBorders>
                  <w:vAlign w:val="center"/>
                </w:tcPr>
                <w:p w14:paraId="2CCACA9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新建</w:t>
                  </w:r>
                </w:p>
              </w:tc>
            </w:tr>
          </w:tbl>
          <w:p w14:paraId="14BBC054">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50" w:line="360" w:lineRule="auto"/>
              <w:ind w:leftChars="0"/>
              <w:jc w:val="both"/>
              <w:textAlignment w:val="auto"/>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bCs w:val="0"/>
                <w:color w:val="auto"/>
                <w:sz w:val="24"/>
                <w:szCs w:val="24"/>
                <w:highlight w:val="none"/>
                <w:lang w:val="en-US" w:eastAsia="zh-CN"/>
              </w:rPr>
              <w:t>三、主要设备</w:t>
            </w:r>
          </w:p>
          <w:p w14:paraId="249A3FA8">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napToGrid w:val="0"/>
                <w:color w:val="auto"/>
                <w:kern w:val="0"/>
                <w:sz w:val="24"/>
                <w:szCs w:val="24"/>
                <w:highlight w:val="none"/>
              </w:rPr>
            </w:pPr>
            <w:r>
              <w:rPr>
                <w:rFonts w:hint="default" w:ascii="Times New Roman" w:hAnsi="Times New Roman" w:cs="Times New Roman" w:eastAsiaTheme="minorEastAsia"/>
                <w:snapToGrid w:val="0"/>
                <w:color w:val="auto"/>
                <w:kern w:val="0"/>
                <w:sz w:val="24"/>
                <w:szCs w:val="24"/>
                <w:highlight w:val="none"/>
                <w:lang w:val="en-US" w:eastAsia="zh-CN"/>
              </w:rPr>
              <w:t>主要生产设备及变化详见表2-</w:t>
            </w:r>
            <w:r>
              <w:rPr>
                <w:rFonts w:hint="default" w:ascii="Times New Roman" w:hAnsi="Times New Roman" w:cs="Times New Roman" w:eastAsiaTheme="minorEastAsia"/>
                <w:snapToGrid w:val="0"/>
                <w:color w:val="auto"/>
                <w:kern w:val="0"/>
                <w:sz w:val="24"/>
                <w:szCs w:val="24"/>
                <w:highlight w:val="none"/>
              </w:rPr>
              <w:t>2。</w:t>
            </w:r>
          </w:p>
          <w:p w14:paraId="1317DB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default" w:ascii="Times New Roman" w:hAnsi="Times New Roman" w:eastAsia="宋体" w:cs="Times New Roman"/>
                <w:b/>
                <w:bCs/>
                <w:color w:val="auto"/>
                <w:sz w:val="21"/>
                <w:szCs w:val="21"/>
                <w:highlight w:val="none"/>
                <w:lang w:val="en-US" w:eastAsia="zh-CN"/>
              </w:rPr>
              <w:t xml:space="preserve">-2 </w:t>
            </w:r>
            <w:r>
              <w:rPr>
                <w:rFonts w:hint="default" w:ascii="Times New Roman" w:hAnsi="Times New Roman" w:eastAsia="宋体" w:cs="Times New Roman"/>
                <w:b/>
                <w:bCs/>
                <w:color w:val="auto"/>
                <w:sz w:val="21"/>
                <w:szCs w:val="21"/>
                <w:highlight w:val="none"/>
              </w:rPr>
              <w:t>主要</w:t>
            </w:r>
            <w:r>
              <w:rPr>
                <w:rFonts w:hint="default" w:ascii="Times New Roman" w:hAnsi="Times New Roman" w:eastAsia="宋体" w:cs="Times New Roman"/>
                <w:b/>
                <w:bCs/>
                <w:color w:val="auto"/>
                <w:sz w:val="21"/>
                <w:szCs w:val="21"/>
                <w:highlight w:val="none"/>
                <w:lang w:val="en-US" w:eastAsia="zh-CN"/>
              </w:rPr>
              <w:t>生产</w:t>
            </w:r>
            <w:r>
              <w:rPr>
                <w:rFonts w:hint="default" w:ascii="Times New Roman" w:hAnsi="Times New Roman" w:eastAsia="宋体" w:cs="Times New Roman"/>
                <w:b/>
                <w:bCs/>
                <w:color w:val="auto"/>
                <w:sz w:val="21"/>
                <w:szCs w:val="21"/>
                <w:highlight w:val="none"/>
              </w:rPr>
              <w:t>设备一览表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385"/>
              <w:gridCol w:w="2363"/>
              <w:gridCol w:w="1912"/>
              <w:gridCol w:w="762"/>
              <w:gridCol w:w="762"/>
            </w:tblGrid>
            <w:tr w14:paraId="544C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22488071">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序号</w:t>
                  </w:r>
                </w:p>
              </w:tc>
              <w:tc>
                <w:tcPr>
                  <w:tcW w:w="2385" w:type="dxa"/>
                  <w:noWrap w:val="0"/>
                  <w:vAlign w:val="center"/>
                </w:tcPr>
                <w:p w14:paraId="1342BACB">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设备名称</w:t>
                  </w:r>
                </w:p>
              </w:tc>
              <w:tc>
                <w:tcPr>
                  <w:tcW w:w="2363" w:type="dxa"/>
                  <w:noWrap w:val="0"/>
                  <w:vAlign w:val="center"/>
                </w:tcPr>
                <w:p w14:paraId="71EB5B29">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规格型号</w:t>
                  </w:r>
                </w:p>
              </w:tc>
              <w:tc>
                <w:tcPr>
                  <w:tcW w:w="1912" w:type="dxa"/>
                  <w:noWrap w:val="0"/>
                  <w:vAlign w:val="center"/>
                </w:tcPr>
                <w:p w14:paraId="6B65B3D5">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数量</w:t>
                  </w:r>
                </w:p>
              </w:tc>
              <w:tc>
                <w:tcPr>
                  <w:tcW w:w="762" w:type="dxa"/>
                  <w:noWrap w:val="0"/>
                  <w:vAlign w:val="center"/>
                </w:tcPr>
                <w:p w14:paraId="64CA31EA">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单位</w:t>
                  </w:r>
                </w:p>
              </w:tc>
              <w:tc>
                <w:tcPr>
                  <w:tcW w:w="762" w:type="dxa"/>
                  <w:noWrap w:val="0"/>
                  <w:vAlign w:val="center"/>
                </w:tcPr>
                <w:p w14:paraId="10C620F3">
                  <w:pPr>
                    <w:keepNext w:val="0"/>
                    <w:keepLines w:val="0"/>
                    <w:pageBreakBefore w:val="0"/>
                    <w:kinsoku/>
                    <w:wordWrap/>
                    <w:overflowPunct w:val="0"/>
                    <w:bidi w:val="0"/>
                    <w:adjustRightInd/>
                    <w:snapToGrid/>
                    <w:jc w:val="center"/>
                    <w:textAlignment w:val="auto"/>
                    <w:rPr>
                      <w:rFonts w:hint="eastAsia" w:ascii="Times New Roman" w:hAnsi="Times New Roman" w:eastAsia="宋体" w:cs="Times New Roman"/>
                      <w:bCs/>
                      <w:snapToGrid w:val="0"/>
                      <w:color w:val="auto"/>
                      <w:sz w:val="21"/>
                      <w:szCs w:val="21"/>
                      <w:highlight w:val="none"/>
                      <w:lang w:val="en-US" w:eastAsia="zh-CN"/>
                    </w:rPr>
                  </w:pPr>
                  <w:r>
                    <w:rPr>
                      <w:rFonts w:hint="eastAsia" w:ascii="Times New Roman" w:hAnsi="Times New Roman" w:eastAsia="宋体" w:cs="Times New Roman"/>
                      <w:bCs/>
                      <w:snapToGrid w:val="0"/>
                      <w:color w:val="auto"/>
                      <w:sz w:val="21"/>
                      <w:szCs w:val="21"/>
                      <w:highlight w:val="none"/>
                      <w:lang w:val="en-US" w:eastAsia="zh-CN"/>
                    </w:rPr>
                    <w:t>备注</w:t>
                  </w:r>
                </w:p>
              </w:tc>
            </w:tr>
            <w:tr w14:paraId="01A2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4C8EAA54">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1</w:t>
                  </w:r>
                </w:p>
              </w:tc>
              <w:tc>
                <w:tcPr>
                  <w:tcW w:w="2385" w:type="dxa"/>
                  <w:noWrap w:val="0"/>
                  <w:vAlign w:val="center"/>
                </w:tcPr>
                <w:p w14:paraId="24CD05C0">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切割机</w:t>
                  </w:r>
                </w:p>
              </w:tc>
              <w:tc>
                <w:tcPr>
                  <w:tcW w:w="2363" w:type="dxa"/>
                  <w:noWrap w:val="0"/>
                  <w:vAlign w:val="center"/>
                </w:tcPr>
                <w:p w14:paraId="78989B94">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J3GC-400</w:t>
                  </w:r>
                </w:p>
              </w:tc>
              <w:tc>
                <w:tcPr>
                  <w:tcW w:w="1912" w:type="dxa"/>
                  <w:noWrap w:val="0"/>
                  <w:vAlign w:val="center"/>
                </w:tcPr>
                <w:p w14:paraId="33C36CD5">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 </w:t>
                  </w:r>
                </w:p>
              </w:tc>
              <w:tc>
                <w:tcPr>
                  <w:tcW w:w="762" w:type="dxa"/>
                  <w:noWrap w:val="0"/>
                  <w:vAlign w:val="center"/>
                </w:tcPr>
                <w:p w14:paraId="731B5EAA">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00398079">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0141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20F87668">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2</w:t>
                  </w:r>
                </w:p>
              </w:tc>
              <w:tc>
                <w:tcPr>
                  <w:tcW w:w="2385" w:type="dxa"/>
                  <w:noWrap w:val="0"/>
                  <w:vAlign w:val="center"/>
                </w:tcPr>
                <w:p w14:paraId="28AFA940">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推制机</w:t>
                  </w:r>
                </w:p>
              </w:tc>
              <w:tc>
                <w:tcPr>
                  <w:tcW w:w="2363" w:type="dxa"/>
                  <w:noWrap w:val="0"/>
                  <w:vAlign w:val="center"/>
                </w:tcPr>
                <w:p w14:paraId="57BB5A6B">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TZ-500</w:t>
                  </w:r>
                </w:p>
              </w:tc>
              <w:tc>
                <w:tcPr>
                  <w:tcW w:w="1912" w:type="dxa"/>
                  <w:noWrap w:val="0"/>
                  <w:vAlign w:val="center"/>
                </w:tcPr>
                <w:p w14:paraId="567DA472">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w:t>
                  </w:r>
                </w:p>
              </w:tc>
              <w:tc>
                <w:tcPr>
                  <w:tcW w:w="762" w:type="dxa"/>
                  <w:noWrap w:val="0"/>
                  <w:vAlign w:val="center"/>
                </w:tcPr>
                <w:p w14:paraId="052CB250">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6FBFA246">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70E0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496D33AE">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3</w:t>
                  </w:r>
                </w:p>
              </w:tc>
              <w:tc>
                <w:tcPr>
                  <w:tcW w:w="2385" w:type="dxa"/>
                  <w:noWrap w:val="0"/>
                  <w:vAlign w:val="center"/>
                </w:tcPr>
                <w:p w14:paraId="18527FA1">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液压机</w:t>
                  </w:r>
                </w:p>
              </w:tc>
              <w:tc>
                <w:tcPr>
                  <w:tcW w:w="2363" w:type="dxa"/>
                  <w:noWrap w:val="0"/>
                  <w:vAlign w:val="center"/>
                </w:tcPr>
                <w:p w14:paraId="1BBB0B0D">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YY4-250</w:t>
                  </w:r>
                </w:p>
              </w:tc>
              <w:tc>
                <w:tcPr>
                  <w:tcW w:w="1912" w:type="dxa"/>
                  <w:noWrap w:val="0"/>
                  <w:vAlign w:val="top"/>
                </w:tcPr>
                <w:p w14:paraId="437D2C4E">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762" w:type="dxa"/>
                  <w:noWrap w:val="0"/>
                  <w:vAlign w:val="center"/>
                </w:tcPr>
                <w:p w14:paraId="299FA044">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158B8A99">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51B6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680F8A20">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4</w:t>
                  </w:r>
                </w:p>
              </w:tc>
              <w:tc>
                <w:tcPr>
                  <w:tcW w:w="2385" w:type="dxa"/>
                  <w:noWrap w:val="0"/>
                  <w:vAlign w:val="center"/>
                </w:tcPr>
                <w:p w14:paraId="3501DEB6">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车床</w:t>
                  </w:r>
                </w:p>
              </w:tc>
              <w:tc>
                <w:tcPr>
                  <w:tcW w:w="2363" w:type="dxa"/>
                  <w:noWrap w:val="0"/>
                  <w:vAlign w:val="center"/>
                </w:tcPr>
                <w:p w14:paraId="06B0B9A9">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LDC-2000=2台、CA6140=2台、630-1=2台SY6210=2台</w:t>
                  </w:r>
                </w:p>
              </w:tc>
              <w:tc>
                <w:tcPr>
                  <w:tcW w:w="1912" w:type="dxa"/>
                  <w:noWrap w:val="0"/>
                  <w:vAlign w:val="center"/>
                </w:tcPr>
                <w:p w14:paraId="65BB8B92">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 </w:t>
                  </w:r>
                </w:p>
              </w:tc>
              <w:tc>
                <w:tcPr>
                  <w:tcW w:w="762" w:type="dxa"/>
                  <w:noWrap w:val="0"/>
                  <w:vAlign w:val="center"/>
                </w:tcPr>
                <w:p w14:paraId="64D5AF73">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09597EC6">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5654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38F0C0D7">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5</w:t>
                  </w:r>
                </w:p>
              </w:tc>
              <w:tc>
                <w:tcPr>
                  <w:tcW w:w="2385" w:type="dxa"/>
                  <w:noWrap w:val="0"/>
                  <w:vAlign w:val="center"/>
                </w:tcPr>
                <w:p w14:paraId="1F8D464A">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喷砂装置</w:t>
                  </w:r>
                </w:p>
              </w:tc>
              <w:tc>
                <w:tcPr>
                  <w:tcW w:w="2363" w:type="dxa"/>
                  <w:noWrap w:val="0"/>
                  <w:vAlign w:val="top"/>
                </w:tcPr>
                <w:p w14:paraId="14F04251">
                  <w:pPr>
                    <w:jc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bCs/>
                      <w:color w:val="auto"/>
                      <w:kern w:val="0"/>
                      <w:sz w:val="21"/>
                      <w:szCs w:val="21"/>
                      <w:highlight w:val="none"/>
                      <w:shd w:val="clear" w:color="auto" w:fill="auto"/>
                      <w:lang w:val="en-US" w:eastAsia="zh-CN" w:bidi="ar-SA"/>
                    </w:rPr>
                    <w:t>/</w:t>
                  </w:r>
                </w:p>
              </w:tc>
              <w:tc>
                <w:tcPr>
                  <w:tcW w:w="1912" w:type="dxa"/>
                  <w:noWrap w:val="0"/>
                  <w:vAlign w:val="top"/>
                </w:tcPr>
                <w:p w14:paraId="20D2DB89">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762" w:type="dxa"/>
                  <w:noWrap w:val="0"/>
                  <w:vAlign w:val="center"/>
                </w:tcPr>
                <w:p w14:paraId="12282B06">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套</w:t>
                  </w:r>
                </w:p>
              </w:tc>
              <w:tc>
                <w:tcPr>
                  <w:tcW w:w="762" w:type="dxa"/>
                  <w:noWrap w:val="0"/>
                  <w:vAlign w:val="center"/>
                </w:tcPr>
                <w:p w14:paraId="1901EAF7">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0322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2005CFB7">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6</w:t>
                  </w:r>
                </w:p>
              </w:tc>
              <w:tc>
                <w:tcPr>
                  <w:tcW w:w="2385" w:type="dxa"/>
                  <w:noWrap w:val="0"/>
                  <w:vAlign w:val="center"/>
                </w:tcPr>
                <w:p w14:paraId="18DC44B3">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Style w:val="69"/>
                      <w:rFonts w:hint="default" w:ascii="Times New Roman" w:hAnsi="Times New Roman" w:cs="Times New Roman"/>
                      <w:color w:val="auto"/>
                      <w:sz w:val="21"/>
                      <w:szCs w:val="21"/>
                      <w:highlight w:val="none"/>
                      <w:lang w:val="en-US" w:eastAsia="zh-CN" w:bidi="ar"/>
                    </w:rPr>
                    <w:t>手动托盘搬运车</w:t>
                  </w:r>
                </w:p>
              </w:tc>
              <w:tc>
                <w:tcPr>
                  <w:tcW w:w="2363" w:type="dxa"/>
                  <w:noWrap w:val="0"/>
                  <w:vAlign w:val="center"/>
                </w:tcPr>
                <w:p w14:paraId="33A5C0EE">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W685X1220</w:t>
                  </w:r>
                </w:p>
              </w:tc>
              <w:tc>
                <w:tcPr>
                  <w:tcW w:w="1912" w:type="dxa"/>
                  <w:noWrap w:val="0"/>
                  <w:vAlign w:val="center"/>
                </w:tcPr>
                <w:p w14:paraId="350CBC2D">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 </w:t>
                  </w:r>
                </w:p>
              </w:tc>
              <w:tc>
                <w:tcPr>
                  <w:tcW w:w="762" w:type="dxa"/>
                  <w:noWrap w:val="0"/>
                  <w:vAlign w:val="center"/>
                </w:tcPr>
                <w:p w14:paraId="5333FC4C">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19BE8AC4">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1365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65E5E52F">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7</w:t>
                  </w:r>
                </w:p>
              </w:tc>
              <w:tc>
                <w:tcPr>
                  <w:tcW w:w="2385" w:type="dxa"/>
                  <w:noWrap w:val="0"/>
                  <w:vAlign w:val="center"/>
                </w:tcPr>
                <w:p w14:paraId="721D2CE0">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行吊</w:t>
                  </w:r>
                </w:p>
              </w:tc>
              <w:tc>
                <w:tcPr>
                  <w:tcW w:w="2363" w:type="dxa"/>
                  <w:noWrap w:val="0"/>
                  <w:vAlign w:val="center"/>
                </w:tcPr>
                <w:p w14:paraId="4C64A9F2">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2.8T、16T、10T</w:t>
                  </w:r>
                </w:p>
              </w:tc>
              <w:tc>
                <w:tcPr>
                  <w:tcW w:w="1912" w:type="dxa"/>
                  <w:noWrap w:val="0"/>
                  <w:vAlign w:val="center"/>
                </w:tcPr>
                <w:p w14:paraId="12DEE03D">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 </w:t>
                  </w:r>
                </w:p>
              </w:tc>
              <w:tc>
                <w:tcPr>
                  <w:tcW w:w="762" w:type="dxa"/>
                  <w:noWrap w:val="0"/>
                  <w:vAlign w:val="center"/>
                </w:tcPr>
                <w:p w14:paraId="4C19BCBE">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4CE8E55A">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4A19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50CEB4FF">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8</w:t>
                  </w:r>
                </w:p>
              </w:tc>
              <w:tc>
                <w:tcPr>
                  <w:tcW w:w="2385" w:type="dxa"/>
                  <w:noWrap w:val="0"/>
                  <w:vAlign w:val="center"/>
                </w:tcPr>
                <w:p w14:paraId="68586AAE">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卷板机</w:t>
                  </w:r>
                </w:p>
              </w:tc>
              <w:tc>
                <w:tcPr>
                  <w:tcW w:w="2363" w:type="dxa"/>
                  <w:noWrap w:val="0"/>
                  <w:vAlign w:val="center"/>
                </w:tcPr>
                <w:p w14:paraId="41765A13">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W11-40*700、W11-25*2500、w11-12-2500</w:t>
                  </w:r>
                </w:p>
              </w:tc>
              <w:tc>
                <w:tcPr>
                  <w:tcW w:w="1912" w:type="dxa"/>
                  <w:noWrap w:val="0"/>
                  <w:vAlign w:val="top"/>
                </w:tcPr>
                <w:p w14:paraId="1D03163F">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 </w:t>
                  </w:r>
                </w:p>
              </w:tc>
              <w:tc>
                <w:tcPr>
                  <w:tcW w:w="762" w:type="dxa"/>
                  <w:noWrap w:val="0"/>
                  <w:vAlign w:val="center"/>
                </w:tcPr>
                <w:p w14:paraId="4DBFDACA">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397017E5">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6ADE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40F95486">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9</w:t>
                  </w:r>
                </w:p>
              </w:tc>
              <w:tc>
                <w:tcPr>
                  <w:tcW w:w="2385" w:type="dxa"/>
                  <w:noWrap w:val="0"/>
                  <w:vAlign w:val="center"/>
                </w:tcPr>
                <w:p w14:paraId="03E11ECE">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电焊机</w:t>
                  </w:r>
                </w:p>
              </w:tc>
              <w:tc>
                <w:tcPr>
                  <w:tcW w:w="2363" w:type="dxa"/>
                  <w:noWrap w:val="0"/>
                  <w:vAlign w:val="center"/>
                </w:tcPr>
                <w:p w14:paraId="00FD1FB4">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ZX5-630K=2台、ZX7S-630D=2台、ZX7-400=2台、NBC-500A=2台</w:t>
                  </w:r>
                </w:p>
              </w:tc>
              <w:tc>
                <w:tcPr>
                  <w:tcW w:w="1912" w:type="dxa"/>
                  <w:noWrap w:val="0"/>
                  <w:vAlign w:val="center"/>
                </w:tcPr>
                <w:p w14:paraId="663F6FEB">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 </w:t>
                  </w:r>
                </w:p>
              </w:tc>
              <w:tc>
                <w:tcPr>
                  <w:tcW w:w="762" w:type="dxa"/>
                  <w:noWrap w:val="0"/>
                  <w:vAlign w:val="center"/>
                </w:tcPr>
                <w:p w14:paraId="4F330CE0">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03E26E77">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0462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2718EF6F">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10</w:t>
                  </w:r>
                </w:p>
              </w:tc>
              <w:tc>
                <w:tcPr>
                  <w:tcW w:w="2385" w:type="dxa"/>
                  <w:noWrap w:val="0"/>
                  <w:vAlign w:val="center"/>
                </w:tcPr>
                <w:p w14:paraId="63AA2B49">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弯管机</w:t>
                  </w:r>
                </w:p>
              </w:tc>
              <w:tc>
                <w:tcPr>
                  <w:tcW w:w="2363" w:type="dxa"/>
                  <w:noWrap w:val="0"/>
                  <w:vAlign w:val="center"/>
                </w:tcPr>
                <w:p w14:paraId="073C5417">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WGJ-1620</w:t>
                  </w:r>
                </w:p>
              </w:tc>
              <w:tc>
                <w:tcPr>
                  <w:tcW w:w="1912" w:type="dxa"/>
                  <w:noWrap w:val="0"/>
                  <w:vAlign w:val="top"/>
                </w:tcPr>
                <w:p w14:paraId="6EF9E299">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762" w:type="dxa"/>
                  <w:noWrap w:val="0"/>
                  <w:vAlign w:val="center"/>
                </w:tcPr>
                <w:p w14:paraId="74321743">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22C56DD7">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6950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5683C167">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11</w:t>
                  </w:r>
                </w:p>
              </w:tc>
              <w:tc>
                <w:tcPr>
                  <w:tcW w:w="2385" w:type="dxa"/>
                  <w:noWrap w:val="0"/>
                  <w:vAlign w:val="center"/>
                </w:tcPr>
                <w:p w14:paraId="74CFD7E7">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数控切割机</w:t>
                  </w:r>
                </w:p>
              </w:tc>
              <w:tc>
                <w:tcPr>
                  <w:tcW w:w="2363" w:type="dxa"/>
                  <w:noWrap w:val="0"/>
                  <w:vAlign w:val="center"/>
                </w:tcPr>
                <w:p w14:paraId="728FAB92">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LGK-160IGBT</w:t>
                  </w:r>
                </w:p>
              </w:tc>
              <w:tc>
                <w:tcPr>
                  <w:tcW w:w="1912" w:type="dxa"/>
                  <w:noWrap w:val="0"/>
                  <w:vAlign w:val="top"/>
                </w:tcPr>
                <w:p w14:paraId="2E6B45E0">
                  <w:pPr>
                    <w:keepNext w:val="0"/>
                    <w:keepLines w:val="0"/>
                    <w:widowControl/>
                    <w:suppressLineNumbers w:val="0"/>
                    <w:jc w:val="center"/>
                    <w:textAlignment w:val="top"/>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762" w:type="dxa"/>
                  <w:noWrap w:val="0"/>
                  <w:vAlign w:val="center"/>
                </w:tcPr>
                <w:p w14:paraId="1C34FEF6">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2E3FDFCA">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01B3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276012B7">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12</w:t>
                  </w:r>
                </w:p>
              </w:tc>
              <w:tc>
                <w:tcPr>
                  <w:tcW w:w="2385" w:type="dxa"/>
                  <w:noWrap w:val="0"/>
                  <w:vAlign w:val="center"/>
                </w:tcPr>
                <w:p w14:paraId="57D08C1C">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空压机</w:t>
                  </w:r>
                </w:p>
              </w:tc>
              <w:tc>
                <w:tcPr>
                  <w:tcW w:w="2363" w:type="dxa"/>
                  <w:noWrap w:val="0"/>
                  <w:vAlign w:val="center"/>
                </w:tcPr>
                <w:p w14:paraId="5F3EEB37">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V0.6/8 W0.6/30</w:t>
                  </w:r>
                </w:p>
              </w:tc>
              <w:tc>
                <w:tcPr>
                  <w:tcW w:w="1912" w:type="dxa"/>
                  <w:noWrap w:val="0"/>
                  <w:vAlign w:val="center"/>
                </w:tcPr>
                <w:p w14:paraId="212BA25B">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i w:val="0"/>
                      <w:iCs w:val="0"/>
                      <w:color w:val="auto"/>
                      <w:kern w:val="0"/>
                      <w:sz w:val="21"/>
                      <w:szCs w:val="21"/>
                      <w:highlight w:val="none"/>
                      <w:u w:val="none"/>
                      <w:lang w:val="en-US" w:eastAsia="zh-CN" w:bidi="ar"/>
                    </w:rPr>
                    <w:t>5</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762" w:type="dxa"/>
                  <w:noWrap w:val="0"/>
                  <w:vAlign w:val="center"/>
                </w:tcPr>
                <w:p w14:paraId="441CBEFA">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443EC9CB">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53AA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64B4AF53">
                  <w:pPr>
                    <w:keepNext w:val="0"/>
                    <w:keepLines w:val="0"/>
                    <w:pageBreakBefore w:val="0"/>
                    <w:kinsoku/>
                    <w:wordWrap/>
                    <w:overflowPunct w:val="0"/>
                    <w:bidi w:val="0"/>
                    <w:adjustRightInd/>
                    <w:snapToGrid/>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13</w:t>
                  </w:r>
                </w:p>
              </w:tc>
              <w:tc>
                <w:tcPr>
                  <w:tcW w:w="2385" w:type="dxa"/>
                  <w:noWrap w:val="0"/>
                  <w:vAlign w:val="center"/>
                </w:tcPr>
                <w:p w14:paraId="0A681DB8">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69"/>
                      <w:rFonts w:hint="default" w:ascii="Times New Roman" w:hAnsi="Times New Roman" w:cs="Times New Roman"/>
                      <w:color w:val="auto"/>
                      <w:sz w:val="21"/>
                      <w:szCs w:val="21"/>
                      <w:highlight w:val="none"/>
                      <w:lang w:val="en-US" w:eastAsia="zh-CN" w:bidi="ar"/>
                    </w:rPr>
                    <w:t>钻床</w:t>
                  </w:r>
                </w:p>
              </w:tc>
              <w:tc>
                <w:tcPr>
                  <w:tcW w:w="2363" w:type="dxa"/>
                  <w:noWrap w:val="0"/>
                  <w:vAlign w:val="center"/>
                </w:tcPr>
                <w:p w14:paraId="286B2C26">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535/ZJ3032</w:t>
                  </w:r>
                </w:p>
              </w:tc>
              <w:tc>
                <w:tcPr>
                  <w:tcW w:w="1912" w:type="dxa"/>
                  <w:noWrap w:val="0"/>
                  <w:vAlign w:val="center"/>
                </w:tcPr>
                <w:p w14:paraId="7D891F34">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 </w:t>
                  </w:r>
                </w:p>
              </w:tc>
              <w:tc>
                <w:tcPr>
                  <w:tcW w:w="762" w:type="dxa"/>
                  <w:noWrap w:val="0"/>
                  <w:vAlign w:val="center"/>
                </w:tcPr>
                <w:p w14:paraId="41F8939F">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lang w:val="en-US" w:eastAsia="zh-CN"/>
                    </w:rPr>
                  </w:pPr>
                  <w:r>
                    <w:rPr>
                      <w:rStyle w:val="70"/>
                      <w:rFonts w:hint="default" w:ascii="Times New Roman" w:hAnsi="Times New Roman" w:cs="Times New Roman"/>
                      <w:color w:val="auto"/>
                      <w:sz w:val="21"/>
                      <w:szCs w:val="21"/>
                      <w:highlight w:val="none"/>
                      <w:lang w:val="en-US" w:eastAsia="zh-CN" w:bidi="ar"/>
                    </w:rPr>
                    <w:t>个</w:t>
                  </w:r>
                </w:p>
              </w:tc>
              <w:tc>
                <w:tcPr>
                  <w:tcW w:w="762" w:type="dxa"/>
                  <w:noWrap w:val="0"/>
                  <w:vAlign w:val="center"/>
                </w:tcPr>
                <w:p w14:paraId="343AF789">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7E6B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5322BFBD">
                  <w:pPr>
                    <w:keepNext w:val="0"/>
                    <w:keepLines w:val="0"/>
                    <w:pageBreakBefore w:val="0"/>
                    <w:kinsoku/>
                    <w:wordWrap/>
                    <w:overflowPunct w:val="0"/>
                    <w:bidi w:val="0"/>
                    <w:adjustRightInd/>
                    <w:snapToGrid/>
                    <w:jc w:val="center"/>
                    <w:textAlignment w:val="auto"/>
                    <w:rPr>
                      <w:rFonts w:hint="default" w:ascii="Times New Roman" w:hAnsi="Times New Roman"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14</w:t>
                  </w:r>
                </w:p>
              </w:tc>
              <w:tc>
                <w:tcPr>
                  <w:tcW w:w="2385" w:type="dxa"/>
                  <w:noWrap w:val="0"/>
                  <w:vAlign w:val="center"/>
                </w:tcPr>
                <w:p w14:paraId="530C5E90">
                  <w:pPr>
                    <w:keepNext w:val="0"/>
                    <w:keepLines w:val="0"/>
                    <w:widowControl/>
                    <w:suppressLineNumbers w:val="0"/>
                    <w:jc w:val="center"/>
                    <w:textAlignment w:val="center"/>
                    <w:rPr>
                      <w:rStyle w:val="69"/>
                      <w:rFonts w:hint="default" w:ascii="Times New Roman" w:hAnsi="Times New Roman" w:cs="Times New Roman"/>
                      <w:color w:val="auto"/>
                      <w:sz w:val="21"/>
                      <w:szCs w:val="21"/>
                      <w:highlight w:val="none"/>
                      <w:lang w:val="en-US" w:eastAsia="zh-CN" w:bidi="ar"/>
                    </w:rPr>
                  </w:pPr>
                  <w:r>
                    <w:rPr>
                      <w:rStyle w:val="69"/>
                      <w:rFonts w:hint="eastAsia" w:ascii="Times New Roman" w:hAnsi="Times New Roman" w:cs="Times New Roman"/>
                      <w:color w:val="auto"/>
                      <w:sz w:val="21"/>
                      <w:szCs w:val="21"/>
                      <w:highlight w:val="none"/>
                      <w:lang w:val="en-US" w:eastAsia="zh-CN" w:bidi="ar"/>
                    </w:rPr>
                    <w:t>热风炉</w:t>
                  </w:r>
                </w:p>
              </w:tc>
              <w:tc>
                <w:tcPr>
                  <w:tcW w:w="2363" w:type="dxa"/>
                  <w:noWrap w:val="0"/>
                  <w:vAlign w:val="center"/>
                </w:tcPr>
                <w:p w14:paraId="5340BB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加热方式：天然气</w:t>
                  </w:r>
                </w:p>
              </w:tc>
              <w:tc>
                <w:tcPr>
                  <w:tcW w:w="1912" w:type="dxa"/>
                  <w:noWrap w:val="0"/>
                  <w:vAlign w:val="center"/>
                </w:tcPr>
                <w:p w14:paraId="3ED400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2</w:t>
                  </w:r>
                </w:p>
              </w:tc>
              <w:tc>
                <w:tcPr>
                  <w:tcW w:w="762" w:type="dxa"/>
                  <w:noWrap w:val="0"/>
                  <w:vAlign w:val="center"/>
                </w:tcPr>
                <w:p w14:paraId="2C1E1EC5">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default" w:ascii="Times New Roman" w:hAnsi="Times New Roman" w:cs="Times New Roman"/>
                      <w:color w:val="auto"/>
                      <w:sz w:val="21"/>
                      <w:szCs w:val="21"/>
                      <w:highlight w:val="none"/>
                      <w:lang w:val="en-US" w:eastAsia="zh-CN" w:bidi="ar"/>
                    </w:rPr>
                    <w:t>座</w:t>
                  </w:r>
                </w:p>
              </w:tc>
              <w:tc>
                <w:tcPr>
                  <w:tcW w:w="762" w:type="dxa"/>
                  <w:noWrap w:val="0"/>
                  <w:vAlign w:val="center"/>
                </w:tcPr>
                <w:p w14:paraId="05A195E0">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2946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4" w:type="dxa"/>
                  <w:noWrap w:val="0"/>
                  <w:vAlign w:val="center"/>
                </w:tcPr>
                <w:p w14:paraId="1222613B">
                  <w:pPr>
                    <w:keepNext w:val="0"/>
                    <w:keepLines w:val="0"/>
                    <w:pageBreakBefore w:val="0"/>
                    <w:kinsoku/>
                    <w:wordWrap/>
                    <w:overflowPunct w:val="0"/>
                    <w:bidi w:val="0"/>
                    <w:adjustRightInd/>
                    <w:snapToGrid/>
                    <w:jc w:val="center"/>
                    <w:textAlignment w:val="auto"/>
                    <w:rPr>
                      <w:rFonts w:hint="default" w:ascii="Times New Roman" w:hAnsi="Times New Roman"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15</w:t>
                  </w:r>
                </w:p>
              </w:tc>
              <w:tc>
                <w:tcPr>
                  <w:tcW w:w="2385" w:type="dxa"/>
                  <w:noWrap w:val="0"/>
                  <w:vAlign w:val="center"/>
                </w:tcPr>
                <w:p w14:paraId="64540A92">
                  <w:pPr>
                    <w:keepNext w:val="0"/>
                    <w:keepLines w:val="0"/>
                    <w:widowControl/>
                    <w:suppressLineNumbers w:val="0"/>
                    <w:jc w:val="center"/>
                    <w:textAlignment w:val="center"/>
                    <w:rPr>
                      <w:rStyle w:val="69"/>
                      <w:rFonts w:hint="default" w:ascii="Times New Roman" w:hAnsi="Times New Roman" w:cs="Times New Roman"/>
                      <w:color w:val="auto"/>
                      <w:sz w:val="21"/>
                      <w:szCs w:val="21"/>
                      <w:highlight w:val="none"/>
                      <w:lang w:val="en-US" w:eastAsia="zh-CN" w:bidi="ar"/>
                    </w:rPr>
                  </w:pPr>
                  <w:r>
                    <w:rPr>
                      <w:rStyle w:val="69"/>
                      <w:rFonts w:hint="default" w:ascii="Times New Roman" w:hAnsi="Times New Roman" w:cs="Times New Roman"/>
                      <w:color w:val="auto"/>
                      <w:sz w:val="21"/>
                      <w:szCs w:val="21"/>
                      <w:highlight w:val="none"/>
                      <w:lang w:val="en-US" w:eastAsia="zh-CN" w:bidi="ar"/>
                    </w:rPr>
                    <w:t>DN2000相贯线设备</w:t>
                  </w:r>
                </w:p>
              </w:tc>
              <w:tc>
                <w:tcPr>
                  <w:tcW w:w="2363" w:type="dxa"/>
                  <w:noWrap w:val="0"/>
                  <w:vAlign w:val="center"/>
                </w:tcPr>
                <w:p w14:paraId="1AFED2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w:t>
                  </w:r>
                </w:p>
              </w:tc>
              <w:tc>
                <w:tcPr>
                  <w:tcW w:w="1912" w:type="dxa"/>
                  <w:noWrap w:val="0"/>
                  <w:vAlign w:val="center"/>
                </w:tcPr>
                <w:p w14:paraId="6A21CD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w:t>
                  </w:r>
                </w:p>
              </w:tc>
              <w:tc>
                <w:tcPr>
                  <w:tcW w:w="762" w:type="dxa"/>
                  <w:noWrap w:val="0"/>
                  <w:vAlign w:val="center"/>
                </w:tcPr>
                <w:p w14:paraId="499B3372">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4407F055">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r w14:paraId="742E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noWrap w:val="0"/>
                  <w:vAlign w:val="center"/>
                </w:tcPr>
                <w:p w14:paraId="78553D8F">
                  <w:pPr>
                    <w:keepNext w:val="0"/>
                    <w:keepLines w:val="0"/>
                    <w:pageBreakBefore w:val="0"/>
                    <w:kinsoku/>
                    <w:wordWrap/>
                    <w:overflowPunct w:val="0"/>
                    <w:bidi w:val="0"/>
                    <w:adjustRightInd/>
                    <w:snapToGrid/>
                    <w:jc w:val="center"/>
                    <w:textAlignment w:val="auto"/>
                    <w:rPr>
                      <w:rFonts w:hint="default" w:ascii="Times New Roman" w:hAnsi="Times New Roman"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val="en-US" w:eastAsia="zh-CN"/>
                    </w:rPr>
                    <w:t>16</w:t>
                  </w:r>
                </w:p>
              </w:tc>
              <w:tc>
                <w:tcPr>
                  <w:tcW w:w="2385" w:type="dxa"/>
                  <w:noWrap w:val="0"/>
                  <w:vAlign w:val="center"/>
                </w:tcPr>
                <w:p w14:paraId="5B51DF59">
                  <w:pPr>
                    <w:keepNext w:val="0"/>
                    <w:keepLines w:val="0"/>
                    <w:widowControl/>
                    <w:suppressLineNumbers w:val="0"/>
                    <w:jc w:val="center"/>
                    <w:textAlignment w:val="center"/>
                    <w:rPr>
                      <w:rStyle w:val="69"/>
                      <w:rFonts w:hint="default" w:ascii="Times New Roman" w:hAnsi="Times New Roman" w:cs="Times New Roman"/>
                      <w:color w:val="auto"/>
                      <w:sz w:val="21"/>
                      <w:szCs w:val="21"/>
                      <w:highlight w:val="none"/>
                      <w:lang w:val="en-US" w:eastAsia="zh-CN" w:bidi="ar"/>
                    </w:rPr>
                  </w:pPr>
                  <w:r>
                    <w:rPr>
                      <w:rStyle w:val="69"/>
                      <w:rFonts w:hint="default" w:ascii="Times New Roman" w:hAnsi="Times New Roman" w:cs="Times New Roman"/>
                      <w:color w:val="auto"/>
                      <w:sz w:val="21"/>
                      <w:szCs w:val="21"/>
                      <w:highlight w:val="none"/>
                      <w:lang w:val="en-US" w:eastAsia="zh-CN" w:bidi="ar"/>
                    </w:rPr>
                    <w:t>手动回转操作机</w:t>
                  </w:r>
                </w:p>
              </w:tc>
              <w:tc>
                <w:tcPr>
                  <w:tcW w:w="2363" w:type="dxa"/>
                  <w:noWrap w:val="0"/>
                  <w:vAlign w:val="center"/>
                </w:tcPr>
                <w:p w14:paraId="1C6DA1E4">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w:t>
                  </w:r>
                </w:p>
              </w:tc>
              <w:tc>
                <w:tcPr>
                  <w:tcW w:w="1912" w:type="dxa"/>
                  <w:noWrap w:val="0"/>
                  <w:vAlign w:val="center"/>
                </w:tcPr>
                <w:p w14:paraId="535BAF28">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w:t>
                  </w:r>
                </w:p>
              </w:tc>
              <w:tc>
                <w:tcPr>
                  <w:tcW w:w="762" w:type="dxa"/>
                  <w:noWrap w:val="0"/>
                  <w:vAlign w:val="center"/>
                </w:tcPr>
                <w:p w14:paraId="089D8DB4">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default" w:ascii="Times New Roman" w:hAnsi="Times New Roman" w:cs="Times New Roman"/>
                      <w:color w:val="auto"/>
                      <w:sz w:val="21"/>
                      <w:szCs w:val="21"/>
                      <w:highlight w:val="none"/>
                      <w:lang w:val="en-US" w:eastAsia="zh-CN" w:bidi="ar"/>
                    </w:rPr>
                    <w:t>台</w:t>
                  </w:r>
                </w:p>
              </w:tc>
              <w:tc>
                <w:tcPr>
                  <w:tcW w:w="762" w:type="dxa"/>
                  <w:noWrap w:val="0"/>
                  <w:vAlign w:val="center"/>
                </w:tcPr>
                <w:p w14:paraId="4DFB7F01">
                  <w:pPr>
                    <w:keepNext w:val="0"/>
                    <w:keepLines w:val="0"/>
                    <w:widowControl/>
                    <w:suppressLineNumbers w:val="0"/>
                    <w:jc w:val="center"/>
                    <w:textAlignment w:val="center"/>
                    <w:rPr>
                      <w:rStyle w:val="70"/>
                      <w:rFonts w:hint="default" w:ascii="Times New Roman" w:hAnsi="Times New Roman" w:cs="Times New Roman"/>
                      <w:color w:val="auto"/>
                      <w:sz w:val="21"/>
                      <w:szCs w:val="21"/>
                      <w:highlight w:val="none"/>
                      <w:lang w:val="en-US" w:eastAsia="zh-CN" w:bidi="ar"/>
                    </w:rPr>
                  </w:pPr>
                  <w:r>
                    <w:rPr>
                      <w:rStyle w:val="70"/>
                      <w:rFonts w:hint="eastAsia" w:ascii="Times New Roman" w:hAnsi="Times New Roman" w:cs="Times New Roman"/>
                      <w:color w:val="auto"/>
                      <w:sz w:val="21"/>
                      <w:szCs w:val="21"/>
                      <w:highlight w:val="none"/>
                      <w:lang w:val="en-US" w:eastAsia="zh-CN" w:bidi="ar"/>
                    </w:rPr>
                    <w:t>已建</w:t>
                  </w:r>
                </w:p>
              </w:tc>
            </w:tr>
          </w:tbl>
          <w:p w14:paraId="6A4176A7">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50" w:line="360" w:lineRule="auto"/>
              <w:ind w:leftChars="0"/>
              <w:jc w:val="left"/>
              <w:textAlignment w:val="auto"/>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bCs w:val="0"/>
                <w:color w:val="auto"/>
                <w:sz w:val="24"/>
                <w:szCs w:val="24"/>
                <w:highlight w:val="none"/>
                <w:lang w:val="en-US" w:eastAsia="zh-CN"/>
              </w:rPr>
              <w:t>四、原辅材料</w:t>
            </w:r>
          </w:p>
          <w:p w14:paraId="7BDC4E8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bCs w:val="0"/>
                <w:color w:val="auto"/>
                <w:sz w:val="24"/>
                <w:szCs w:val="24"/>
                <w:highlight w:val="none"/>
                <w:lang w:val="en-US" w:eastAsia="zh-CN"/>
              </w:rPr>
              <w:t>（一）原辅材料</w:t>
            </w:r>
          </w:p>
          <w:p w14:paraId="02C9E6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auto"/>
                <w:kern w:val="0"/>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本项目正常运营</w:t>
            </w:r>
            <w:r>
              <w:rPr>
                <w:rFonts w:hint="default" w:ascii="Times New Roman" w:hAnsi="Times New Roman" w:cs="Times New Roman" w:eastAsiaTheme="minorEastAsia"/>
                <w:color w:val="auto"/>
                <w:kern w:val="0"/>
                <w:sz w:val="24"/>
                <w:szCs w:val="24"/>
                <w:highlight w:val="none"/>
                <w:lang w:eastAsia="zh-CN"/>
              </w:rPr>
              <w:t>时，主要产品为</w:t>
            </w:r>
            <w:r>
              <w:rPr>
                <w:rFonts w:hint="eastAsia" w:ascii="Times New Roman" w:hAnsi="Times New Roman" w:cs="Times New Roman" w:eastAsiaTheme="minorEastAsia"/>
                <w:color w:val="auto"/>
                <w:kern w:val="0"/>
                <w:sz w:val="24"/>
                <w:szCs w:val="24"/>
                <w:highlight w:val="none"/>
                <w:lang w:val="en-US" w:eastAsia="zh-CN"/>
              </w:rPr>
              <w:t>金属管件</w:t>
            </w:r>
            <w:r>
              <w:rPr>
                <w:rFonts w:hint="default" w:ascii="Times New Roman" w:hAnsi="Times New Roman" w:cs="Times New Roman" w:eastAsiaTheme="minorEastAsia"/>
                <w:color w:val="auto"/>
                <w:kern w:val="0"/>
                <w:sz w:val="24"/>
                <w:szCs w:val="24"/>
                <w:highlight w:val="none"/>
                <w:lang w:eastAsia="zh-CN"/>
              </w:rPr>
              <w:t>，原辅料消耗量及变化具体见表</w:t>
            </w:r>
            <w:r>
              <w:rPr>
                <w:rFonts w:hint="default" w:ascii="Times New Roman" w:hAnsi="Times New Roman" w:cs="Times New Roman" w:eastAsiaTheme="minorEastAsia"/>
                <w:color w:val="auto"/>
                <w:kern w:val="0"/>
                <w:sz w:val="24"/>
                <w:szCs w:val="24"/>
                <w:highlight w:val="none"/>
                <w:lang w:val="en-US" w:eastAsia="zh-CN"/>
              </w:rPr>
              <w:t>2-3；原辅材料理化性质见表2-4</w:t>
            </w:r>
            <w:r>
              <w:rPr>
                <w:rFonts w:hint="default" w:ascii="Times New Roman" w:hAnsi="Times New Roman" w:cs="Times New Roman" w:eastAsiaTheme="minorEastAsia"/>
                <w:color w:val="auto"/>
                <w:kern w:val="0"/>
                <w:sz w:val="24"/>
                <w:szCs w:val="24"/>
                <w:highlight w:val="none"/>
              </w:rPr>
              <w:t>。</w:t>
            </w:r>
            <w:r>
              <w:rPr>
                <w:rFonts w:hint="eastAsia" w:ascii="Times New Roman" w:hAnsi="Times New Roman" w:cs="Times New Roman" w:eastAsiaTheme="minorEastAsia"/>
                <w:color w:val="auto"/>
                <w:kern w:val="0"/>
                <w:sz w:val="24"/>
                <w:szCs w:val="24"/>
                <w:highlight w:val="none"/>
                <w:lang w:val="en-US" w:eastAsia="zh-CN"/>
              </w:rPr>
              <w:t>本项目油漆厂内最大储存量为1t/a。</w:t>
            </w:r>
          </w:p>
          <w:p w14:paraId="6CF26B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eastAsiaTheme="minorEastAsia"/>
                <w:b/>
                <w:color w:val="auto"/>
                <w:sz w:val="21"/>
                <w:szCs w:val="21"/>
                <w:highlight w:val="none"/>
                <w:lang w:val="en-US" w:eastAsia="zh-CN"/>
              </w:rPr>
            </w:pPr>
            <w:r>
              <w:rPr>
                <w:rFonts w:hint="default" w:ascii="Times New Roman" w:hAnsi="Times New Roman" w:cs="Times New Roman" w:eastAsiaTheme="minorEastAsia"/>
                <w:b/>
                <w:color w:val="auto"/>
                <w:sz w:val="21"/>
                <w:szCs w:val="21"/>
                <w:highlight w:val="none"/>
              </w:rPr>
              <w:t>表</w:t>
            </w:r>
            <w:r>
              <w:rPr>
                <w:rFonts w:hint="default" w:ascii="Times New Roman" w:hAnsi="Times New Roman" w:cs="Times New Roman" w:eastAsiaTheme="minorEastAsia"/>
                <w:b/>
                <w:color w:val="auto"/>
                <w:sz w:val="21"/>
                <w:szCs w:val="21"/>
                <w:highlight w:val="none"/>
                <w:lang w:val="en-US" w:eastAsia="zh-CN"/>
              </w:rPr>
              <w:t>2-3</w:t>
            </w:r>
            <w:r>
              <w:rPr>
                <w:rFonts w:hint="default" w:ascii="Times New Roman" w:hAnsi="Times New Roman" w:cs="Times New Roman" w:eastAsiaTheme="minorEastAsia"/>
                <w:b/>
                <w:color w:val="auto"/>
                <w:sz w:val="21"/>
                <w:szCs w:val="21"/>
                <w:highlight w:val="none"/>
              </w:rPr>
              <w:t xml:space="preserve">  原辅材料消耗</w:t>
            </w:r>
            <w:r>
              <w:rPr>
                <w:rFonts w:hint="default" w:ascii="Times New Roman" w:hAnsi="Times New Roman" w:cs="Times New Roman" w:eastAsiaTheme="minorEastAsia"/>
                <w:b/>
                <w:color w:val="auto"/>
                <w:sz w:val="21"/>
                <w:szCs w:val="21"/>
                <w:highlight w:val="none"/>
                <w:lang w:val="en-US" w:eastAsia="zh-CN"/>
              </w:rPr>
              <w:t>及变化一览表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442"/>
              <w:gridCol w:w="1538"/>
              <w:gridCol w:w="1940"/>
              <w:gridCol w:w="1940"/>
            </w:tblGrid>
            <w:tr w14:paraId="3FC8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978" w:type="dxa"/>
                  <w:noWrap w:val="0"/>
                  <w:vAlign w:val="center"/>
                </w:tcPr>
                <w:p w14:paraId="2D92F5F3">
                  <w:pPr>
                    <w:overflowPunct w:val="0"/>
                    <w:adjustRightInd w:val="0"/>
                    <w:snapToGrid w:val="0"/>
                    <w:ind w:left="-105" w:leftChars="-50" w:right="-105" w:rightChars="-50"/>
                    <w:jc w:val="center"/>
                    <w:rPr>
                      <w:rFonts w:hint="default" w:ascii="Times New Roman" w:hAnsi="Times New Roman" w:eastAsia="宋体" w:cs="Times New Roman"/>
                      <w:snapToGrid w:val="0"/>
                      <w:color w:val="auto"/>
                      <w:kern w:val="0"/>
                      <w:sz w:val="21"/>
                      <w:szCs w:val="21"/>
                      <w:highlight w:val="none"/>
                      <w:lang w:eastAsia="zh-CN"/>
                    </w:rPr>
                  </w:pPr>
                  <w:r>
                    <w:rPr>
                      <w:rFonts w:hint="default" w:ascii="Times New Roman" w:hAnsi="Times New Roman" w:eastAsia="宋体" w:cs="Times New Roman"/>
                      <w:snapToGrid w:val="0"/>
                      <w:color w:val="auto"/>
                      <w:kern w:val="0"/>
                      <w:sz w:val="21"/>
                      <w:szCs w:val="21"/>
                      <w:highlight w:val="none"/>
                      <w:lang w:val="en-US" w:eastAsia="zh-CN"/>
                    </w:rPr>
                    <w:t>序号</w:t>
                  </w:r>
                </w:p>
              </w:tc>
              <w:tc>
                <w:tcPr>
                  <w:tcW w:w="2442" w:type="dxa"/>
                  <w:noWrap w:val="0"/>
                  <w:vAlign w:val="center"/>
                </w:tcPr>
                <w:p w14:paraId="3091DDD5">
                  <w:pPr>
                    <w:overflowPunct w:val="0"/>
                    <w:adjustRightInd w:val="0"/>
                    <w:snapToGrid w:val="0"/>
                    <w:ind w:left="-105" w:leftChars="-50" w:right="-105" w:rightChars="-5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原辅材料名称</w:t>
                  </w:r>
                </w:p>
              </w:tc>
              <w:tc>
                <w:tcPr>
                  <w:tcW w:w="1538" w:type="dxa"/>
                  <w:noWrap w:val="0"/>
                  <w:vAlign w:val="top"/>
                </w:tcPr>
                <w:p w14:paraId="0B30BBC7">
                  <w:pPr>
                    <w:overflowPunct w:val="0"/>
                    <w:adjustRightInd w:val="0"/>
                    <w:snapToGrid w:val="0"/>
                    <w:ind w:left="-105" w:leftChars="-50" w:right="-105" w:rightChars="-5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年耗量</w:t>
                  </w:r>
                </w:p>
              </w:tc>
              <w:tc>
                <w:tcPr>
                  <w:tcW w:w="1940" w:type="dxa"/>
                  <w:noWrap w:val="0"/>
                  <w:vAlign w:val="center"/>
                </w:tcPr>
                <w:p w14:paraId="45BAB1E4">
                  <w:pPr>
                    <w:overflowPunct w:val="0"/>
                    <w:adjustRightInd w:val="0"/>
                    <w:snapToGrid w:val="0"/>
                    <w:ind w:left="-105" w:leftChars="-50" w:right="-105" w:rightChars="-5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rPr>
                    <w:t>单位</w:t>
                  </w:r>
                </w:p>
              </w:tc>
              <w:tc>
                <w:tcPr>
                  <w:tcW w:w="1940" w:type="dxa"/>
                  <w:noWrap w:val="0"/>
                  <w:vAlign w:val="center"/>
                </w:tcPr>
                <w:p w14:paraId="59D5E630">
                  <w:pPr>
                    <w:overflowPunct w:val="0"/>
                    <w:adjustRightInd w:val="0"/>
                    <w:snapToGrid w:val="0"/>
                    <w:ind w:left="-105" w:leftChars="-50" w:right="-105" w:rightChars="-50"/>
                    <w:jc w:val="center"/>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lang w:val="en-US" w:eastAsia="zh-CN"/>
                    </w:rPr>
                    <w:t>来源</w:t>
                  </w:r>
                </w:p>
              </w:tc>
            </w:tr>
            <w:tr w14:paraId="18A1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978" w:type="dxa"/>
                  <w:noWrap w:val="0"/>
                  <w:vAlign w:val="center"/>
                </w:tcPr>
                <w:p w14:paraId="490BD2E7">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442" w:type="dxa"/>
                  <w:noWrap w:val="0"/>
                  <w:vAlign w:val="center"/>
                </w:tcPr>
                <w:p w14:paraId="26D5F0E0">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圆钢</w:t>
                  </w:r>
                </w:p>
              </w:tc>
              <w:tc>
                <w:tcPr>
                  <w:tcW w:w="1538" w:type="dxa"/>
                  <w:noWrap w:val="0"/>
                  <w:vAlign w:val="center"/>
                </w:tcPr>
                <w:p w14:paraId="12B746CE">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1000 </w:t>
                  </w:r>
                </w:p>
              </w:tc>
              <w:tc>
                <w:tcPr>
                  <w:tcW w:w="1940" w:type="dxa"/>
                  <w:noWrap w:val="0"/>
                  <w:vAlign w:val="center"/>
                </w:tcPr>
                <w:p w14:paraId="19D71634">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484F9C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26FF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978" w:type="dxa"/>
                  <w:noWrap w:val="0"/>
                  <w:vAlign w:val="center"/>
                </w:tcPr>
                <w:p w14:paraId="3B782F43">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442" w:type="dxa"/>
                  <w:noWrap w:val="0"/>
                  <w:vAlign w:val="center"/>
                </w:tcPr>
                <w:p w14:paraId="2BECD86C">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钢管</w:t>
                  </w:r>
                </w:p>
              </w:tc>
              <w:tc>
                <w:tcPr>
                  <w:tcW w:w="1538" w:type="dxa"/>
                  <w:noWrap w:val="0"/>
                  <w:vAlign w:val="center"/>
                </w:tcPr>
                <w:p w14:paraId="268C49DD">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1000 </w:t>
                  </w:r>
                </w:p>
              </w:tc>
              <w:tc>
                <w:tcPr>
                  <w:tcW w:w="1940" w:type="dxa"/>
                  <w:noWrap w:val="0"/>
                  <w:vAlign w:val="center"/>
                </w:tcPr>
                <w:p w14:paraId="1CBAB90A">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60A269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4AEB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978" w:type="dxa"/>
                  <w:noWrap w:val="0"/>
                  <w:vAlign w:val="center"/>
                </w:tcPr>
                <w:p w14:paraId="6DF07C9A">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442" w:type="dxa"/>
                  <w:noWrap w:val="0"/>
                  <w:vAlign w:val="center"/>
                </w:tcPr>
                <w:p w14:paraId="13EBA5E3">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各种型材</w:t>
                  </w:r>
                </w:p>
              </w:tc>
              <w:tc>
                <w:tcPr>
                  <w:tcW w:w="1538" w:type="dxa"/>
                  <w:noWrap w:val="0"/>
                  <w:vAlign w:val="center"/>
                </w:tcPr>
                <w:p w14:paraId="6F042AE9">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400 </w:t>
                  </w:r>
                </w:p>
              </w:tc>
              <w:tc>
                <w:tcPr>
                  <w:tcW w:w="1940" w:type="dxa"/>
                  <w:noWrap w:val="0"/>
                  <w:vAlign w:val="center"/>
                </w:tcPr>
                <w:p w14:paraId="47CAE98D">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2160D0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2FF8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978" w:type="dxa"/>
                  <w:noWrap w:val="0"/>
                  <w:vAlign w:val="center"/>
                </w:tcPr>
                <w:p w14:paraId="232AAA41">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2442" w:type="dxa"/>
                  <w:noWrap w:val="0"/>
                  <w:vAlign w:val="center"/>
                </w:tcPr>
                <w:p w14:paraId="554F9874">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中厚钢板</w:t>
                  </w:r>
                </w:p>
              </w:tc>
              <w:tc>
                <w:tcPr>
                  <w:tcW w:w="1538" w:type="dxa"/>
                  <w:noWrap w:val="0"/>
                  <w:vAlign w:val="center"/>
                </w:tcPr>
                <w:p w14:paraId="12A6F80B">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300 </w:t>
                  </w:r>
                </w:p>
              </w:tc>
              <w:tc>
                <w:tcPr>
                  <w:tcW w:w="1940" w:type="dxa"/>
                  <w:noWrap w:val="0"/>
                  <w:vAlign w:val="center"/>
                </w:tcPr>
                <w:p w14:paraId="745E061D">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7FEC42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3714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center"/>
                </w:tcPr>
                <w:p w14:paraId="1D6F844F">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442" w:type="dxa"/>
                  <w:noWrap w:val="0"/>
                  <w:vAlign w:val="center"/>
                </w:tcPr>
                <w:p w14:paraId="527E2422">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冷轧薄板</w:t>
                  </w:r>
                </w:p>
              </w:tc>
              <w:tc>
                <w:tcPr>
                  <w:tcW w:w="1538" w:type="dxa"/>
                  <w:noWrap w:val="0"/>
                  <w:vAlign w:val="center"/>
                </w:tcPr>
                <w:p w14:paraId="0BFACC0D">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300 </w:t>
                  </w:r>
                </w:p>
              </w:tc>
              <w:tc>
                <w:tcPr>
                  <w:tcW w:w="1940" w:type="dxa"/>
                  <w:noWrap w:val="0"/>
                  <w:vAlign w:val="center"/>
                </w:tcPr>
                <w:p w14:paraId="17BE9B57">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4347C3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086A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center"/>
                </w:tcPr>
                <w:p w14:paraId="2D5A6854">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2442" w:type="dxa"/>
                  <w:noWrap w:val="0"/>
                  <w:vAlign w:val="center"/>
                </w:tcPr>
                <w:p w14:paraId="73E9F7A1">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油漆</w:t>
                  </w:r>
                </w:p>
              </w:tc>
              <w:tc>
                <w:tcPr>
                  <w:tcW w:w="1538" w:type="dxa"/>
                  <w:noWrap w:val="0"/>
                  <w:vAlign w:val="center"/>
                </w:tcPr>
                <w:p w14:paraId="73E5736B">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5.5</w:t>
                  </w:r>
                </w:p>
              </w:tc>
              <w:tc>
                <w:tcPr>
                  <w:tcW w:w="1940" w:type="dxa"/>
                  <w:noWrap w:val="0"/>
                  <w:vAlign w:val="center"/>
                </w:tcPr>
                <w:p w14:paraId="166A3866">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746ED9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270C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1D909AC4">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2442" w:type="dxa"/>
                  <w:noWrap w:val="0"/>
                  <w:vAlign w:val="center"/>
                </w:tcPr>
                <w:p w14:paraId="09CCD0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水性漆</w:t>
                  </w:r>
                </w:p>
              </w:tc>
              <w:tc>
                <w:tcPr>
                  <w:tcW w:w="1538" w:type="dxa"/>
                  <w:noWrap w:val="0"/>
                  <w:vAlign w:val="center"/>
                </w:tcPr>
                <w:p w14:paraId="359505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940" w:type="dxa"/>
                  <w:noWrap w:val="0"/>
                  <w:vAlign w:val="center"/>
                </w:tcPr>
                <w:p w14:paraId="50301B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23AE4A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13D3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4EA61203">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442" w:type="dxa"/>
                  <w:noWrap w:val="0"/>
                  <w:vAlign w:val="center"/>
                </w:tcPr>
                <w:p w14:paraId="1713054A">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液化气</w:t>
                  </w:r>
                </w:p>
              </w:tc>
              <w:tc>
                <w:tcPr>
                  <w:tcW w:w="1538" w:type="dxa"/>
                  <w:noWrap w:val="0"/>
                  <w:vAlign w:val="center"/>
                </w:tcPr>
                <w:p w14:paraId="3177D538">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50 </w:t>
                  </w:r>
                </w:p>
              </w:tc>
              <w:tc>
                <w:tcPr>
                  <w:tcW w:w="1940" w:type="dxa"/>
                  <w:noWrap w:val="0"/>
                  <w:vAlign w:val="center"/>
                </w:tcPr>
                <w:p w14:paraId="2D2CA73B">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12kg/瓶</w:t>
                  </w:r>
                </w:p>
              </w:tc>
              <w:tc>
                <w:tcPr>
                  <w:tcW w:w="1940" w:type="dxa"/>
                  <w:noWrap w:val="0"/>
                  <w:vAlign w:val="center"/>
                </w:tcPr>
                <w:p w14:paraId="77227D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外购（最大储存量50瓶）</w:t>
                  </w:r>
                </w:p>
              </w:tc>
            </w:tr>
            <w:tr w14:paraId="38BB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5A51472D">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2442" w:type="dxa"/>
                  <w:noWrap w:val="0"/>
                  <w:vAlign w:val="center"/>
                </w:tcPr>
                <w:p w14:paraId="2F8344E4">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氧气</w:t>
                  </w:r>
                </w:p>
              </w:tc>
              <w:tc>
                <w:tcPr>
                  <w:tcW w:w="1538" w:type="dxa"/>
                  <w:noWrap w:val="0"/>
                  <w:vAlign w:val="center"/>
                </w:tcPr>
                <w:p w14:paraId="4AC5C88D">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1000 </w:t>
                  </w:r>
                </w:p>
              </w:tc>
              <w:tc>
                <w:tcPr>
                  <w:tcW w:w="1940" w:type="dxa"/>
                  <w:noWrap w:val="0"/>
                  <w:vAlign w:val="center"/>
                </w:tcPr>
                <w:p w14:paraId="0DF09F58">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40L/瓶</w:t>
                  </w:r>
                </w:p>
              </w:tc>
              <w:tc>
                <w:tcPr>
                  <w:tcW w:w="1940" w:type="dxa"/>
                  <w:noWrap w:val="0"/>
                  <w:vAlign w:val="center"/>
                </w:tcPr>
                <w:p w14:paraId="346C5A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外购（最大储存量50瓶</w:t>
                  </w:r>
                </w:p>
              </w:tc>
            </w:tr>
            <w:tr w14:paraId="1D35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750DB125">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2442" w:type="dxa"/>
                  <w:noWrap w:val="0"/>
                  <w:vAlign w:val="center"/>
                </w:tcPr>
                <w:p w14:paraId="25F315BC">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二氧化碳</w:t>
                  </w:r>
                </w:p>
              </w:tc>
              <w:tc>
                <w:tcPr>
                  <w:tcW w:w="1538" w:type="dxa"/>
                  <w:noWrap w:val="0"/>
                  <w:vAlign w:val="center"/>
                </w:tcPr>
                <w:p w14:paraId="60CD5B92">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600 </w:t>
                  </w:r>
                </w:p>
              </w:tc>
              <w:tc>
                <w:tcPr>
                  <w:tcW w:w="1940" w:type="dxa"/>
                  <w:noWrap w:val="0"/>
                  <w:vAlign w:val="center"/>
                </w:tcPr>
                <w:p w14:paraId="72BDEDC5">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40L/瓶</w:t>
                  </w:r>
                </w:p>
              </w:tc>
              <w:tc>
                <w:tcPr>
                  <w:tcW w:w="1940" w:type="dxa"/>
                  <w:noWrap w:val="0"/>
                  <w:vAlign w:val="center"/>
                </w:tcPr>
                <w:p w14:paraId="3B6517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外购（最大储存量50瓶</w:t>
                  </w:r>
                </w:p>
              </w:tc>
            </w:tr>
            <w:tr w14:paraId="520D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18DBB004">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w:t>
                  </w:r>
                </w:p>
              </w:tc>
              <w:tc>
                <w:tcPr>
                  <w:tcW w:w="2442" w:type="dxa"/>
                  <w:noWrap w:val="0"/>
                  <w:vAlign w:val="center"/>
                </w:tcPr>
                <w:p w14:paraId="127FD3FA">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乙炔</w:t>
                  </w:r>
                </w:p>
              </w:tc>
              <w:tc>
                <w:tcPr>
                  <w:tcW w:w="1538" w:type="dxa"/>
                  <w:noWrap w:val="0"/>
                  <w:vAlign w:val="center"/>
                </w:tcPr>
                <w:p w14:paraId="1254D7C6">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300 </w:t>
                  </w:r>
                </w:p>
              </w:tc>
              <w:tc>
                <w:tcPr>
                  <w:tcW w:w="1940" w:type="dxa"/>
                  <w:noWrap w:val="0"/>
                  <w:vAlign w:val="center"/>
                </w:tcPr>
                <w:p w14:paraId="6AC36830">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40L/瓶</w:t>
                  </w:r>
                </w:p>
              </w:tc>
              <w:tc>
                <w:tcPr>
                  <w:tcW w:w="1940" w:type="dxa"/>
                  <w:noWrap w:val="0"/>
                  <w:vAlign w:val="center"/>
                </w:tcPr>
                <w:p w14:paraId="4D07B8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外购（最大储存量50瓶</w:t>
                  </w:r>
                </w:p>
              </w:tc>
            </w:tr>
            <w:tr w14:paraId="3C86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618CF76D">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p>
              </w:tc>
              <w:tc>
                <w:tcPr>
                  <w:tcW w:w="2442" w:type="dxa"/>
                  <w:noWrap w:val="0"/>
                  <w:vAlign w:val="center"/>
                </w:tcPr>
                <w:p w14:paraId="621F7CF9">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水</w:t>
                  </w:r>
                </w:p>
              </w:tc>
              <w:tc>
                <w:tcPr>
                  <w:tcW w:w="1538" w:type="dxa"/>
                  <w:noWrap w:val="0"/>
                  <w:vAlign w:val="center"/>
                </w:tcPr>
                <w:p w14:paraId="2F7A6F34">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cs="Times New Roman"/>
                      <w:i w:val="0"/>
                      <w:iCs w:val="0"/>
                      <w:color w:val="auto"/>
                      <w:kern w:val="0"/>
                      <w:sz w:val="21"/>
                      <w:szCs w:val="21"/>
                      <w:highlight w:val="none"/>
                      <w:u w:val="none"/>
                      <w:lang w:val="en-US" w:eastAsia="zh-CN" w:bidi="ar"/>
                    </w:rPr>
                    <w:t>700</w:t>
                  </w:r>
                </w:p>
              </w:tc>
              <w:tc>
                <w:tcPr>
                  <w:tcW w:w="1940" w:type="dxa"/>
                  <w:noWrap w:val="0"/>
                  <w:vAlign w:val="center"/>
                </w:tcPr>
                <w:p w14:paraId="6A997A8A">
                  <w:pPr>
                    <w:keepNext w:val="0"/>
                    <w:keepLines w:val="0"/>
                    <w:widowControl/>
                    <w:suppressLineNumbers w:val="0"/>
                    <w:ind w:firstLine="840" w:firstLineChars="400"/>
                    <w:jc w:val="left"/>
                    <w:textAlignment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m³</w:t>
                  </w:r>
                </w:p>
              </w:tc>
              <w:tc>
                <w:tcPr>
                  <w:tcW w:w="1940" w:type="dxa"/>
                  <w:noWrap w:val="0"/>
                  <w:vAlign w:val="center"/>
                </w:tcPr>
                <w:p w14:paraId="34508D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园区供给</w:t>
                  </w:r>
                </w:p>
              </w:tc>
            </w:tr>
            <w:tr w14:paraId="3244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24F2ACD9">
                  <w:pPr>
                    <w:adjustRightInd w:val="0"/>
                    <w:snapToGrid w:val="0"/>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w:t>
                  </w:r>
                </w:p>
              </w:tc>
              <w:tc>
                <w:tcPr>
                  <w:tcW w:w="2442" w:type="dxa"/>
                  <w:noWrap w:val="0"/>
                  <w:vAlign w:val="center"/>
                </w:tcPr>
                <w:p w14:paraId="2CBF57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1538" w:type="dxa"/>
                  <w:noWrap w:val="0"/>
                  <w:vAlign w:val="center"/>
                </w:tcPr>
                <w:p w14:paraId="2E9923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w:t>
                  </w:r>
                  <w:r>
                    <w:rPr>
                      <w:rFonts w:hint="default" w:ascii="Times New Roman" w:hAnsi="Times New Roman" w:cs="Times New Roman"/>
                      <w:i w:val="0"/>
                      <w:iCs w:val="0"/>
                      <w:color w:val="auto"/>
                      <w:kern w:val="0"/>
                      <w:sz w:val="21"/>
                      <w:szCs w:val="21"/>
                      <w:highlight w:val="none"/>
                      <w:u w:val="none"/>
                      <w:lang w:val="en-US" w:eastAsia="zh-CN" w:bidi="ar"/>
                    </w:rPr>
                    <w:t>0000</w:t>
                  </w:r>
                </w:p>
              </w:tc>
              <w:tc>
                <w:tcPr>
                  <w:tcW w:w="1940" w:type="dxa"/>
                  <w:noWrap w:val="0"/>
                  <w:vAlign w:val="center"/>
                </w:tcPr>
                <w:p w14:paraId="52C9EB94">
                  <w:pPr>
                    <w:keepNext w:val="0"/>
                    <w:keepLines w:val="0"/>
                    <w:widowControl/>
                    <w:suppressLineNumbers w:val="0"/>
                    <w:ind w:firstLine="840" w:firstLineChars="4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m³</w:t>
                  </w:r>
                </w:p>
              </w:tc>
              <w:tc>
                <w:tcPr>
                  <w:tcW w:w="1940" w:type="dxa"/>
                  <w:noWrap w:val="0"/>
                  <w:vAlign w:val="center"/>
                </w:tcPr>
                <w:p w14:paraId="5F780B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园区供给</w:t>
                  </w:r>
                </w:p>
              </w:tc>
            </w:tr>
            <w:tr w14:paraId="67B0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63ED7293">
                  <w:pPr>
                    <w:adjustRightInd w:val="0"/>
                    <w:snapToGrid w:val="0"/>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14</w:t>
                  </w:r>
                </w:p>
              </w:tc>
              <w:tc>
                <w:tcPr>
                  <w:tcW w:w="2442" w:type="dxa"/>
                  <w:noWrap w:val="0"/>
                  <w:vAlign w:val="center"/>
                </w:tcPr>
                <w:p w14:paraId="5EE704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塑粉</w:t>
                  </w:r>
                </w:p>
              </w:tc>
              <w:tc>
                <w:tcPr>
                  <w:tcW w:w="1538" w:type="dxa"/>
                  <w:noWrap w:val="0"/>
                  <w:vAlign w:val="center"/>
                </w:tcPr>
                <w:p w14:paraId="33D0A606">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20</w:t>
                  </w:r>
                </w:p>
              </w:tc>
              <w:tc>
                <w:tcPr>
                  <w:tcW w:w="1940" w:type="dxa"/>
                  <w:noWrap w:val="0"/>
                  <w:vAlign w:val="center"/>
                </w:tcPr>
                <w:p w14:paraId="052DBB7E">
                  <w:pPr>
                    <w:keepNext w:val="0"/>
                    <w:keepLines w:val="0"/>
                    <w:widowControl/>
                    <w:suppressLineNumbers w:val="0"/>
                    <w:ind w:firstLine="840" w:firstLineChars="4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37CE9614">
                  <w:pPr>
                    <w:keepNext w:val="0"/>
                    <w:keepLines w:val="0"/>
                    <w:widowControl/>
                    <w:suppressLineNumbers w:val="0"/>
                    <w:ind w:firstLine="840" w:firstLineChars="4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r w14:paraId="206D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78" w:type="dxa"/>
                  <w:noWrap w:val="0"/>
                  <w:vAlign w:val="top"/>
                </w:tcPr>
                <w:p w14:paraId="3D34D5C9">
                  <w:pPr>
                    <w:adjustRightInd w:val="0"/>
                    <w:snapToGrid w:val="0"/>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2442" w:type="dxa"/>
                  <w:noWrap w:val="0"/>
                  <w:vAlign w:val="center"/>
                </w:tcPr>
                <w:p w14:paraId="16AC2B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药芯焊丝</w:t>
                  </w:r>
                </w:p>
              </w:tc>
              <w:tc>
                <w:tcPr>
                  <w:tcW w:w="1538" w:type="dxa"/>
                  <w:noWrap w:val="0"/>
                  <w:vAlign w:val="center"/>
                </w:tcPr>
                <w:p w14:paraId="11600687">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10</w:t>
                  </w:r>
                </w:p>
              </w:tc>
              <w:tc>
                <w:tcPr>
                  <w:tcW w:w="1940" w:type="dxa"/>
                  <w:noWrap w:val="0"/>
                  <w:vAlign w:val="center"/>
                </w:tcPr>
                <w:p w14:paraId="4BD4D78F">
                  <w:pPr>
                    <w:keepNext w:val="0"/>
                    <w:keepLines w:val="0"/>
                    <w:widowControl/>
                    <w:suppressLineNumbers w:val="0"/>
                    <w:ind w:firstLine="840" w:firstLineChars="4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t/a</w:t>
                  </w:r>
                </w:p>
              </w:tc>
              <w:tc>
                <w:tcPr>
                  <w:tcW w:w="1940" w:type="dxa"/>
                  <w:noWrap w:val="0"/>
                  <w:vAlign w:val="center"/>
                </w:tcPr>
                <w:p w14:paraId="047AFD25">
                  <w:pPr>
                    <w:keepNext w:val="0"/>
                    <w:keepLines w:val="0"/>
                    <w:widowControl/>
                    <w:suppressLineNumbers w:val="0"/>
                    <w:ind w:firstLine="840" w:firstLineChars="40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外购</w:t>
                  </w:r>
                </w:p>
              </w:tc>
            </w:tr>
          </w:tbl>
          <w:p w14:paraId="31ABD29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lang w:val="en-US" w:eastAsia="zh-CN"/>
              </w:rPr>
            </w:pPr>
            <w:r>
              <w:rPr>
                <w:rFonts w:hint="default" w:ascii="Times New Roman" w:hAnsi="Times New Roman" w:cs="Times New Roman" w:eastAsiaTheme="minorEastAsia"/>
                <w:b/>
                <w:color w:val="auto"/>
                <w:sz w:val="21"/>
                <w:szCs w:val="21"/>
                <w:highlight w:val="none"/>
              </w:rPr>
              <w:t>表</w:t>
            </w:r>
            <w:r>
              <w:rPr>
                <w:rFonts w:hint="default" w:ascii="Times New Roman" w:hAnsi="Times New Roman" w:cs="Times New Roman" w:eastAsiaTheme="minorEastAsia"/>
                <w:b/>
                <w:color w:val="auto"/>
                <w:sz w:val="21"/>
                <w:szCs w:val="21"/>
                <w:highlight w:val="none"/>
                <w:lang w:val="en-US" w:eastAsia="zh-CN"/>
              </w:rPr>
              <w:t>2-4</w:t>
            </w:r>
            <w:r>
              <w:rPr>
                <w:rFonts w:hint="default" w:ascii="Times New Roman" w:hAnsi="Times New Roman" w:cs="Times New Roman" w:eastAsiaTheme="minorEastAsia"/>
                <w:b/>
                <w:color w:val="auto"/>
                <w:sz w:val="21"/>
                <w:szCs w:val="21"/>
                <w:highlight w:val="none"/>
              </w:rPr>
              <w:t xml:space="preserve"> 原辅材料</w:t>
            </w:r>
            <w:r>
              <w:rPr>
                <w:rFonts w:hint="default" w:ascii="Times New Roman" w:hAnsi="Times New Roman" w:cs="Times New Roman" w:eastAsiaTheme="minorEastAsia"/>
                <w:b/>
                <w:color w:val="auto"/>
                <w:sz w:val="21"/>
                <w:szCs w:val="21"/>
                <w:highlight w:val="none"/>
                <w:lang w:val="en-US" w:eastAsia="zh-CN"/>
              </w:rPr>
              <w:t>理化性质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722"/>
              <w:gridCol w:w="7118"/>
            </w:tblGrid>
            <w:tr w14:paraId="04C5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74" w:type="pct"/>
                  <w:tcBorders>
                    <w:tl2br w:val="nil"/>
                    <w:tr2bl w:val="nil"/>
                  </w:tcBorders>
                  <w:noWrap w:val="0"/>
                  <w:vAlign w:val="center"/>
                </w:tcPr>
                <w:p w14:paraId="00CF23C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outlineLvl w:val="9"/>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原辅料名称</w:t>
                  </w:r>
                </w:p>
              </w:tc>
              <w:tc>
                <w:tcPr>
                  <w:tcW w:w="4025" w:type="pct"/>
                  <w:tcBorders>
                    <w:tl2br w:val="nil"/>
                    <w:tr2bl w:val="nil"/>
                  </w:tcBorders>
                  <w:noWrap w:val="0"/>
                  <w:vAlign w:val="center"/>
                </w:tcPr>
                <w:p w14:paraId="14A904F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outlineLvl w:val="9"/>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理化性质</w:t>
                  </w:r>
                </w:p>
              </w:tc>
            </w:tr>
            <w:tr w14:paraId="4DC6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74" w:type="pct"/>
                  <w:tcBorders>
                    <w:tl2br w:val="nil"/>
                    <w:tr2bl w:val="nil"/>
                  </w:tcBorders>
                  <w:noWrap w:val="0"/>
                  <w:vAlign w:val="center"/>
                </w:tcPr>
                <w:p w14:paraId="763FB72C">
                  <w:pPr>
                    <w:keepNext w:val="0"/>
                    <w:keepLines w:val="0"/>
                    <w:pageBreakBefore w:val="0"/>
                    <w:widowControl w:val="0"/>
                    <w:wordWrap/>
                    <w:topLinePunct w:val="0"/>
                    <w:bidi w:val="0"/>
                    <w:adjustRightInd w:val="0"/>
                    <w:snapToGrid w:val="0"/>
                    <w:spacing w:line="240" w:lineRule="auto"/>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水性漆</w:t>
                  </w:r>
                </w:p>
              </w:tc>
              <w:tc>
                <w:tcPr>
                  <w:tcW w:w="4025" w:type="pct"/>
                  <w:tcBorders>
                    <w:tl2br w:val="nil"/>
                    <w:tr2bl w:val="nil"/>
                  </w:tcBorders>
                  <w:noWrap w:val="0"/>
                  <w:vAlign w:val="center"/>
                </w:tcPr>
                <w:p w14:paraId="42F16B5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outlineLvl w:val="9"/>
                    <w:rPr>
                      <w:rFonts w:hint="default" w:ascii="Times New Roman" w:hAnsi="Times New Roman" w:eastAsia="宋体" w:cs="Times New Roman"/>
                      <w:i w:val="0"/>
                      <w:iCs w:val="0"/>
                      <w:caps w:val="0"/>
                      <w:color w:val="auto"/>
                      <w:spacing w:val="0"/>
                      <w:sz w:val="21"/>
                      <w:szCs w:val="21"/>
                      <w:highlight w:val="none"/>
                      <w:shd w:val="clear" w:fill="FFFFFF"/>
                      <w:lang w:val="en-US" w:eastAsia="zh-CN"/>
                    </w:rPr>
                  </w:pPr>
                  <w:r>
                    <w:rPr>
                      <w:rFonts w:hint="default" w:ascii="Times New Roman" w:hAnsi="Times New Roman" w:cs="Times New Roman"/>
                      <w:snapToGrid w:val="0"/>
                      <w:color w:val="auto"/>
                      <w:kern w:val="0"/>
                      <w:sz w:val="21"/>
                      <w:szCs w:val="21"/>
                      <w:highlight w:val="none"/>
                    </w:rPr>
                    <w:t>以水作为稀释剂的漆，无毒，不燃烧，属新一代水性漆。不含苯、甲苯等致癌物质和有害重金属</w:t>
                  </w:r>
                  <w:r>
                    <w:rPr>
                      <w:rFonts w:hint="eastAsia" w:ascii="Times New Roman" w:hAnsi="Times New Roman" w:eastAsia="宋体" w:cs="Times New Roman"/>
                      <w:snapToGrid w:val="0"/>
                      <w:color w:val="auto"/>
                      <w:kern w:val="0"/>
                      <w:sz w:val="21"/>
                      <w:szCs w:val="21"/>
                      <w:highlight w:val="none"/>
                      <w:lang w:eastAsia="zh-CN"/>
                    </w:rPr>
                    <w:t>，</w:t>
                  </w:r>
                  <w:r>
                    <w:rPr>
                      <w:rFonts w:hint="eastAsia" w:ascii="Times New Roman" w:hAnsi="Times New Roman" w:eastAsia="宋体" w:cs="Times New Roman"/>
                      <w:snapToGrid w:val="0"/>
                      <w:color w:val="auto"/>
                      <w:kern w:val="0"/>
                      <w:sz w:val="21"/>
                      <w:szCs w:val="21"/>
                      <w:highlight w:val="none"/>
                      <w:lang w:val="en-US" w:eastAsia="zh-CN"/>
                    </w:rPr>
                    <w:t>挥发性有机物的含量为2g/L</w:t>
                  </w:r>
                  <w:r>
                    <w:rPr>
                      <w:rFonts w:hint="default" w:ascii="Times New Roman" w:hAnsi="Times New Roman" w:cs="Times New Roman"/>
                      <w:snapToGrid w:val="0"/>
                      <w:color w:val="auto"/>
                      <w:kern w:val="0"/>
                      <w:sz w:val="21"/>
                      <w:szCs w:val="21"/>
                      <w:highlight w:val="none"/>
                    </w:rPr>
                    <w:t>。硬度高，漆膜丰满坚韧，手感光滑细腻，抗老化性能好。高级水性透明漆及色漆，色彩丰富，漆膜丰满，光泽持久。坚实耐水、耐磨、耐擦洗、不黄变、遮盖力好、抗老化性能好。</w:t>
                  </w:r>
                </w:p>
              </w:tc>
            </w:tr>
            <w:tr w14:paraId="7EF1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74" w:type="pct"/>
                  <w:tcBorders>
                    <w:tl2br w:val="nil"/>
                    <w:tr2bl w:val="nil"/>
                  </w:tcBorders>
                  <w:noWrap w:val="0"/>
                  <w:vAlign w:val="center"/>
                </w:tcPr>
                <w:p w14:paraId="649B5ADB">
                  <w:pPr>
                    <w:keepNext w:val="0"/>
                    <w:keepLines w:val="0"/>
                    <w:pageBreakBefore w:val="0"/>
                    <w:widowControl w:val="0"/>
                    <w:wordWrap/>
                    <w:topLinePunct w:val="0"/>
                    <w:bidi w:val="0"/>
                    <w:adjustRightInd w:val="0"/>
                    <w:snapToGrid w:val="0"/>
                    <w:spacing w:line="240" w:lineRule="auto"/>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塑粉</w:t>
                  </w:r>
                </w:p>
              </w:tc>
              <w:tc>
                <w:tcPr>
                  <w:tcW w:w="4025" w:type="pct"/>
                  <w:tcBorders>
                    <w:tl2br w:val="nil"/>
                    <w:tr2bl w:val="nil"/>
                  </w:tcBorders>
                  <w:noWrap w:val="0"/>
                  <w:vAlign w:val="center"/>
                </w:tcPr>
                <w:p w14:paraId="48FAD68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outlineLvl w:val="9"/>
                    <w:rPr>
                      <w:rFonts w:hint="default" w:ascii="Times New Roman" w:hAnsi="Times New Roman" w:eastAsia="宋体" w:cs="Times New Roman"/>
                      <w:i w:val="0"/>
                      <w:iCs w:val="0"/>
                      <w:caps w:val="0"/>
                      <w:color w:val="auto"/>
                      <w:spacing w:val="0"/>
                      <w:sz w:val="21"/>
                      <w:szCs w:val="21"/>
                      <w:highlight w:val="none"/>
                      <w:shd w:val="clear" w:fill="FFFFFF"/>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主要成分为环氧树脂粉末，为粉末状固体、无毒、易燃。环氧值（当量/100g）0.09～0.14；环氧当量（g/当量）714～1111；分子量2000；色泽（HGB）≤3；软化点85～95℃；无机氯（当量/100g）≤0.0007；有机氯（当量/100g）≤0.003；挥发份%≤1；D50（um）3-5um             </w:t>
                  </w:r>
                </w:p>
              </w:tc>
            </w:tr>
            <w:tr w14:paraId="2949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74" w:type="pct"/>
                  <w:tcBorders>
                    <w:tl2br w:val="nil"/>
                    <w:tr2bl w:val="nil"/>
                  </w:tcBorders>
                  <w:noWrap w:val="0"/>
                  <w:vAlign w:val="center"/>
                </w:tcPr>
                <w:p w14:paraId="6148547D">
                  <w:pPr>
                    <w:keepNext w:val="0"/>
                    <w:keepLines w:val="0"/>
                    <w:pageBreakBefore w:val="0"/>
                    <w:widowControl w:val="0"/>
                    <w:wordWrap/>
                    <w:topLinePunct w:val="0"/>
                    <w:bidi w:val="0"/>
                    <w:adjustRightInd w:val="0"/>
                    <w:snapToGrid w:val="0"/>
                    <w:spacing w:line="240" w:lineRule="auto"/>
                    <w:ind w:left="0" w:leftChars="0" w:right="0" w:rightChars="0"/>
                    <w:jc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bCs/>
                      <w:color w:val="auto"/>
                      <w:kern w:val="0"/>
                      <w:sz w:val="21"/>
                      <w:szCs w:val="21"/>
                      <w:highlight w:val="none"/>
                      <w:shd w:val="clear" w:color="auto" w:fill="auto"/>
                      <w:lang w:val="en-US" w:eastAsia="zh-CN"/>
                    </w:rPr>
                    <w:t>油漆</w:t>
                  </w:r>
                </w:p>
              </w:tc>
              <w:tc>
                <w:tcPr>
                  <w:tcW w:w="4025" w:type="pct"/>
                  <w:tcBorders>
                    <w:tl2br w:val="nil"/>
                    <w:tr2bl w:val="nil"/>
                  </w:tcBorders>
                  <w:noWrap w:val="0"/>
                  <w:vAlign w:val="center"/>
                </w:tcPr>
                <w:p w14:paraId="08394F1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outlineLvl w:val="9"/>
                    <w:rPr>
                      <w:rFonts w:hint="default" w:ascii="Times New Roman" w:hAnsi="Times New Roman" w:eastAsia="宋体" w:cs="Times New Roman"/>
                      <w:i w:val="0"/>
                      <w:iCs w:val="0"/>
                      <w:caps w:val="0"/>
                      <w:color w:val="auto"/>
                      <w:spacing w:val="0"/>
                      <w:sz w:val="21"/>
                      <w:szCs w:val="21"/>
                      <w:highlight w:val="none"/>
                      <w:shd w:val="clear"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主要为环氧树脂漆，</w:t>
                  </w:r>
                  <w:r>
                    <w:rPr>
                      <w:rFonts w:hint="default" w:ascii="Times New Roman" w:hAnsi="Times New Roman" w:cs="Times New Roman"/>
                      <w:b w:val="0"/>
                      <w:bCs w:val="0"/>
                      <w:color w:val="auto"/>
                      <w:highlight w:val="none"/>
                    </w:rPr>
                    <w:t>环氧树脂漆主要成分</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color w:val="auto"/>
                      <w:highlight w:val="none"/>
                    </w:rPr>
                    <w:t>环氧树脂，</w:t>
                  </w:r>
                  <w:r>
                    <w:rPr>
                      <w:rFonts w:hint="default" w:ascii="Times New Roman" w:hAnsi="Times New Roman" w:cs="Times New Roman"/>
                      <w:color w:val="auto"/>
                      <w:highlight w:val="none"/>
                      <w:lang w:val="en-US" w:eastAsia="zh-CN"/>
                    </w:rPr>
                    <w:t>占比为</w:t>
                  </w:r>
                  <w:r>
                    <w:rPr>
                      <w:rFonts w:hint="eastAsia" w:ascii="Times New Roman" w:hAnsi="Times New Roman" w:cs="Times New Roman"/>
                      <w:color w:val="auto"/>
                      <w:highlight w:val="none"/>
                      <w:lang w:val="en-US" w:eastAsia="zh-CN"/>
                    </w:rPr>
                    <w:t>9</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主要溶剂组分二甲苯</w:t>
                  </w:r>
                  <w:r>
                    <w:rPr>
                      <w:rFonts w:hint="eastAsia" w:ascii="Times New Roman" w:hAnsi="Times New Roman" w:eastAsia="宋体" w:cs="Times New Roman"/>
                      <w:color w:val="auto"/>
                      <w:highlight w:val="none"/>
                      <w:lang w:val="en-US" w:eastAsia="zh-CN"/>
                    </w:rPr>
                    <w:t>含量10%</w:t>
                  </w:r>
                  <w:r>
                    <w:rPr>
                      <w:rFonts w:hint="default" w:ascii="Times New Roman" w:hAnsi="Times New Roman" w:cs="Times New Roman"/>
                      <w:color w:val="auto"/>
                      <w:highlight w:val="none"/>
                      <w:lang w:val="en-US" w:eastAsia="zh-CN"/>
                    </w:rPr>
                    <w:t>，密度通常在1.0–1.</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lang w:val="en-US" w:eastAsia="zh-CN"/>
                    </w:rPr>
                    <w:t>g/cm³ 之间，耐腐蚀性因树脂类型而异：环氧漆耐酸碱可通过刷涂、喷涂、滚涂等多种方式施工，漆膜流平性好，不易出现刷痕。全部挥发。</w:t>
                  </w:r>
                </w:p>
              </w:tc>
            </w:tr>
          </w:tbl>
          <w:p w14:paraId="5529A347">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kern w:val="0"/>
                <w:sz w:val="24"/>
                <w:szCs w:val="24"/>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rPr>
              <w:t>主要化学组分表详见表2-5，环氧树脂漆主要理化性质见表2-6。</w:t>
            </w:r>
          </w:p>
          <w:p w14:paraId="37204341">
            <w:pPr>
              <w:pStyle w:val="17"/>
              <w:keepNext w:val="0"/>
              <w:keepLines w:val="0"/>
              <w:pageBreakBefore w:val="0"/>
              <w:widowControl w:val="0"/>
              <w:kinsoku w:val="0"/>
              <w:wordWrap/>
              <w:overflowPunct/>
              <w:topLinePunct w:val="0"/>
              <w:autoSpaceDE w:val="0"/>
              <w:autoSpaceDN w:val="0"/>
              <w:bidi w:val="0"/>
              <w:adjustRightInd w:val="0"/>
              <w:snapToGrid w:val="0"/>
              <w:spacing w:line="240" w:lineRule="auto"/>
              <w:ind w:firstLine="0"/>
              <w:textAlignment w:val="baseline"/>
              <w:rPr>
                <w:rFonts w:hint="default" w:ascii="Times New Roman" w:hAnsi="Times New Roman" w:cs="Times New Roman"/>
                <w:color w:val="auto"/>
                <w:highlight w:val="none"/>
                <w:lang w:val="en-US" w:eastAsia="zh-CN"/>
              </w:rPr>
            </w:pPr>
            <w:r>
              <w:rPr>
                <w:rStyle w:val="72"/>
                <w:rFonts w:hint="default" w:ascii="Times New Roman" w:hAnsi="Times New Roman" w:eastAsia="宋体" w:cs="Times New Roman"/>
                <w:b/>
                <w:color w:val="auto"/>
                <w:highlight w:val="none"/>
              </w:rPr>
              <w:t>表2-5 项目使用</w:t>
            </w:r>
            <w:r>
              <w:rPr>
                <w:rStyle w:val="72"/>
                <w:rFonts w:hint="default" w:ascii="Times New Roman" w:hAnsi="Times New Roman" w:eastAsia="宋体" w:cs="Times New Roman"/>
                <w:b/>
                <w:color w:val="auto"/>
                <w:highlight w:val="none"/>
                <w:lang w:val="en-US" w:eastAsia="zh-CN"/>
              </w:rPr>
              <w:t>油</w:t>
            </w:r>
            <w:r>
              <w:rPr>
                <w:rStyle w:val="72"/>
                <w:rFonts w:hint="default" w:ascii="Times New Roman" w:hAnsi="Times New Roman" w:eastAsia="宋体" w:cs="Times New Roman"/>
                <w:b/>
                <w:color w:val="auto"/>
                <w:highlight w:val="none"/>
              </w:rPr>
              <w:t>漆主要化学组分表</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11"/>
              <w:gridCol w:w="1660"/>
              <w:gridCol w:w="2160"/>
              <w:gridCol w:w="2007"/>
            </w:tblGrid>
            <w:tr w14:paraId="4243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703" w:type="pct"/>
                  <w:vMerge w:val="restart"/>
                  <w:noWrap w:val="0"/>
                  <w:vAlign w:val="center"/>
                </w:tcPr>
                <w:p w14:paraId="41661E20">
                  <w:pPr>
                    <w:pStyle w:val="71"/>
                    <w:bidi w:val="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val="en-US" w:eastAsia="zh-CN"/>
                    </w:rPr>
                    <w:t>环氧树脂漆</w:t>
                  </w:r>
                </w:p>
              </w:tc>
              <w:tc>
                <w:tcPr>
                  <w:tcW w:w="3296" w:type="pct"/>
                  <w:gridSpan w:val="3"/>
                  <w:noWrap w:val="0"/>
                  <w:vAlign w:val="center"/>
                </w:tcPr>
                <w:p w14:paraId="15B7B9B0">
                  <w:pPr>
                    <w:pStyle w:val="71"/>
                    <w:bidi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油</w:t>
                  </w:r>
                  <w:r>
                    <w:rPr>
                      <w:rFonts w:hint="default" w:ascii="Times New Roman" w:hAnsi="Times New Roman" w:cs="Times New Roman"/>
                      <w:b/>
                      <w:bCs/>
                      <w:color w:val="auto"/>
                      <w:highlight w:val="none"/>
                    </w:rPr>
                    <w:t>漆主要化学组分</w:t>
                  </w:r>
                  <w:r>
                    <w:rPr>
                      <w:rFonts w:hint="default" w:ascii="Times New Roman" w:hAnsi="Times New Roman" w:cs="Times New Roman"/>
                      <w:b/>
                      <w:bCs/>
                      <w:color w:val="auto"/>
                      <w:highlight w:val="none"/>
                      <w:lang w:val="en-US" w:eastAsia="zh-CN"/>
                    </w:rPr>
                    <w:t>%</w:t>
                  </w:r>
                </w:p>
              </w:tc>
            </w:tr>
            <w:tr w14:paraId="4205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703" w:type="pct"/>
                  <w:vMerge w:val="continue"/>
                  <w:noWrap w:val="0"/>
                  <w:vAlign w:val="center"/>
                </w:tcPr>
                <w:p w14:paraId="477B21CB">
                  <w:pPr>
                    <w:pStyle w:val="71"/>
                    <w:bidi w:val="0"/>
                    <w:jc w:val="center"/>
                    <w:rPr>
                      <w:rFonts w:hint="default" w:ascii="Times New Roman" w:hAnsi="Times New Roman" w:cs="Times New Roman"/>
                      <w:b/>
                      <w:bCs/>
                      <w:color w:val="auto"/>
                      <w:highlight w:val="none"/>
                    </w:rPr>
                  </w:pPr>
                </w:p>
              </w:tc>
              <w:tc>
                <w:tcPr>
                  <w:tcW w:w="939" w:type="pct"/>
                  <w:noWrap w:val="0"/>
                  <w:vAlign w:val="top"/>
                </w:tcPr>
                <w:p w14:paraId="5E7C3B6B">
                  <w:pPr>
                    <w:pStyle w:val="71"/>
                    <w:bidi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二甲苯</w:t>
                  </w:r>
                </w:p>
              </w:tc>
              <w:tc>
                <w:tcPr>
                  <w:tcW w:w="1222" w:type="pct"/>
                  <w:noWrap w:val="0"/>
                  <w:vAlign w:val="top"/>
                </w:tcPr>
                <w:p w14:paraId="11CDA67A">
                  <w:pPr>
                    <w:pStyle w:val="71"/>
                    <w:bidi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环氧树脂</w:t>
                  </w:r>
                </w:p>
              </w:tc>
              <w:tc>
                <w:tcPr>
                  <w:tcW w:w="1134" w:type="pct"/>
                  <w:noWrap w:val="0"/>
                  <w:vAlign w:val="center"/>
                </w:tcPr>
                <w:p w14:paraId="4CCB412C">
                  <w:pPr>
                    <w:pStyle w:val="71"/>
                    <w:bidi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合计</w:t>
                  </w:r>
                </w:p>
              </w:tc>
            </w:tr>
            <w:tr w14:paraId="4765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703" w:type="pct"/>
                  <w:vMerge w:val="continue"/>
                  <w:noWrap w:val="0"/>
                  <w:vAlign w:val="center"/>
                </w:tcPr>
                <w:p w14:paraId="25B0D0AB">
                  <w:pPr>
                    <w:pStyle w:val="71"/>
                    <w:bidi w:val="0"/>
                    <w:jc w:val="center"/>
                    <w:rPr>
                      <w:rFonts w:hint="default" w:ascii="Times New Roman" w:hAnsi="Times New Roman" w:cs="Times New Roman"/>
                      <w:color w:val="auto"/>
                      <w:highlight w:val="none"/>
                    </w:rPr>
                  </w:pPr>
                </w:p>
              </w:tc>
              <w:tc>
                <w:tcPr>
                  <w:tcW w:w="939" w:type="pct"/>
                  <w:noWrap w:val="0"/>
                  <w:vAlign w:val="top"/>
                </w:tcPr>
                <w:p w14:paraId="5F452C2C">
                  <w:pPr>
                    <w:pStyle w:val="71"/>
                    <w:bidi w:val="0"/>
                    <w:jc w:val="center"/>
                    <w:rPr>
                      <w:rFonts w:hint="default" w:ascii="Times New Roman" w:hAnsi="Times New Roman" w:cs="Times New Roman"/>
                      <w:color w:val="auto"/>
                      <w:highlight w:val="none"/>
                      <w:lang w:val="en-US"/>
                    </w:rPr>
                  </w:pPr>
                  <w:r>
                    <w:rPr>
                      <w:rFonts w:hint="eastAsia" w:cs="Times New Roman"/>
                      <w:color w:val="auto"/>
                      <w:highlight w:val="none"/>
                      <w:lang w:val="en-US" w:eastAsia="zh-CN"/>
                    </w:rPr>
                    <w:t>10</w:t>
                  </w:r>
                </w:p>
              </w:tc>
              <w:tc>
                <w:tcPr>
                  <w:tcW w:w="1222" w:type="pct"/>
                  <w:noWrap w:val="0"/>
                  <w:vAlign w:val="top"/>
                </w:tcPr>
                <w:p w14:paraId="186AA7CE">
                  <w:pPr>
                    <w:pStyle w:val="71"/>
                    <w:bidi w:val="0"/>
                    <w:jc w:val="center"/>
                    <w:rPr>
                      <w:rFonts w:hint="default" w:ascii="Times New Roman" w:hAnsi="Times New Roman" w:cs="Times New Roman"/>
                      <w:color w:val="auto"/>
                      <w:highlight w:val="none"/>
                      <w:lang w:val="en-US"/>
                    </w:rPr>
                  </w:pPr>
                  <w:r>
                    <w:rPr>
                      <w:rFonts w:hint="eastAsia" w:cs="Times New Roman"/>
                      <w:color w:val="auto"/>
                      <w:highlight w:val="none"/>
                      <w:lang w:val="en-US" w:eastAsia="zh-CN"/>
                    </w:rPr>
                    <w:t>90</w:t>
                  </w:r>
                </w:p>
              </w:tc>
              <w:tc>
                <w:tcPr>
                  <w:tcW w:w="1134" w:type="pct"/>
                  <w:noWrap w:val="0"/>
                  <w:vAlign w:val="center"/>
                </w:tcPr>
                <w:p w14:paraId="53F67BCD">
                  <w:pPr>
                    <w:pStyle w:val="71"/>
                    <w:bidi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100</w:t>
                  </w:r>
                </w:p>
              </w:tc>
            </w:tr>
          </w:tbl>
          <w:p w14:paraId="0E0C0D04">
            <w:pPr>
              <w:pStyle w:val="7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w:t>
            </w:r>
            <w:r>
              <w:rPr>
                <w:rFonts w:hint="default" w:ascii="Times New Roman" w:hAnsi="Times New Roman" w:cs="Times New Roman"/>
                <w:color w:val="auto"/>
                <w:highlight w:val="none"/>
                <w:lang w:val="en-US" w:eastAsia="zh-CN"/>
              </w:rPr>
              <w:t xml:space="preserve">6 </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val="en-US" w:eastAsia="zh-CN"/>
              </w:rPr>
              <w:t>环氧树脂漆</w:t>
            </w:r>
            <w:r>
              <w:rPr>
                <w:rFonts w:hint="default" w:ascii="Times New Roman" w:hAnsi="Times New Roman" w:cs="Times New Roman"/>
                <w:color w:val="auto"/>
                <w:highlight w:val="none"/>
              </w:rPr>
              <w:t>主要理化性质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9"/>
            </w:tblGrid>
            <w:tr w14:paraId="2348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9" w:type="dxa"/>
                  <w:noWrap w:val="0"/>
                  <w:vAlign w:val="top"/>
                </w:tcPr>
                <w:p w14:paraId="6106E68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物理性质</w:t>
                  </w:r>
                </w:p>
                <w:p w14:paraId="7CBF888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bCs w:val="0"/>
                      <w:color w:val="auto"/>
                      <w:sz w:val="21"/>
                      <w:szCs w:val="21"/>
                      <w:highlight w:val="none"/>
                    </w:rPr>
                    <w:t>外观：</w:t>
                  </w:r>
                  <w:r>
                    <w:rPr>
                      <w:rFonts w:hint="default" w:ascii="Times New Roman" w:hAnsi="Times New Roman" w:eastAsia="宋体" w:cs="Times New Roman"/>
                      <w:color w:val="auto"/>
                      <w:sz w:val="21"/>
                      <w:szCs w:val="21"/>
                      <w:highlight w:val="none"/>
                    </w:rPr>
                    <w:t>通常为无定形黏稠液体或固体，颜色从无色透明到淡黄色、棕色等</w:t>
                  </w:r>
                  <w:r>
                    <w:rPr>
                      <w:rFonts w:hint="default" w:ascii="Times New Roman" w:hAnsi="Times New Roman" w:eastAsia="宋体" w:cs="Times New Roman"/>
                      <w:color w:val="auto"/>
                      <w:sz w:val="21"/>
                      <w:szCs w:val="21"/>
                      <w:highlight w:val="none"/>
                      <w:lang w:eastAsia="zh-CN"/>
                    </w:rPr>
                    <w:t>。</w:t>
                  </w:r>
                </w:p>
                <w:p w14:paraId="0DEBAC5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val="0"/>
                      <w:color w:val="auto"/>
                      <w:sz w:val="21"/>
                      <w:szCs w:val="21"/>
                      <w:highlight w:val="none"/>
                    </w:rPr>
                    <w:t>溶解性：</w:t>
                  </w:r>
                  <w:r>
                    <w:rPr>
                      <w:rFonts w:hint="default" w:ascii="Times New Roman" w:hAnsi="Times New Roman" w:eastAsia="宋体" w:cs="Times New Roman"/>
                      <w:color w:val="auto"/>
                      <w:sz w:val="21"/>
                      <w:szCs w:val="21"/>
                      <w:highlight w:val="none"/>
                    </w:rPr>
                    <w:t>未固化的环氧树脂漆可溶于多种有机溶剂</w:t>
                  </w:r>
                </w:p>
                <w:p w14:paraId="3C987BD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val="0"/>
                      <w:color w:val="auto"/>
                      <w:sz w:val="21"/>
                      <w:szCs w:val="21"/>
                      <w:highlight w:val="none"/>
                    </w:rPr>
                    <w:t>密度：</w:t>
                  </w:r>
                  <w:r>
                    <w:rPr>
                      <w:rFonts w:hint="default" w:ascii="Times New Roman" w:hAnsi="Times New Roman" w:eastAsia="宋体" w:cs="Times New Roman"/>
                      <w:color w:val="auto"/>
                      <w:sz w:val="21"/>
                      <w:szCs w:val="21"/>
                      <w:highlight w:val="none"/>
                    </w:rPr>
                    <w:t>密度一般在 1.1 - 1.3g/cm³ 左右，比水重。不过，具体密度会因环氧树脂的种类、填料的添加量等因素而有所不同，例如添加了重质填料的环氧树脂漆密度会更高。</w:t>
                  </w:r>
                </w:p>
                <w:p w14:paraId="5188DAA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b/>
                      <w:bCs w:val="0"/>
                      <w:color w:val="auto"/>
                      <w:sz w:val="21"/>
                      <w:szCs w:val="21"/>
                      <w:highlight w:val="none"/>
                      <w:lang w:eastAsia="zh-CN"/>
                    </w:rPr>
                    <w:t>黏度</w:t>
                  </w:r>
                  <w:r>
                    <w:rPr>
                      <w:rFonts w:hint="default" w:ascii="Times New Roman" w:hAnsi="Times New Roman" w:eastAsia="宋体" w:cs="Times New Roman"/>
                      <w:b/>
                      <w:bCs w:val="0"/>
                      <w:color w:val="auto"/>
                      <w:sz w:val="21"/>
                      <w:szCs w:val="21"/>
                      <w:highlight w:val="none"/>
                    </w:rPr>
                    <w:t>：</w:t>
                  </w:r>
                  <w:r>
                    <w:rPr>
                      <w:rFonts w:hint="default" w:ascii="Times New Roman" w:hAnsi="Times New Roman" w:eastAsia="宋体" w:cs="Times New Roman"/>
                      <w:color w:val="auto"/>
                      <w:sz w:val="21"/>
                      <w:szCs w:val="21"/>
                      <w:highlight w:val="none"/>
                    </w:rPr>
                    <w:t>低粘度的环氧树脂漆便于施工，可采用喷涂、刷涂等多种方式；高粘度的环氧树脂漆则适合用于一些需要厚涂或对流淌性要求低的场合。</w:t>
                  </w:r>
                </w:p>
                <w:p w14:paraId="6ED03DB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firstLine="422" w:firstLineChars="200"/>
                    <w:jc w:val="left"/>
                    <w:textAlignment w:val="baseline"/>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化学性质</w:t>
                  </w:r>
                </w:p>
                <w:p w14:paraId="1CD69830">
                  <w:pPr>
                    <w:pStyle w:val="39"/>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2" w:firstLineChars="200"/>
                    <w:jc w:val="left"/>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val="0"/>
                      <w:color w:val="auto"/>
                      <w:sz w:val="21"/>
                      <w:szCs w:val="21"/>
                      <w:highlight w:val="none"/>
                    </w:rPr>
                    <w:t>固化特性：</w:t>
                  </w:r>
                  <w:r>
                    <w:rPr>
                      <w:rFonts w:hint="default" w:ascii="Times New Roman" w:hAnsi="Times New Roman" w:eastAsia="宋体" w:cs="Times New Roman"/>
                      <w:color w:val="auto"/>
                      <w:sz w:val="21"/>
                      <w:szCs w:val="21"/>
                      <w:highlight w:val="none"/>
                    </w:rPr>
                    <w:t>固化后的环氧树脂漆具有良好的机械性能和化学稳定性。</w:t>
                  </w:r>
                </w:p>
              </w:tc>
            </w:tr>
          </w:tbl>
          <w:p w14:paraId="5BD05343">
            <w:pPr>
              <w:pStyle w:val="25"/>
              <w:rPr>
                <w:rFonts w:hint="default" w:ascii="Times New Roman" w:hAnsi="Times New Roman" w:cs="Times New Roman"/>
                <w:color w:val="auto"/>
                <w:highlight w:val="none"/>
                <w:lang w:val="en-US" w:eastAsia="zh-CN"/>
              </w:rPr>
            </w:pPr>
          </w:p>
          <w:p w14:paraId="468CDA72">
            <w:pPr>
              <w:pStyle w:val="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w:t>
            </w:r>
            <w:r>
              <w:rPr>
                <w:rFonts w:hint="default" w:ascii="Times New Roman" w:hAnsi="Times New Roman" w:eastAsia="宋体" w:cs="Times New Roman"/>
                <w:color w:val="auto"/>
                <w:highlight w:val="none"/>
                <w:lang w:val="en-US" w:eastAsia="zh-CN"/>
              </w:rPr>
              <w:t>7</w:t>
            </w:r>
            <w:r>
              <w:rPr>
                <w:rFonts w:hint="default" w:ascii="Times New Roman" w:hAnsi="Times New Roman" w:cs="Times New Roman"/>
                <w:color w:val="auto"/>
                <w:highlight w:val="none"/>
              </w:rPr>
              <w:t xml:space="preserve"> 二甲苯主要理化性质</w:t>
            </w:r>
          </w:p>
          <w:tbl>
            <w:tblPr>
              <w:tblStyle w:val="29"/>
              <w:tblW w:w="8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361"/>
              <w:gridCol w:w="930"/>
              <w:gridCol w:w="1223"/>
              <w:gridCol w:w="788"/>
              <w:gridCol w:w="2330"/>
            </w:tblGrid>
            <w:tr w14:paraId="272E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restart"/>
                  <w:tcBorders>
                    <w:top w:val="single" w:color="auto" w:sz="4" w:space="0"/>
                    <w:left w:val="single" w:color="auto" w:sz="4" w:space="0"/>
                    <w:bottom w:val="single" w:color="auto" w:sz="4" w:space="0"/>
                    <w:right w:val="single" w:color="auto" w:sz="4" w:space="0"/>
                  </w:tcBorders>
                  <w:noWrap w:val="0"/>
                  <w:vAlign w:val="center"/>
                </w:tcPr>
                <w:p w14:paraId="7FB03877">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标识</w:t>
                  </w:r>
                </w:p>
              </w:tc>
              <w:tc>
                <w:tcPr>
                  <w:tcW w:w="3291" w:type="dxa"/>
                  <w:gridSpan w:val="2"/>
                  <w:tcBorders>
                    <w:top w:val="single" w:color="auto" w:sz="4" w:space="0"/>
                    <w:left w:val="single" w:color="auto" w:sz="4" w:space="0"/>
                    <w:bottom w:val="single" w:color="auto" w:sz="4" w:space="0"/>
                    <w:right w:val="single" w:color="auto" w:sz="4" w:space="0"/>
                  </w:tcBorders>
                  <w:noWrap w:val="0"/>
                  <w:vAlign w:val="top"/>
                </w:tcPr>
                <w:p w14:paraId="65A17875">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中文名：二甲苯</w:t>
                  </w:r>
                </w:p>
              </w:tc>
              <w:tc>
                <w:tcPr>
                  <w:tcW w:w="4341" w:type="dxa"/>
                  <w:gridSpan w:val="3"/>
                  <w:tcBorders>
                    <w:top w:val="single" w:color="auto" w:sz="4" w:space="0"/>
                    <w:left w:val="single" w:color="auto" w:sz="4" w:space="0"/>
                    <w:bottom w:val="single" w:color="auto" w:sz="4" w:space="0"/>
                    <w:right w:val="single" w:color="auto" w:sz="4" w:space="0"/>
                  </w:tcBorders>
                  <w:noWrap w:val="0"/>
                  <w:vAlign w:val="top"/>
                </w:tcPr>
                <w:p w14:paraId="39EB7C04">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英文名：Dimethylbenzene</w:t>
                  </w:r>
                </w:p>
              </w:tc>
            </w:tr>
            <w:tr w14:paraId="56A5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7D797246">
                  <w:pPr>
                    <w:pStyle w:val="74"/>
                    <w:bidi w:val="0"/>
                    <w:rPr>
                      <w:rFonts w:hint="default" w:ascii="Times New Roman" w:hAnsi="Times New Roman" w:eastAsia="宋体" w:cs="Times New Roman"/>
                      <w:color w:val="auto"/>
                      <w:highlight w:val="none"/>
                    </w:rPr>
                  </w:pPr>
                </w:p>
              </w:tc>
              <w:tc>
                <w:tcPr>
                  <w:tcW w:w="3291" w:type="dxa"/>
                  <w:gridSpan w:val="2"/>
                  <w:tcBorders>
                    <w:top w:val="single" w:color="auto" w:sz="4" w:space="0"/>
                    <w:left w:val="single" w:color="auto" w:sz="4" w:space="0"/>
                    <w:bottom w:val="single" w:color="auto" w:sz="4" w:space="0"/>
                    <w:right w:val="single" w:color="auto" w:sz="4" w:space="0"/>
                  </w:tcBorders>
                  <w:noWrap w:val="0"/>
                  <w:vAlign w:val="top"/>
                </w:tcPr>
                <w:p w14:paraId="60419199">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分子式：C8H10</w:t>
                  </w:r>
                </w:p>
              </w:tc>
              <w:tc>
                <w:tcPr>
                  <w:tcW w:w="2011" w:type="dxa"/>
                  <w:gridSpan w:val="2"/>
                  <w:tcBorders>
                    <w:top w:val="single" w:color="auto" w:sz="4" w:space="0"/>
                    <w:left w:val="single" w:color="auto" w:sz="4" w:space="0"/>
                    <w:bottom w:val="single" w:color="auto" w:sz="4" w:space="0"/>
                    <w:right w:val="single" w:color="auto" w:sz="4" w:space="0"/>
                  </w:tcBorders>
                  <w:noWrap w:val="0"/>
                  <w:vAlign w:val="top"/>
                </w:tcPr>
                <w:p w14:paraId="689586C5">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分子量：106.17</w:t>
                  </w:r>
                </w:p>
              </w:tc>
              <w:tc>
                <w:tcPr>
                  <w:tcW w:w="2330" w:type="dxa"/>
                  <w:tcBorders>
                    <w:top w:val="single" w:color="auto" w:sz="4" w:space="0"/>
                    <w:left w:val="single" w:color="auto" w:sz="4" w:space="0"/>
                    <w:bottom w:val="single" w:color="auto" w:sz="4" w:space="0"/>
                    <w:right w:val="single" w:color="auto" w:sz="4" w:space="0"/>
                  </w:tcBorders>
                  <w:noWrap w:val="0"/>
                  <w:vAlign w:val="top"/>
                </w:tcPr>
                <w:p w14:paraId="1F6B09D1">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UN号：1307</w:t>
                  </w:r>
                </w:p>
              </w:tc>
            </w:tr>
            <w:tr w14:paraId="032E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3932AC4D">
                  <w:pPr>
                    <w:pStyle w:val="74"/>
                    <w:bidi w:val="0"/>
                    <w:rPr>
                      <w:rFonts w:hint="default" w:ascii="Times New Roman" w:hAnsi="Times New Roman" w:eastAsia="宋体" w:cs="Times New Roman"/>
                      <w:color w:val="auto"/>
                      <w:highlight w:val="none"/>
                    </w:rPr>
                  </w:pP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06750E89">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CAS号：95-47-6、108-38-3、106-42-3</w:t>
                  </w:r>
                </w:p>
              </w:tc>
            </w:tr>
            <w:tr w14:paraId="4B6F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restart"/>
                  <w:tcBorders>
                    <w:top w:val="single" w:color="auto" w:sz="4" w:space="0"/>
                    <w:left w:val="single" w:color="auto" w:sz="4" w:space="0"/>
                    <w:bottom w:val="single" w:color="auto" w:sz="4" w:space="0"/>
                    <w:right w:val="single" w:color="auto" w:sz="4" w:space="0"/>
                  </w:tcBorders>
                  <w:noWrap w:val="0"/>
                  <w:vAlign w:val="center"/>
                </w:tcPr>
                <w:p w14:paraId="4258DBA3">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理化性质</w:t>
                  </w: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32FA9FA6">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成分：包括邻二甲苯、间二甲苯和对二甲苯三种异构体</w:t>
                  </w:r>
                </w:p>
              </w:tc>
            </w:tr>
            <w:tr w14:paraId="77AA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07CE19CC">
                  <w:pPr>
                    <w:pStyle w:val="74"/>
                    <w:bidi w:val="0"/>
                    <w:rPr>
                      <w:rFonts w:hint="default" w:ascii="Times New Roman" w:hAnsi="Times New Roman" w:eastAsia="宋体" w:cs="Times New Roman"/>
                      <w:color w:val="auto"/>
                      <w:highlight w:val="none"/>
                    </w:rPr>
                  </w:pP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610DFBBF">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性状：无色透明液体，有类似甲苯的气味。</w:t>
                  </w:r>
                </w:p>
              </w:tc>
            </w:tr>
            <w:tr w14:paraId="2283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633B4047">
                  <w:pPr>
                    <w:pStyle w:val="74"/>
                    <w:bidi w:val="0"/>
                    <w:rPr>
                      <w:rFonts w:hint="default" w:ascii="Times New Roman" w:hAnsi="Times New Roman" w:eastAsia="宋体" w:cs="Times New Roman"/>
                      <w:color w:val="auto"/>
                      <w:highlight w:val="none"/>
                    </w:rPr>
                  </w:pP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47C6B529">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溶解性：不溶于水，可混</w:t>
                  </w:r>
                  <w:r>
                    <w:rPr>
                      <w:rFonts w:hint="eastAsia" w:ascii="Times New Roman" w:hAnsi="Times New Roman" w:eastAsia="宋体" w:cs="Times New Roman"/>
                      <w:color w:val="auto"/>
                      <w:highlight w:val="none"/>
                      <w:lang w:eastAsia="zh-CN"/>
                    </w:rPr>
                    <w:t>溶于</w:t>
                  </w:r>
                  <w:r>
                    <w:rPr>
                      <w:rFonts w:hint="default" w:ascii="Times New Roman" w:hAnsi="Times New Roman" w:eastAsia="宋体" w:cs="Times New Roman"/>
                      <w:color w:val="auto"/>
                      <w:highlight w:val="none"/>
                    </w:rPr>
                    <w:t>乙醇、乙醚、氯仿等多数有机溶剂。</w:t>
                  </w:r>
                </w:p>
              </w:tc>
            </w:tr>
            <w:tr w14:paraId="6FFF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03FD9DBF">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020382DB">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熔点（℃）：－47.9</w:t>
                  </w:r>
                </w:p>
              </w:tc>
              <w:tc>
                <w:tcPr>
                  <w:tcW w:w="2153" w:type="dxa"/>
                  <w:gridSpan w:val="2"/>
                  <w:tcBorders>
                    <w:top w:val="single" w:color="auto" w:sz="4" w:space="0"/>
                    <w:left w:val="single" w:color="auto" w:sz="4" w:space="0"/>
                    <w:bottom w:val="single" w:color="auto" w:sz="4" w:space="0"/>
                    <w:right w:val="single" w:color="auto" w:sz="4" w:space="0"/>
                  </w:tcBorders>
                  <w:noWrap w:val="0"/>
                  <w:vAlign w:val="top"/>
                </w:tcPr>
                <w:p w14:paraId="19065D2A">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沸点（℃）： 139</w:t>
                  </w:r>
                </w:p>
              </w:tc>
              <w:tc>
                <w:tcPr>
                  <w:tcW w:w="3118" w:type="dxa"/>
                  <w:gridSpan w:val="2"/>
                  <w:tcBorders>
                    <w:top w:val="single" w:color="auto" w:sz="4" w:space="0"/>
                    <w:left w:val="single" w:color="auto" w:sz="4" w:space="0"/>
                    <w:bottom w:val="single" w:color="auto" w:sz="4" w:space="0"/>
                    <w:right w:val="single" w:color="auto" w:sz="4" w:space="0"/>
                  </w:tcBorders>
                  <w:noWrap w:val="0"/>
                  <w:vAlign w:val="top"/>
                </w:tcPr>
                <w:p w14:paraId="03809F80">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相对密度（水＝1）：0.86</w:t>
                  </w:r>
                </w:p>
              </w:tc>
            </w:tr>
            <w:tr w14:paraId="6FA3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6D3559C9">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530FD277">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临界温度（℃）：343.9</w:t>
                  </w:r>
                </w:p>
              </w:tc>
              <w:tc>
                <w:tcPr>
                  <w:tcW w:w="2153" w:type="dxa"/>
                  <w:gridSpan w:val="2"/>
                  <w:tcBorders>
                    <w:top w:val="single" w:color="auto" w:sz="4" w:space="0"/>
                    <w:left w:val="single" w:color="auto" w:sz="4" w:space="0"/>
                    <w:bottom w:val="single" w:color="auto" w:sz="4" w:space="0"/>
                    <w:right w:val="single" w:color="auto" w:sz="4" w:space="0"/>
                  </w:tcBorders>
                  <w:noWrap w:val="0"/>
                  <w:vAlign w:val="top"/>
                </w:tcPr>
                <w:p w14:paraId="53742446">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临界压力（MPa）：3.54</w:t>
                  </w:r>
                </w:p>
              </w:tc>
              <w:tc>
                <w:tcPr>
                  <w:tcW w:w="3118" w:type="dxa"/>
                  <w:gridSpan w:val="2"/>
                  <w:tcBorders>
                    <w:top w:val="single" w:color="auto" w:sz="4" w:space="0"/>
                    <w:left w:val="single" w:color="auto" w:sz="4" w:space="0"/>
                    <w:bottom w:val="single" w:color="auto" w:sz="4" w:space="0"/>
                    <w:right w:val="single" w:color="auto" w:sz="4" w:space="0"/>
                  </w:tcBorders>
                  <w:noWrap w:val="0"/>
                  <w:vAlign w:val="top"/>
                </w:tcPr>
                <w:p w14:paraId="413177E8">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相对密度（空气＝1）：3.66</w:t>
                  </w:r>
                </w:p>
              </w:tc>
            </w:tr>
            <w:tr w14:paraId="6D1D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2B0D69B1">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0C8517A8">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燃烧热（KJ/mol）：4549.5</w:t>
                  </w:r>
                </w:p>
              </w:tc>
              <w:tc>
                <w:tcPr>
                  <w:tcW w:w="2153" w:type="dxa"/>
                  <w:gridSpan w:val="2"/>
                  <w:tcBorders>
                    <w:top w:val="single" w:color="auto" w:sz="4" w:space="0"/>
                    <w:left w:val="single" w:color="auto" w:sz="4" w:space="0"/>
                    <w:bottom w:val="single" w:color="auto" w:sz="4" w:space="0"/>
                    <w:right w:val="single" w:color="auto" w:sz="4" w:space="0"/>
                  </w:tcBorders>
                  <w:noWrap w:val="0"/>
                  <w:vAlign w:val="top"/>
                </w:tcPr>
                <w:p w14:paraId="578215DB">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最小点火能（mJ）：</w:t>
                  </w:r>
                </w:p>
              </w:tc>
              <w:tc>
                <w:tcPr>
                  <w:tcW w:w="3118" w:type="dxa"/>
                  <w:gridSpan w:val="2"/>
                  <w:tcBorders>
                    <w:top w:val="single" w:color="auto" w:sz="4" w:space="0"/>
                    <w:left w:val="single" w:color="auto" w:sz="4" w:space="0"/>
                    <w:bottom w:val="single" w:color="auto" w:sz="4" w:space="0"/>
                    <w:right w:val="single" w:color="auto" w:sz="4" w:space="0"/>
                  </w:tcBorders>
                  <w:noWrap w:val="0"/>
                  <w:vAlign w:val="top"/>
                </w:tcPr>
                <w:p w14:paraId="0764FFAD">
                  <w:pPr>
                    <w:pStyle w:val="74"/>
                    <w:bidi w:val="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饱和蒸气</w:t>
                  </w:r>
                  <w:r>
                    <w:rPr>
                      <w:rFonts w:hint="default" w:ascii="Times New Roman" w:hAnsi="Times New Roman" w:eastAsia="宋体" w:cs="Times New Roman"/>
                      <w:color w:val="auto"/>
                      <w:highlight w:val="none"/>
                    </w:rPr>
                    <w:t>压（KPa）：1.33（28.3℃）</w:t>
                  </w:r>
                </w:p>
              </w:tc>
            </w:tr>
            <w:tr w14:paraId="5094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7DBC2A25">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60EC4718">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折射率：1.495（25℃）</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27BE67B7">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辛醇/水分配系数的对数值：3.2</w:t>
                  </w:r>
                </w:p>
              </w:tc>
            </w:tr>
            <w:tr w14:paraId="5CB6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restart"/>
                  <w:tcBorders>
                    <w:top w:val="single" w:color="auto" w:sz="4" w:space="0"/>
                    <w:left w:val="single" w:color="auto" w:sz="4" w:space="0"/>
                    <w:bottom w:val="single" w:color="auto" w:sz="4" w:space="0"/>
                    <w:right w:val="single" w:color="auto" w:sz="4" w:space="0"/>
                  </w:tcBorders>
                  <w:noWrap w:val="0"/>
                  <w:vAlign w:val="center"/>
                </w:tcPr>
                <w:p w14:paraId="7C721DCF">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燃烧爆炸危险性</w:t>
                  </w:r>
                </w:p>
              </w:tc>
              <w:tc>
                <w:tcPr>
                  <w:tcW w:w="2361" w:type="dxa"/>
                  <w:tcBorders>
                    <w:top w:val="single" w:color="auto" w:sz="4" w:space="0"/>
                    <w:left w:val="single" w:color="auto" w:sz="4" w:space="0"/>
                    <w:bottom w:val="single" w:color="auto" w:sz="4" w:space="0"/>
                    <w:right w:val="single" w:color="auto" w:sz="4" w:space="0"/>
                  </w:tcBorders>
                  <w:noWrap w:val="0"/>
                  <w:vAlign w:val="top"/>
                </w:tcPr>
                <w:p w14:paraId="43F36A65">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燃烧性：易燃</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3E65027D">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燃烧分解产物：一氧化碳、二氧化碳。</w:t>
                  </w:r>
                </w:p>
              </w:tc>
            </w:tr>
            <w:tr w14:paraId="7E6D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14B7D3E7">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6FBD189C">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闪点（℃）：25</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77653674">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聚合危害：不聚合</w:t>
                  </w:r>
                </w:p>
              </w:tc>
            </w:tr>
            <w:tr w14:paraId="5C80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2C1BFC19">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2896074C">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爆炸下限（％）：1.1</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7D826C14">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稳定性：稳定</w:t>
                  </w:r>
                </w:p>
              </w:tc>
            </w:tr>
            <w:tr w14:paraId="687F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3D186036">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5B398EA0">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爆炸上限（％）：7.0</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0900FACD">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最大爆炸压力（MPa）：0.764</w:t>
                  </w:r>
                </w:p>
              </w:tc>
            </w:tr>
            <w:tr w14:paraId="795E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3A4AAB29">
                  <w:pPr>
                    <w:pStyle w:val="74"/>
                    <w:bidi w:val="0"/>
                    <w:rPr>
                      <w:rFonts w:hint="default" w:ascii="Times New Roman" w:hAnsi="Times New Roman" w:eastAsia="宋体" w:cs="Times New Roman"/>
                      <w:color w:val="auto"/>
                      <w:highlight w:val="none"/>
                    </w:rPr>
                  </w:pPr>
                </w:p>
              </w:tc>
              <w:tc>
                <w:tcPr>
                  <w:tcW w:w="2361" w:type="dxa"/>
                  <w:tcBorders>
                    <w:top w:val="single" w:color="auto" w:sz="4" w:space="0"/>
                    <w:left w:val="single" w:color="auto" w:sz="4" w:space="0"/>
                    <w:bottom w:val="single" w:color="auto" w:sz="4" w:space="0"/>
                    <w:right w:val="single" w:color="auto" w:sz="4" w:space="0"/>
                  </w:tcBorders>
                  <w:noWrap w:val="0"/>
                  <w:vAlign w:val="top"/>
                </w:tcPr>
                <w:p w14:paraId="6C7AC23E">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引燃温度（℃）：525</w:t>
                  </w:r>
                </w:p>
              </w:tc>
              <w:tc>
                <w:tcPr>
                  <w:tcW w:w="5271" w:type="dxa"/>
                  <w:gridSpan w:val="4"/>
                  <w:tcBorders>
                    <w:top w:val="single" w:color="auto" w:sz="4" w:space="0"/>
                    <w:left w:val="single" w:color="auto" w:sz="4" w:space="0"/>
                    <w:bottom w:val="single" w:color="auto" w:sz="4" w:space="0"/>
                    <w:right w:val="single" w:color="auto" w:sz="4" w:space="0"/>
                  </w:tcBorders>
                  <w:noWrap w:val="0"/>
                  <w:vAlign w:val="top"/>
                </w:tcPr>
                <w:p w14:paraId="16D9AE16">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禁忌物：强氧化剂。</w:t>
                  </w:r>
                </w:p>
              </w:tc>
            </w:tr>
            <w:tr w14:paraId="488A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7FD8F146">
                  <w:pPr>
                    <w:pStyle w:val="74"/>
                    <w:bidi w:val="0"/>
                    <w:rPr>
                      <w:rFonts w:hint="default" w:ascii="Times New Roman" w:hAnsi="Times New Roman" w:eastAsia="宋体" w:cs="Times New Roman"/>
                      <w:color w:val="auto"/>
                      <w:highlight w:val="none"/>
                    </w:rPr>
                  </w:pP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58796A12">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危险特性：易燃，其蒸气与空气可形成爆炸性混合物。遇明火、高热能引起燃烧爆炸。与氧化剂能发生强烈反应。流速过快，容易产生和积聚静电。其蒸气比空气重，能在较低处扩散到相当远的地方，遇明火会引着回燃。</w:t>
                  </w:r>
                </w:p>
              </w:tc>
            </w:tr>
            <w:tr w14:paraId="102C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26" w:type="dxa"/>
                  <w:vMerge w:val="continue"/>
                  <w:tcBorders>
                    <w:top w:val="single" w:color="auto" w:sz="4" w:space="0"/>
                    <w:left w:val="single" w:color="auto" w:sz="4" w:space="0"/>
                    <w:bottom w:val="single" w:color="auto" w:sz="4" w:space="0"/>
                    <w:right w:val="single" w:color="auto" w:sz="4" w:space="0"/>
                  </w:tcBorders>
                  <w:noWrap w:val="0"/>
                  <w:vAlign w:val="center"/>
                </w:tcPr>
                <w:p w14:paraId="3F977FB2">
                  <w:pPr>
                    <w:pStyle w:val="74"/>
                    <w:bidi w:val="0"/>
                    <w:rPr>
                      <w:rFonts w:hint="default" w:ascii="Times New Roman" w:hAnsi="Times New Roman" w:eastAsia="宋体" w:cs="Times New Roman"/>
                      <w:color w:val="auto"/>
                      <w:highlight w:val="none"/>
                    </w:rPr>
                  </w:pP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180AA562">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灭火方法：喷水冷却容器，可能的话将容器从火场移至空旷处。灭火剂：泡沫、二氧化碳、干粉、砂土。</w:t>
                  </w:r>
                </w:p>
              </w:tc>
            </w:tr>
            <w:tr w14:paraId="4371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7DD57103">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毒性</w:t>
                  </w: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49F1654B">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接触限值： 中国MAC（mg/</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3</w:t>
                  </w:r>
                  <w:r>
                    <w:rPr>
                      <w:rFonts w:hint="default" w:ascii="Times New Roman" w:hAnsi="Times New Roman" w:eastAsia="宋体" w:cs="Times New Roman"/>
                      <w:color w:val="auto"/>
                      <w:highlight w:val="none"/>
                    </w:rPr>
                    <w:t>） 100     前苏联 MAC（mg/</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3</w:t>
                  </w:r>
                  <w:r>
                    <w:rPr>
                      <w:rFonts w:hint="default" w:ascii="Times New Roman" w:hAnsi="Times New Roman" w:eastAsia="宋体" w:cs="Times New Roman"/>
                      <w:color w:val="auto"/>
                      <w:highlight w:val="none"/>
                    </w:rPr>
                    <w:t>）  50</w:t>
                  </w:r>
                </w:p>
                <w:p w14:paraId="7C627E87">
                  <w:pPr>
                    <w:pStyle w:val="74"/>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美国TVL－TWA  OSHA  100ppm，434mg/</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3</w:t>
                  </w:r>
                  <w:r>
                    <w:rPr>
                      <w:rFonts w:hint="default" w:ascii="Times New Roman" w:hAnsi="Times New Roman" w:eastAsia="宋体" w:cs="Times New Roman"/>
                      <w:color w:val="auto"/>
                      <w:highlight w:val="none"/>
                    </w:rPr>
                    <w:t>；  ACGIH  100ppm，1434mg/</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3</w:t>
                  </w:r>
                </w:p>
                <w:p w14:paraId="7896DEED">
                  <w:pPr>
                    <w:pStyle w:val="74"/>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美国   TLV－STEL   ACGIH  150ppm，651mg/</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3</w:t>
                  </w:r>
                </w:p>
                <w:p w14:paraId="0786BA9D">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急性毒性：LD50  5000mg/kg（大鼠经口）；   14100mg/kg（兔经皮） </w:t>
                  </w:r>
                </w:p>
              </w:tc>
            </w:tr>
            <w:tr w14:paraId="78AF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26866E43">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贮运</w:t>
                  </w:r>
                </w:p>
              </w:tc>
              <w:tc>
                <w:tcPr>
                  <w:tcW w:w="7632" w:type="dxa"/>
                  <w:gridSpan w:val="5"/>
                  <w:tcBorders>
                    <w:top w:val="single" w:color="auto" w:sz="4" w:space="0"/>
                    <w:left w:val="single" w:color="auto" w:sz="4" w:space="0"/>
                    <w:bottom w:val="single" w:color="auto" w:sz="4" w:space="0"/>
                    <w:right w:val="single" w:color="auto" w:sz="4" w:space="0"/>
                  </w:tcBorders>
                  <w:noWrap w:val="0"/>
                  <w:vAlign w:val="top"/>
                </w:tcPr>
                <w:p w14:paraId="59407E0D">
                  <w:pPr>
                    <w:pStyle w:val="74"/>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包装方法：小开口钢桶，螺纹口玻璃瓶、铁盖压口玻璃瓶、塑料瓶或金属桶（罐）外木板箱。</w:t>
                  </w:r>
                </w:p>
                <w:p w14:paraId="04FC0648">
                  <w:pPr>
                    <w:pStyle w:val="74"/>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储运条件：储存于阴凉、通风仓间内。远离火种、热源。仓内温度不宜超过30℃。防止阳光直射。保持容器密封。应与氧化剂分开存放。</w:t>
                  </w:r>
                </w:p>
              </w:tc>
            </w:tr>
          </w:tbl>
          <w:p w14:paraId="2BE16323">
            <w:pPr>
              <w:keepNext w:val="0"/>
              <w:keepLines w:val="0"/>
              <w:pageBreakBefore w:val="0"/>
              <w:widowControl w:val="0"/>
              <w:numPr>
                <w:ilvl w:val="0"/>
                <w:numId w:val="4"/>
              </w:numPr>
              <w:kinsoku/>
              <w:wordWrap/>
              <w:overflowPunct w:val="0"/>
              <w:topLinePunct w:val="0"/>
              <w:autoSpaceDE/>
              <w:autoSpaceDN/>
              <w:bidi w:val="0"/>
              <w:adjustRightInd w:val="0"/>
              <w:snapToGrid w:val="0"/>
              <w:spacing w:before="0" w:beforeLines="50" w:line="360" w:lineRule="auto"/>
              <w:ind w:leftChars="0"/>
              <w:jc w:val="both"/>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产品方案</w:t>
            </w:r>
          </w:p>
          <w:p w14:paraId="762905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本项目产品方案见表2-8。</w:t>
            </w:r>
          </w:p>
          <w:p w14:paraId="3A80143F">
            <w:pPr>
              <w:pStyle w:val="6"/>
              <w:keepNext/>
              <w:keepLines/>
              <w:pageBreakBefore w:val="0"/>
              <w:widowControl/>
              <w:kinsoku w:val="0"/>
              <w:wordWrap/>
              <w:overflowPunct/>
              <w:topLinePunct w:val="0"/>
              <w:autoSpaceDE w:val="0"/>
              <w:autoSpaceDN w:val="0"/>
              <w:bidi w:val="0"/>
              <w:adjustRightInd w:val="0"/>
              <w:snapToGrid w:val="0"/>
              <w:spacing w:before="0" w:after="0" w:line="240" w:lineRule="auto"/>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表2-8   产品方案</w:t>
            </w:r>
          </w:p>
          <w:tbl>
            <w:tblPr>
              <w:tblStyle w:val="2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48"/>
              <w:gridCol w:w="2599"/>
              <w:gridCol w:w="3989"/>
            </w:tblGrid>
            <w:tr w14:paraId="5A906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2" w:type="pct"/>
                  <w:noWrap w:val="0"/>
                  <w:vAlign w:val="center"/>
                </w:tcPr>
                <w:p w14:paraId="55012166">
                  <w:pPr>
                    <w:widowControl/>
                    <w:jc w:val="center"/>
                    <w:rPr>
                      <w:rFonts w:hint="default" w:ascii="Times New Roman" w:hAnsi="Times New Roman" w:eastAsia="宋体" w:cs="Times New Roman"/>
                      <w:b/>
                      <w:bCs w:val="0"/>
                      <w:color w:val="auto"/>
                      <w:kern w:val="0"/>
                      <w:sz w:val="21"/>
                      <w:szCs w:val="21"/>
                      <w:highlight w:val="none"/>
                      <w:shd w:val="clear" w:color="auto" w:fill="auto"/>
                    </w:rPr>
                  </w:pPr>
                  <w:r>
                    <w:rPr>
                      <w:rFonts w:hint="default" w:ascii="Times New Roman" w:hAnsi="Times New Roman" w:eastAsia="宋体" w:cs="Times New Roman"/>
                      <w:b/>
                      <w:bCs w:val="0"/>
                      <w:color w:val="auto"/>
                      <w:kern w:val="0"/>
                      <w:sz w:val="21"/>
                      <w:szCs w:val="21"/>
                      <w:highlight w:val="none"/>
                      <w:shd w:val="clear" w:color="auto" w:fill="auto"/>
                    </w:rPr>
                    <w:t>主要产品</w:t>
                  </w:r>
                </w:p>
              </w:tc>
              <w:tc>
                <w:tcPr>
                  <w:tcW w:w="1470" w:type="pct"/>
                  <w:noWrap w:val="0"/>
                  <w:vAlign w:val="center"/>
                </w:tcPr>
                <w:p w14:paraId="15B71BB3">
                  <w:pPr>
                    <w:widowControl/>
                    <w:adjustRightInd w:val="0"/>
                    <w:snapToGrid w:val="0"/>
                    <w:jc w:val="center"/>
                    <w:rPr>
                      <w:rFonts w:hint="default" w:ascii="Times New Roman" w:hAnsi="Times New Roman" w:eastAsia="宋体" w:cs="Times New Roman"/>
                      <w:b/>
                      <w:bCs w:val="0"/>
                      <w:color w:val="auto"/>
                      <w:kern w:val="0"/>
                      <w:sz w:val="21"/>
                      <w:szCs w:val="21"/>
                      <w:highlight w:val="none"/>
                      <w:shd w:val="clear" w:color="auto" w:fill="auto"/>
                    </w:rPr>
                  </w:pPr>
                  <w:r>
                    <w:rPr>
                      <w:rFonts w:hint="default" w:ascii="Times New Roman" w:hAnsi="Times New Roman" w:eastAsia="宋体" w:cs="Times New Roman"/>
                      <w:b/>
                      <w:bCs w:val="0"/>
                      <w:color w:val="auto"/>
                      <w:kern w:val="0"/>
                      <w:sz w:val="21"/>
                      <w:szCs w:val="21"/>
                      <w:highlight w:val="none"/>
                      <w:shd w:val="clear" w:color="auto" w:fill="auto"/>
                    </w:rPr>
                    <w:t>年产量（</w:t>
                  </w:r>
                  <w:r>
                    <w:rPr>
                      <w:rFonts w:hint="default" w:ascii="Times New Roman" w:hAnsi="Times New Roman" w:eastAsia="宋体" w:cs="Times New Roman"/>
                      <w:b/>
                      <w:bCs w:val="0"/>
                      <w:color w:val="auto"/>
                      <w:kern w:val="0"/>
                      <w:sz w:val="21"/>
                      <w:szCs w:val="21"/>
                      <w:highlight w:val="none"/>
                      <w:shd w:val="clear" w:color="auto" w:fill="auto"/>
                      <w:lang w:val="en-US" w:eastAsia="zh-CN"/>
                    </w:rPr>
                    <w:t>吨</w:t>
                  </w:r>
                  <w:r>
                    <w:rPr>
                      <w:rFonts w:hint="default" w:ascii="Times New Roman" w:hAnsi="Times New Roman" w:eastAsia="宋体" w:cs="Times New Roman"/>
                      <w:b/>
                      <w:bCs w:val="0"/>
                      <w:color w:val="auto"/>
                      <w:kern w:val="0"/>
                      <w:sz w:val="21"/>
                      <w:szCs w:val="21"/>
                      <w:highlight w:val="none"/>
                      <w:shd w:val="clear" w:color="auto" w:fill="auto"/>
                    </w:rPr>
                    <w:t>/年）</w:t>
                  </w:r>
                </w:p>
              </w:tc>
              <w:tc>
                <w:tcPr>
                  <w:tcW w:w="2256" w:type="pct"/>
                  <w:noWrap w:val="0"/>
                  <w:vAlign w:val="center"/>
                </w:tcPr>
                <w:p w14:paraId="78DCA00F">
                  <w:pPr>
                    <w:widowControl/>
                    <w:adjustRightInd w:val="0"/>
                    <w:snapToGrid w:val="0"/>
                    <w:jc w:val="center"/>
                    <w:rPr>
                      <w:rFonts w:hint="default" w:ascii="Times New Roman" w:hAnsi="Times New Roman" w:eastAsia="宋体" w:cs="Times New Roman"/>
                      <w:b/>
                      <w:bCs w:val="0"/>
                      <w:color w:val="auto"/>
                      <w:kern w:val="0"/>
                      <w:sz w:val="21"/>
                      <w:szCs w:val="21"/>
                      <w:highlight w:val="none"/>
                      <w:shd w:val="clear" w:color="auto" w:fill="auto"/>
                      <w:lang w:val="en-US" w:eastAsia="zh-CN"/>
                    </w:rPr>
                  </w:pPr>
                  <w:r>
                    <w:rPr>
                      <w:rFonts w:hint="default" w:ascii="Times New Roman" w:hAnsi="Times New Roman" w:eastAsia="宋体" w:cs="Times New Roman"/>
                      <w:b/>
                      <w:bCs w:val="0"/>
                      <w:color w:val="auto"/>
                      <w:kern w:val="0"/>
                      <w:sz w:val="21"/>
                      <w:szCs w:val="21"/>
                      <w:highlight w:val="none"/>
                      <w:shd w:val="clear" w:color="auto" w:fill="auto"/>
                      <w:lang w:val="en-US" w:eastAsia="zh-CN"/>
                    </w:rPr>
                    <w:t>备注</w:t>
                  </w:r>
                  <w:r>
                    <w:rPr>
                      <w:rFonts w:hint="default" w:ascii="Times New Roman" w:hAnsi="Times New Roman" w:cs="Times New Roman"/>
                      <w:b/>
                      <w:bCs w:val="0"/>
                      <w:color w:val="auto"/>
                      <w:kern w:val="0"/>
                      <w:sz w:val="21"/>
                      <w:szCs w:val="21"/>
                      <w:highlight w:val="none"/>
                      <w:shd w:val="clear" w:color="auto" w:fill="auto"/>
                      <w:lang w:val="en-US" w:eastAsia="zh-CN"/>
                    </w:rPr>
                    <w:t>（提供产品尺寸规格）</w:t>
                  </w:r>
                </w:p>
              </w:tc>
            </w:tr>
            <w:tr w14:paraId="57555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2" w:type="pct"/>
                  <w:noWrap w:val="0"/>
                  <w:vAlign w:val="center"/>
                </w:tcPr>
                <w:p w14:paraId="7BC30126">
                  <w:pPr>
                    <w:widowControl/>
                    <w:jc w:val="center"/>
                    <w:rPr>
                      <w:rFonts w:hint="default" w:ascii="Times New Roman" w:hAnsi="Times New Roman" w:eastAsia="宋体" w:cs="Times New Roman"/>
                      <w:bCs/>
                      <w:color w:val="auto"/>
                      <w:kern w:val="0"/>
                      <w:sz w:val="21"/>
                      <w:szCs w:val="21"/>
                      <w:highlight w:val="none"/>
                      <w:shd w:val="clear" w:color="auto" w:fill="auto"/>
                    </w:rPr>
                  </w:pPr>
                  <w:r>
                    <w:rPr>
                      <w:rFonts w:hint="default" w:ascii="Times New Roman" w:hAnsi="Times New Roman" w:eastAsia="宋体" w:cs="Times New Roman"/>
                      <w:bCs/>
                      <w:color w:val="auto"/>
                      <w:kern w:val="0"/>
                      <w:sz w:val="21"/>
                      <w:szCs w:val="21"/>
                      <w:highlight w:val="none"/>
                      <w:shd w:val="clear" w:color="auto" w:fill="auto"/>
                      <w:lang w:val="en-US" w:eastAsia="zh-CN"/>
                    </w:rPr>
                    <w:t>金属管件</w:t>
                  </w:r>
                </w:p>
              </w:tc>
              <w:tc>
                <w:tcPr>
                  <w:tcW w:w="1470" w:type="pct"/>
                  <w:noWrap w:val="0"/>
                  <w:vAlign w:val="center"/>
                </w:tcPr>
                <w:p w14:paraId="7CA269EF">
                  <w:pPr>
                    <w:widowControl/>
                    <w:adjustRightInd w:val="0"/>
                    <w:snapToGrid w:val="0"/>
                    <w:jc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eastAsia" w:ascii="Times New Roman" w:hAnsi="Times New Roman" w:cs="Times New Roman"/>
                      <w:bCs/>
                      <w:color w:val="auto"/>
                      <w:kern w:val="0"/>
                      <w:sz w:val="21"/>
                      <w:szCs w:val="21"/>
                      <w:highlight w:val="none"/>
                      <w:shd w:val="clear" w:color="auto" w:fill="auto"/>
                      <w:lang w:val="en-US" w:eastAsia="zh-CN"/>
                    </w:rPr>
                    <w:t>3004</w:t>
                  </w:r>
                </w:p>
              </w:tc>
              <w:tc>
                <w:tcPr>
                  <w:tcW w:w="2256" w:type="pct"/>
                  <w:noWrap w:val="0"/>
                  <w:vAlign w:val="center"/>
                </w:tcPr>
                <w:p w14:paraId="51201B46">
                  <w:pPr>
                    <w:widowControl/>
                    <w:adjustRightInd w:val="0"/>
                    <w:snapToGrid w:val="0"/>
                    <w:jc w:val="center"/>
                    <w:rPr>
                      <w:rFonts w:hint="default" w:ascii="Times New Roman" w:hAnsi="Times New Roman" w:eastAsia="宋体" w:cs="Times New Roman"/>
                      <w:bCs/>
                      <w:color w:val="auto"/>
                      <w:kern w:val="0"/>
                      <w:sz w:val="21"/>
                      <w:szCs w:val="21"/>
                      <w:highlight w:val="none"/>
                      <w:shd w:val="clear" w:color="auto" w:fill="auto"/>
                      <w:lang w:val="en-US" w:eastAsia="zh-CN"/>
                    </w:rPr>
                  </w:pPr>
                  <w:r>
                    <w:rPr>
                      <w:rFonts w:hint="default" w:ascii="Times New Roman" w:hAnsi="Times New Roman" w:eastAsia="宋体" w:cs="Times New Roman"/>
                      <w:bCs/>
                      <w:color w:val="auto"/>
                      <w:kern w:val="0"/>
                      <w:sz w:val="21"/>
                      <w:szCs w:val="21"/>
                      <w:highlight w:val="none"/>
                      <w:shd w:val="clear" w:color="auto" w:fill="auto"/>
                      <w:lang w:val="en-US" w:eastAsia="zh-CN"/>
                    </w:rPr>
                    <w:t>15mm-3m</w:t>
                  </w:r>
                </w:p>
              </w:tc>
            </w:tr>
          </w:tbl>
          <w:p w14:paraId="2CC7E2D9">
            <w:pPr>
              <w:keepNext w:val="0"/>
              <w:keepLines w:val="0"/>
              <w:pageBreakBefore w:val="0"/>
              <w:widowControl w:val="0"/>
              <w:numPr>
                <w:ilvl w:val="0"/>
                <w:numId w:val="0"/>
              </w:numPr>
              <w:kinsoku/>
              <w:wordWrap/>
              <w:overflowPunct w:val="0"/>
              <w:topLinePunct w:val="0"/>
              <w:autoSpaceDE/>
              <w:autoSpaceDN/>
              <w:bidi w:val="0"/>
              <w:adjustRightInd w:val="0"/>
              <w:snapToGrid w:val="0"/>
              <w:spacing w:before="0" w:beforeLines="50" w:line="360" w:lineRule="auto"/>
              <w:ind w:leftChars="0"/>
              <w:jc w:val="both"/>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六、</w:t>
            </w:r>
            <w:r>
              <w:rPr>
                <w:rFonts w:hint="default" w:ascii="Times New Roman" w:hAnsi="Times New Roman" w:eastAsia="宋体" w:cs="Times New Roman"/>
                <w:b/>
                <w:color w:val="auto"/>
                <w:sz w:val="24"/>
                <w:szCs w:val="24"/>
                <w:highlight w:val="none"/>
              </w:rPr>
              <w:t>总平面布置</w:t>
            </w:r>
          </w:p>
          <w:p w14:paraId="6E8F56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z w:val="24"/>
                <w:szCs w:val="24"/>
                <w:highlight w:val="none"/>
                <w:lang w:eastAsia="zh-CN"/>
              </w:rPr>
            </w:pPr>
            <w:bookmarkStart w:id="0" w:name="_Toc272092352"/>
            <w:r>
              <w:rPr>
                <w:rFonts w:hint="default" w:ascii="Times New Roman" w:hAnsi="Times New Roman" w:eastAsia="宋体" w:cs="Times New Roman"/>
                <w:snapToGrid w:val="0"/>
                <w:color w:val="auto"/>
                <w:kern w:val="0"/>
                <w:sz w:val="24"/>
                <w:szCs w:val="24"/>
                <w:highlight w:val="none"/>
                <w:lang w:val="en-US" w:eastAsia="zh-CN"/>
              </w:rPr>
              <w:t>本项目原料及成品区位于厂区北侧，1号生产车间厂房位于原料及成品区的南侧，2号生</w:t>
            </w:r>
            <w:r>
              <w:rPr>
                <w:rFonts w:hint="eastAsia" w:ascii="Times New Roman" w:hAnsi="Times New Roman" w:eastAsia="宋体" w:cs="Times New Roman"/>
                <w:snapToGrid w:val="0"/>
                <w:color w:val="auto"/>
                <w:kern w:val="0"/>
                <w:sz w:val="24"/>
                <w:szCs w:val="24"/>
                <w:highlight w:val="none"/>
                <w:lang w:val="en-US" w:eastAsia="zh-CN"/>
              </w:rPr>
              <w:t>产区</w:t>
            </w:r>
            <w:r>
              <w:rPr>
                <w:rFonts w:hint="default" w:ascii="Times New Roman" w:hAnsi="Times New Roman" w:eastAsia="宋体" w:cs="Times New Roman"/>
                <w:snapToGrid w:val="0"/>
                <w:color w:val="auto"/>
                <w:kern w:val="0"/>
                <w:sz w:val="24"/>
                <w:szCs w:val="24"/>
                <w:highlight w:val="none"/>
                <w:lang w:val="en-US" w:eastAsia="zh-CN"/>
              </w:rPr>
              <w:t>位于厂区西侧，东侧为办公室、食堂、职工食堂，南侧为厂区大门，平面布置图详见附图3</w:t>
            </w:r>
            <w:r>
              <w:rPr>
                <w:rFonts w:hint="default" w:ascii="Times New Roman" w:hAnsi="Times New Roman" w:cs="Times New Roman" w:eastAsiaTheme="minorEastAsia"/>
                <w:color w:val="auto"/>
                <w:sz w:val="24"/>
                <w:szCs w:val="24"/>
                <w:highlight w:val="none"/>
                <w:lang w:eastAsia="zh-CN"/>
              </w:rPr>
              <w:t>。</w:t>
            </w:r>
          </w:p>
          <w:bookmarkEnd w:id="0"/>
          <w:p w14:paraId="621323B2">
            <w:pPr>
              <w:keepNext w:val="0"/>
              <w:keepLines w:val="0"/>
              <w:pageBreakBefore w:val="0"/>
              <w:widowControl w:val="0"/>
              <w:kinsoku/>
              <w:wordWrap/>
              <w:overflowPunct w:val="0"/>
              <w:topLinePunct w:val="0"/>
              <w:autoSpaceDE/>
              <w:autoSpaceDN/>
              <w:bidi w:val="0"/>
              <w:adjustRightInd w:val="0"/>
              <w:snapToGrid w:val="0"/>
              <w:spacing w:line="360" w:lineRule="auto"/>
              <w:jc w:val="both"/>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lang w:val="en-US" w:eastAsia="zh-CN"/>
              </w:rPr>
              <w:t>七、</w:t>
            </w:r>
            <w:r>
              <w:rPr>
                <w:rFonts w:hint="default" w:ascii="Times New Roman" w:hAnsi="Times New Roman" w:cs="Times New Roman" w:eastAsiaTheme="minorEastAsia"/>
                <w:b/>
                <w:color w:val="auto"/>
                <w:sz w:val="24"/>
                <w:szCs w:val="24"/>
                <w:highlight w:val="none"/>
              </w:rPr>
              <w:t>劳动定员及工作制度</w:t>
            </w:r>
          </w:p>
          <w:p w14:paraId="33CEA763">
            <w:pPr>
              <w:pStyle w:val="47"/>
              <w:keepNext w:val="0"/>
              <w:keepLines w:val="0"/>
              <w:pageBreakBefore w:val="0"/>
              <w:kinsoku/>
              <w:wordWrap/>
              <w:overflowPunct w:val="0"/>
              <w:bidi w:val="0"/>
              <w:adjustRightInd w:val="0"/>
              <w:snapToGrid w:val="0"/>
              <w:spacing w:line="360" w:lineRule="auto"/>
              <w:ind w:firstLine="561"/>
              <w:jc w:val="both"/>
              <w:rPr>
                <w:rFonts w:hint="default" w:ascii="Times New Roman" w:hAnsi="Times New Roman" w:cs="Times New Roman" w:eastAsiaTheme="minorEastAsia"/>
                <w:snapToGrid w:val="0"/>
                <w:color w:val="auto"/>
                <w:sz w:val="24"/>
                <w:szCs w:val="24"/>
                <w:highlight w:val="none"/>
              </w:rPr>
            </w:pPr>
            <w:r>
              <w:rPr>
                <w:rFonts w:hint="default" w:ascii="Times New Roman" w:hAnsi="Times New Roman" w:cs="Times New Roman" w:eastAsiaTheme="minorEastAsia"/>
                <w:snapToGrid w:val="0"/>
                <w:color w:val="auto"/>
                <w:sz w:val="24"/>
                <w:szCs w:val="24"/>
                <w:highlight w:val="none"/>
              </w:rPr>
              <w:t>根据</w:t>
            </w:r>
            <w:r>
              <w:rPr>
                <w:rFonts w:hint="default" w:ascii="Times New Roman" w:hAnsi="Times New Roman" w:cs="Times New Roman" w:eastAsiaTheme="minorEastAsia"/>
                <w:snapToGrid w:val="0"/>
                <w:color w:val="auto"/>
                <w:sz w:val="24"/>
                <w:szCs w:val="24"/>
                <w:highlight w:val="none"/>
                <w:lang w:val="en-US" w:eastAsia="zh-CN"/>
              </w:rPr>
              <w:t>建设方提供资料</w:t>
            </w:r>
            <w:r>
              <w:rPr>
                <w:rFonts w:hint="default" w:ascii="Times New Roman" w:hAnsi="Times New Roman" w:cs="Times New Roman" w:eastAsiaTheme="minorEastAsia"/>
                <w:snapToGrid w:val="0"/>
                <w:color w:val="auto"/>
                <w:sz w:val="24"/>
                <w:szCs w:val="24"/>
                <w:highlight w:val="none"/>
              </w:rPr>
              <w:t>，</w:t>
            </w:r>
            <w:r>
              <w:rPr>
                <w:rFonts w:hint="default" w:ascii="Times New Roman" w:hAnsi="Times New Roman" w:cs="Times New Roman" w:eastAsiaTheme="minorEastAsia"/>
                <w:snapToGrid w:val="0"/>
                <w:color w:val="auto"/>
                <w:sz w:val="24"/>
                <w:szCs w:val="24"/>
                <w:highlight w:val="none"/>
                <w:lang w:val="en-US" w:eastAsia="zh-CN"/>
              </w:rPr>
              <w:t>本</w:t>
            </w:r>
            <w:r>
              <w:rPr>
                <w:rFonts w:hint="default" w:ascii="Times New Roman" w:hAnsi="Times New Roman" w:cs="Times New Roman" w:eastAsiaTheme="minorEastAsia"/>
                <w:snapToGrid w:val="0"/>
                <w:color w:val="auto"/>
                <w:sz w:val="24"/>
                <w:szCs w:val="24"/>
                <w:highlight w:val="none"/>
              </w:rPr>
              <w:t>项目</w:t>
            </w:r>
            <w:r>
              <w:rPr>
                <w:rFonts w:hint="default" w:ascii="Times New Roman" w:hAnsi="Times New Roman" w:cs="Times New Roman" w:eastAsiaTheme="minorEastAsia"/>
                <w:snapToGrid w:val="0"/>
                <w:color w:val="auto"/>
                <w:sz w:val="24"/>
                <w:szCs w:val="24"/>
                <w:highlight w:val="none"/>
                <w:lang w:val="en-US" w:eastAsia="zh-CN"/>
              </w:rPr>
              <w:t>劳动</w:t>
            </w:r>
            <w:r>
              <w:rPr>
                <w:rFonts w:hint="default" w:ascii="Times New Roman" w:hAnsi="Times New Roman" w:cs="Times New Roman" w:eastAsiaTheme="minorEastAsia"/>
                <w:snapToGrid w:val="0"/>
                <w:color w:val="auto"/>
                <w:sz w:val="24"/>
                <w:szCs w:val="24"/>
                <w:highlight w:val="none"/>
              </w:rPr>
              <w:t>总定员</w:t>
            </w:r>
            <w:r>
              <w:rPr>
                <w:rFonts w:hint="default" w:ascii="Times New Roman" w:hAnsi="Times New Roman" w:cs="Times New Roman" w:eastAsiaTheme="minorEastAsia"/>
                <w:snapToGrid w:val="0"/>
                <w:color w:val="auto"/>
                <w:sz w:val="24"/>
                <w:szCs w:val="24"/>
                <w:highlight w:val="none"/>
                <w:lang w:val="en-US" w:eastAsia="zh-CN"/>
              </w:rPr>
              <w:t>13</w:t>
            </w:r>
            <w:r>
              <w:rPr>
                <w:rFonts w:hint="default" w:ascii="Times New Roman" w:hAnsi="Times New Roman" w:cs="Times New Roman" w:eastAsiaTheme="minorEastAsia"/>
                <w:snapToGrid w:val="0"/>
                <w:color w:val="auto"/>
                <w:sz w:val="24"/>
                <w:szCs w:val="24"/>
                <w:highlight w:val="none"/>
              </w:rPr>
              <w:t>人</w:t>
            </w:r>
            <w:r>
              <w:rPr>
                <w:rFonts w:hint="default" w:ascii="Times New Roman" w:hAnsi="Times New Roman" w:cs="Times New Roman" w:eastAsiaTheme="minorEastAsia"/>
                <w:snapToGrid w:val="0"/>
                <w:color w:val="auto"/>
                <w:sz w:val="24"/>
                <w:szCs w:val="24"/>
                <w:highlight w:val="none"/>
                <w:lang w:eastAsia="zh-CN"/>
              </w:rPr>
              <w:t>，</w:t>
            </w:r>
            <w:r>
              <w:rPr>
                <w:rFonts w:hint="default" w:ascii="Times New Roman" w:hAnsi="Times New Roman" w:cs="Times New Roman" w:eastAsiaTheme="minorEastAsia"/>
                <w:snapToGrid w:val="0"/>
                <w:color w:val="auto"/>
                <w:sz w:val="24"/>
                <w:szCs w:val="24"/>
                <w:highlight w:val="none"/>
              </w:rPr>
              <w:t>年工作</w:t>
            </w:r>
            <w:r>
              <w:rPr>
                <w:rFonts w:hint="default" w:ascii="Times New Roman" w:hAnsi="Times New Roman" w:cs="Times New Roman" w:eastAsiaTheme="minorEastAsia"/>
                <w:snapToGrid w:val="0"/>
                <w:color w:val="auto"/>
                <w:sz w:val="24"/>
                <w:szCs w:val="24"/>
                <w:highlight w:val="none"/>
                <w:lang w:val="en-US" w:eastAsia="zh-CN"/>
              </w:rPr>
              <w:t>300</w:t>
            </w:r>
            <w:r>
              <w:rPr>
                <w:rFonts w:hint="default" w:ascii="Times New Roman" w:hAnsi="Times New Roman" w:cs="Times New Roman" w:eastAsiaTheme="minorEastAsia"/>
                <w:snapToGrid w:val="0"/>
                <w:color w:val="auto"/>
                <w:sz w:val="24"/>
                <w:szCs w:val="24"/>
                <w:highlight w:val="none"/>
              </w:rPr>
              <w:t>天，</w:t>
            </w:r>
            <w:r>
              <w:rPr>
                <w:rFonts w:hint="default" w:ascii="Times New Roman" w:hAnsi="Times New Roman" w:cs="Times New Roman" w:eastAsiaTheme="minorEastAsia"/>
                <w:snapToGrid w:val="0"/>
                <w:color w:val="auto"/>
                <w:sz w:val="24"/>
                <w:szCs w:val="24"/>
                <w:highlight w:val="none"/>
                <w:lang w:val="en-US" w:eastAsia="zh-CN"/>
              </w:rPr>
              <w:t>每天工作8</w:t>
            </w:r>
            <w:r>
              <w:rPr>
                <w:rFonts w:hint="default" w:ascii="Times New Roman" w:hAnsi="Times New Roman" w:cs="Times New Roman" w:eastAsiaTheme="minorEastAsia"/>
                <w:snapToGrid w:val="0"/>
                <w:color w:val="auto"/>
                <w:sz w:val="24"/>
                <w:szCs w:val="24"/>
                <w:highlight w:val="none"/>
              </w:rPr>
              <w:t>h。</w:t>
            </w:r>
          </w:p>
          <w:p w14:paraId="47738E96">
            <w:pPr>
              <w:keepNext w:val="0"/>
              <w:keepLines w:val="0"/>
              <w:pageBreakBefore w:val="0"/>
              <w:widowControl w:val="0"/>
              <w:kinsoku/>
              <w:wordWrap/>
              <w:overflowPunct w:val="0"/>
              <w:topLinePunct w:val="0"/>
              <w:autoSpaceDE/>
              <w:autoSpaceDN/>
              <w:bidi w:val="0"/>
              <w:adjustRightInd w:val="0"/>
              <w:snapToGrid w:val="0"/>
              <w:spacing w:line="360" w:lineRule="auto"/>
              <w:jc w:val="both"/>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lang w:val="en-US" w:eastAsia="zh-CN"/>
              </w:rPr>
              <w:t>八、</w:t>
            </w:r>
            <w:r>
              <w:rPr>
                <w:rFonts w:hint="default" w:ascii="Times New Roman" w:hAnsi="Times New Roman" w:cs="Times New Roman" w:eastAsiaTheme="minorEastAsia"/>
                <w:b/>
                <w:color w:val="auto"/>
                <w:sz w:val="24"/>
                <w:szCs w:val="24"/>
                <w:highlight w:val="none"/>
              </w:rPr>
              <w:t>公用工程</w:t>
            </w:r>
          </w:p>
          <w:p w14:paraId="2807AB73">
            <w:pPr>
              <w:keepNext w:val="0"/>
              <w:keepLines w:val="0"/>
              <w:pageBreakBefore w:val="0"/>
              <w:kinsoku/>
              <w:wordWrap/>
              <w:topLinePunct/>
              <w:bidi w:val="0"/>
              <w:adjustRightInd w:val="0"/>
              <w:snapToGrid w:val="0"/>
              <w:spacing w:line="360" w:lineRule="auto"/>
              <w:ind w:firstLine="480" w:firstLineChars="200"/>
              <w:jc w:val="both"/>
              <w:rPr>
                <w:rFonts w:hint="default" w:ascii="Times New Roman" w:hAnsi="Times New Roman" w:cs="Times New Roman" w:eastAsiaTheme="minorEastAsia"/>
                <w:snapToGrid w:val="0"/>
                <w:color w:val="auto"/>
                <w:kern w:val="0"/>
                <w:sz w:val="24"/>
                <w:szCs w:val="24"/>
                <w:highlight w:val="none"/>
              </w:rPr>
            </w:pPr>
            <w:r>
              <w:rPr>
                <w:rFonts w:hint="default" w:ascii="Times New Roman" w:hAnsi="Times New Roman" w:cs="Times New Roman" w:eastAsiaTheme="minorEastAsia"/>
                <w:snapToGrid w:val="0"/>
                <w:color w:val="auto"/>
                <w:kern w:val="0"/>
                <w:sz w:val="24"/>
                <w:szCs w:val="24"/>
                <w:highlight w:val="none"/>
              </w:rPr>
              <w:t>项目位于</w:t>
            </w:r>
            <w:r>
              <w:rPr>
                <w:rFonts w:hint="default" w:ascii="Times New Roman" w:hAnsi="Times New Roman" w:cs="Times New Roman" w:eastAsiaTheme="minorEastAsia"/>
                <w:snapToGrid w:val="0"/>
                <w:color w:val="auto"/>
                <w:kern w:val="0"/>
                <w:sz w:val="24"/>
                <w:szCs w:val="24"/>
                <w:highlight w:val="none"/>
                <w:lang w:val="en-US" w:eastAsia="zh-CN"/>
              </w:rPr>
              <w:t>新</w:t>
            </w:r>
            <w:r>
              <w:rPr>
                <w:rFonts w:hint="default" w:ascii="Times New Roman" w:hAnsi="Times New Roman" w:eastAsia="宋体" w:cs="Times New Roman"/>
                <w:color w:val="auto"/>
                <w:spacing w:val="3"/>
                <w:sz w:val="24"/>
                <w:szCs w:val="24"/>
                <w:highlight w:val="none"/>
                <w:u w:val="none" w:color="auto"/>
                <w:lang w:val="en-US" w:eastAsia="zh-CN"/>
              </w:rPr>
              <w:t>疆维吾尔自治区昌吉市</w:t>
            </w:r>
            <w:r>
              <w:rPr>
                <w:rFonts w:hint="eastAsia" w:ascii="Times New Roman" w:hAnsi="Times New Roman" w:eastAsia="宋体" w:cs="Times New Roman"/>
                <w:color w:val="auto"/>
                <w:spacing w:val="3"/>
                <w:sz w:val="24"/>
                <w:szCs w:val="24"/>
                <w:highlight w:val="none"/>
                <w:u w:val="none" w:color="auto"/>
                <w:lang w:val="en-US" w:eastAsia="zh-CN"/>
              </w:rPr>
              <w:t>三工镇空港合作区</w:t>
            </w:r>
            <w:r>
              <w:rPr>
                <w:rFonts w:hint="default" w:ascii="Times New Roman" w:hAnsi="Times New Roman" w:cs="Times New Roman" w:eastAsiaTheme="minorEastAsia"/>
                <w:snapToGrid w:val="0"/>
                <w:color w:val="auto"/>
                <w:kern w:val="0"/>
                <w:sz w:val="24"/>
                <w:szCs w:val="24"/>
                <w:highlight w:val="none"/>
              </w:rPr>
              <w:t>，根据与建设单位核实以及实地考察情况，目前</w:t>
            </w:r>
            <w:r>
              <w:rPr>
                <w:rFonts w:hint="default" w:ascii="Times New Roman" w:hAnsi="Times New Roman" w:cs="Times New Roman" w:eastAsiaTheme="minorEastAsia"/>
                <w:color w:val="auto"/>
                <w:sz w:val="24"/>
                <w:szCs w:val="24"/>
                <w:highlight w:val="none"/>
              </w:rPr>
              <w:t>区域</w:t>
            </w:r>
            <w:r>
              <w:rPr>
                <w:rFonts w:hint="default" w:ascii="Times New Roman" w:hAnsi="Times New Roman" w:cs="Times New Roman" w:eastAsiaTheme="minorEastAsia"/>
                <w:snapToGrid w:val="0"/>
                <w:color w:val="auto"/>
                <w:kern w:val="0"/>
                <w:sz w:val="24"/>
                <w:szCs w:val="24"/>
                <w:highlight w:val="none"/>
              </w:rPr>
              <w:t>内供电、供水、</w:t>
            </w:r>
            <w:r>
              <w:rPr>
                <w:rFonts w:hint="default" w:ascii="Times New Roman" w:hAnsi="Times New Roman" w:cs="Times New Roman" w:eastAsiaTheme="minorEastAsia"/>
                <w:snapToGrid w:val="0"/>
                <w:color w:val="auto"/>
                <w:kern w:val="0"/>
                <w:sz w:val="24"/>
                <w:szCs w:val="24"/>
                <w:highlight w:val="none"/>
                <w:lang w:val="en-US" w:eastAsia="zh-CN"/>
              </w:rPr>
              <w:t>排水均</w:t>
            </w:r>
            <w:r>
              <w:rPr>
                <w:rFonts w:hint="default" w:ascii="Times New Roman" w:hAnsi="Times New Roman" w:cs="Times New Roman" w:eastAsiaTheme="minorEastAsia"/>
                <w:snapToGrid w:val="0"/>
                <w:color w:val="auto"/>
                <w:kern w:val="0"/>
                <w:sz w:val="24"/>
                <w:szCs w:val="24"/>
                <w:highlight w:val="none"/>
              </w:rPr>
              <w:t>已完善，可满足运营期生产需要。</w:t>
            </w:r>
          </w:p>
          <w:p w14:paraId="30408D4D">
            <w:pPr>
              <w:keepNext w:val="0"/>
              <w:keepLines w:val="0"/>
              <w:pageBreakBefore w:val="0"/>
              <w:kinsoku/>
              <w:wordWrap/>
              <w:topLinePunct/>
              <w:bidi w:val="0"/>
              <w:adjustRightInd w:val="0"/>
              <w:snapToGrid w:val="0"/>
              <w:spacing w:line="360" w:lineRule="auto"/>
              <w:ind w:firstLine="482" w:firstLineChars="200"/>
              <w:jc w:val="both"/>
              <w:rPr>
                <w:rFonts w:hint="default" w:ascii="Times New Roman" w:hAnsi="Times New Roman" w:cs="Times New Roman" w:eastAsiaTheme="minorEastAsia"/>
                <w:b/>
                <w:bCs/>
                <w:snapToGrid w:val="0"/>
                <w:color w:val="auto"/>
                <w:kern w:val="0"/>
                <w:sz w:val="24"/>
                <w:szCs w:val="24"/>
                <w:highlight w:val="none"/>
                <w:lang w:eastAsia="zh-CN"/>
              </w:rPr>
            </w:pPr>
            <w:r>
              <w:rPr>
                <w:rFonts w:hint="default" w:ascii="Times New Roman" w:hAnsi="Times New Roman" w:cs="Times New Roman" w:eastAsiaTheme="minorEastAsia"/>
                <w:b/>
                <w:bCs/>
                <w:snapToGrid w:val="0"/>
                <w:color w:val="auto"/>
                <w:kern w:val="0"/>
                <w:sz w:val="24"/>
                <w:szCs w:val="24"/>
                <w:highlight w:val="none"/>
                <w:lang w:val="en-US" w:eastAsia="zh-CN"/>
              </w:rPr>
              <w:t>（一）</w:t>
            </w:r>
            <w:r>
              <w:rPr>
                <w:rFonts w:hint="default" w:ascii="Times New Roman" w:hAnsi="Times New Roman" w:cs="Times New Roman" w:eastAsiaTheme="minorEastAsia"/>
                <w:b/>
                <w:bCs/>
                <w:snapToGrid w:val="0"/>
                <w:color w:val="auto"/>
                <w:kern w:val="0"/>
                <w:sz w:val="24"/>
                <w:szCs w:val="24"/>
                <w:highlight w:val="none"/>
                <w:lang w:eastAsia="zh-CN"/>
              </w:rPr>
              <w:t>供水</w:t>
            </w:r>
          </w:p>
          <w:p w14:paraId="75E4163C">
            <w:pPr>
              <w:keepNext w:val="0"/>
              <w:keepLines w:val="0"/>
              <w:pageBreakBefore w:val="0"/>
              <w:kinsoku/>
              <w:wordWrap/>
              <w:topLinePunct/>
              <w:bidi w:val="0"/>
              <w:adjustRightInd w:val="0"/>
              <w:snapToGrid w:val="0"/>
              <w:spacing w:line="360" w:lineRule="auto"/>
              <w:ind w:firstLine="480" w:firstLineChars="200"/>
              <w:jc w:val="both"/>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生活用水：根据《新疆维吾尔自治区生活用水定额》内容，本项目员工</w:t>
            </w:r>
            <w:r>
              <w:rPr>
                <w:rFonts w:hint="default" w:ascii="Times New Roman" w:hAnsi="Times New Roman" w:cs="Times New Roman" w:eastAsiaTheme="minorEastAsia"/>
                <w:color w:val="auto"/>
                <w:sz w:val="24"/>
                <w:szCs w:val="24"/>
                <w:highlight w:val="none"/>
                <w:lang w:val="en-US" w:eastAsia="zh-CN"/>
              </w:rPr>
              <w:t>13人，</w:t>
            </w:r>
            <w:r>
              <w:rPr>
                <w:rFonts w:hint="default" w:ascii="Times New Roman" w:hAnsi="Times New Roman" w:cs="Times New Roman" w:eastAsiaTheme="minorEastAsia"/>
                <w:color w:val="auto"/>
                <w:sz w:val="24"/>
                <w:szCs w:val="24"/>
                <w:highlight w:val="none"/>
                <w:lang w:eastAsia="zh-CN"/>
              </w:rPr>
              <w:t>生活用水定额</w:t>
            </w:r>
            <w:r>
              <w:rPr>
                <w:rFonts w:hint="default" w:ascii="Times New Roman" w:hAnsi="Times New Roman" w:cs="Times New Roman" w:eastAsiaTheme="minorEastAsia"/>
                <w:color w:val="auto"/>
                <w:sz w:val="24"/>
                <w:szCs w:val="24"/>
                <w:highlight w:val="none"/>
                <w:lang w:val="en-US" w:eastAsia="zh-CN"/>
              </w:rPr>
              <w:t>50L</w:t>
            </w:r>
            <w:r>
              <w:rPr>
                <w:rFonts w:hint="default" w:ascii="Times New Roman" w:hAnsi="Times New Roman" w:cs="Times New Roman" w:eastAsiaTheme="minorEastAsia"/>
                <w:color w:val="auto"/>
                <w:sz w:val="24"/>
                <w:szCs w:val="24"/>
                <w:highlight w:val="none"/>
                <w:lang w:eastAsia="zh-CN"/>
              </w:rPr>
              <w:t>/人·</w:t>
            </w:r>
            <w:r>
              <w:rPr>
                <w:rFonts w:hint="default" w:ascii="Times New Roman" w:hAnsi="Times New Roman" w:cs="Times New Roman" w:eastAsiaTheme="minorEastAsia"/>
                <w:color w:val="auto"/>
                <w:sz w:val="24"/>
                <w:szCs w:val="24"/>
                <w:highlight w:val="none"/>
                <w:lang w:val="en-US" w:eastAsia="zh-CN"/>
              </w:rPr>
              <w:t>班</w:t>
            </w:r>
            <w:r>
              <w:rPr>
                <w:rFonts w:hint="default" w:ascii="Times New Roman" w:hAnsi="Times New Roman" w:cs="Times New Roman" w:eastAsiaTheme="minorEastAsia"/>
                <w:color w:val="auto"/>
                <w:sz w:val="24"/>
                <w:szCs w:val="24"/>
                <w:highlight w:val="none"/>
                <w:lang w:eastAsia="zh-CN"/>
              </w:rPr>
              <w:t>计算，</w:t>
            </w:r>
            <w:r>
              <w:rPr>
                <w:rFonts w:hint="default" w:ascii="Times New Roman" w:hAnsi="Times New Roman" w:cs="Times New Roman" w:eastAsiaTheme="minorEastAsia"/>
                <w:snapToGrid w:val="0"/>
                <w:color w:val="auto"/>
                <w:sz w:val="24"/>
                <w:szCs w:val="24"/>
                <w:highlight w:val="none"/>
              </w:rPr>
              <w:t>年工作</w:t>
            </w:r>
            <w:r>
              <w:rPr>
                <w:rFonts w:hint="default" w:ascii="Times New Roman" w:hAnsi="Times New Roman" w:cs="Times New Roman" w:eastAsiaTheme="minorEastAsia"/>
                <w:snapToGrid w:val="0"/>
                <w:color w:val="auto"/>
                <w:sz w:val="24"/>
                <w:szCs w:val="24"/>
                <w:highlight w:val="none"/>
                <w:lang w:val="en-US" w:eastAsia="zh-CN"/>
              </w:rPr>
              <w:t>300</w:t>
            </w:r>
            <w:r>
              <w:rPr>
                <w:rFonts w:hint="default" w:ascii="Times New Roman" w:hAnsi="Times New Roman" w:cs="Times New Roman" w:eastAsiaTheme="minorEastAsia"/>
                <w:snapToGrid w:val="0"/>
                <w:color w:val="auto"/>
                <w:sz w:val="24"/>
                <w:szCs w:val="24"/>
                <w:highlight w:val="none"/>
              </w:rPr>
              <w:t>天</w:t>
            </w:r>
            <w:r>
              <w:rPr>
                <w:rFonts w:hint="default" w:ascii="Times New Roman" w:hAnsi="Times New Roman" w:cs="Times New Roman" w:eastAsiaTheme="minorEastAsia"/>
                <w:snapToGrid w:val="0"/>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eastAsia="zh-CN"/>
              </w:rPr>
              <w:t>则生活用水量约为</w:t>
            </w:r>
            <w:r>
              <w:rPr>
                <w:rFonts w:hint="default" w:ascii="Times New Roman" w:hAnsi="Times New Roman" w:cs="Times New Roman" w:eastAsiaTheme="minorEastAsia"/>
                <w:color w:val="auto"/>
                <w:sz w:val="24"/>
                <w:szCs w:val="24"/>
                <w:highlight w:val="none"/>
                <w:lang w:val="en-US" w:eastAsia="zh-CN"/>
              </w:rPr>
              <w:t>0.65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/d（</w:t>
            </w:r>
            <w:r>
              <w:rPr>
                <w:rFonts w:hint="default" w:ascii="Times New Roman" w:hAnsi="Times New Roman" w:cs="Times New Roman" w:eastAsiaTheme="minorEastAsia"/>
                <w:color w:val="auto"/>
                <w:sz w:val="24"/>
                <w:szCs w:val="24"/>
                <w:highlight w:val="none"/>
                <w:lang w:val="en-US" w:eastAsia="zh-CN"/>
              </w:rPr>
              <w:t>195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/a）。</w:t>
            </w:r>
          </w:p>
          <w:p w14:paraId="1016C431">
            <w:pPr>
              <w:keepNext w:val="0"/>
              <w:keepLines w:val="0"/>
              <w:pageBreakBefore w:val="0"/>
              <w:kinsoku/>
              <w:wordWrap/>
              <w:overflowPunct/>
              <w:topLinePunct/>
              <w:bidi w:val="0"/>
              <w:adjustRightInd w:val="0"/>
              <w:snapToGrid w:val="0"/>
              <w:spacing w:line="360" w:lineRule="auto"/>
              <w:ind w:firstLine="482" w:firstLineChars="200"/>
              <w:rPr>
                <w:rFonts w:hint="default" w:ascii="Times New Roman" w:hAnsi="Times New Roman" w:cs="Times New Roman" w:eastAsiaTheme="minorEastAsia"/>
                <w:b/>
                <w:bCs/>
                <w:snapToGrid w:val="0"/>
                <w:color w:val="auto"/>
                <w:kern w:val="0"/>
                <w:sz w:val="24"/>
                <w:szCs w:val="24"/>
                <w:highlight w:val="none"/>
                <w:lang w:val="en-US" w:eastAsia="zh-CN"/>
              </w:rPr>
            </w:pPr>
            <w:r>
              <w:rPr>
                <w:rFonts w:hint="default" w:ascii="Times New Roman" w:hAnsi="Times New Roman" w:cs="Times New Roman" w:eastAsiaTheme="minorEastAsia"/>
                <w:b/>
                <w:bCs/>
                <w:snapToGrid w:val="0"/>
                <w:color w:val="auto"/>
                <w:kern w:val="0"/>
                <w:sz w:val="24"/>
                <w:szCs w:val="24"/>
                <w:highlight w:val="none"/>
                <w:lang w:val="en-US" w:eastAsia="zh-CN"/>
              </w:rPr>
              <w:t>（二）排水</w:t>
            </w:r>
          </w:p>
          <w:p w14:paraId="3BCB1D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napToGrid w:val="0"/>
                <w:color w:val="auto"/>
                <w:sz w:val="24"/>
                <w:szCs w:val="24"/>
                <w:highlight w:val="none"/>
                <w:lang w:val="en-US" w:eastAsia="zh-CN"/>
              </w:rPr>
            </w:pPr>
            <w:r>
              <w:rPr>
                <w:rFonts w:hint="default" w:ascii="Times New Roman" w:hAnsi="Times New Roman" w:cs="Times New Roman" w:eastAsiaTheme="minorEastAsia"/>
                <w:snapToGrid w:val="0"/>
                <w:color w:val="auto"/>
                <w:sz w:val="24"/>
                <w:szCs w:val="24"/>
                <w:highlight w:val="none"/>
                <w:lang w:val="en-US" w:eastAsia="zh-CN"/>
              </w:rPr>
              <w:t>生活污水：本项目</w:t>
            </w:r>
            <w:r>
              <w:rPr>
                <w:rFonts w:hint="default" w:ascii="Times New Roman" w:hAnsi="Times New Roman" w:cs="Times New Roman" w:eastAsiaTheme="minorEastAsia"/>
                <w:color w:val="auto"/>
                <w:sz w:val="24"/>
                <w:szCs w:val="24"/>
                <w:highlight w:val="none"/>
                <w:lang w:eastAsia="zh-CN"/>
              </w:rPr>
              <w:t>生活用水量为</w:t>
            </w:r>
            <w:r>
              <w:rPr>
                <w:rFonts w:hint="default" w:ascii="Times New Roman" w:hAnsi="Times New Roman" w:cs="Times New Roman" w:eastAsiaTheme="minorEastAsia"/>
                <w:color w:val="auto"/>
                <w:sz w:val="24"/>
                <w:szCs w:val="24"/>
                <w:highlight w:val="none"/>
                <w:lang w:val="en-US" w:eastAsia="zh-CN"/>
              </w:rPr>
              <w:t>0.65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/d（</w:t>
            </w:r>
            <w:r>
              <w:rPr>
                <w:rFonts w:hint="default" w:ascii="Times New Roman" w:hAnsi="Times New Roman" w:cs="Times New Roman" w:eastAsiaTheme="minorEastAsia"/>
                <w:color w:val="auto"/>
                <w:sz w:val="24"/>
                <w:szCs w:val="24"/>
                <w:highlight w:val="none"/>
                <w:lang w:val="en-US" w:eastAsia="zh-CN"/>
              </w:rPr>
              <w:t>195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/a），</w:t>
            </w:r>
            <w:r>
              <w:rPr>
                <w:rFonts w:hint="default" w:ascii="Times New Roman" w:hAnsi="Times New Roman" w:cs="Times New Roman" w:eastAsiaTheme="minorEastAsia"/>
                <w:snapToGrid w:val="0"/>
                <w:color w:val="auto"/>
                <w:sz w:val="24"/>
                <w:szCs w:val="24"/>
                <w:highlight w:val="none"/>
                <w:lang w:val="en-US" w:eastAsia="zh-CN"/>
              </w:rPr>
              <w:t>排水系数按用水量的80%计，则生活污水产生量为0.52</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snapToGrid w:val="0"/>
                <w:color w:val="auto"/>
                <w:sz w:val="24"/>
                <w:szCs w:val="24"/>
                <w:highlight w:val="none"/>
                <w:lang w:val="en-US" w:eastAsia="zh-CN"/>
              </w:rPr>
              <w:t>/d（156</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snapToGrid w:val="0"/>
                <w:color w:val="auto"/>
                <w:sz w:val="24"/>
                <w:szCs w:val="24"/>
                <w:highlight w:val="none"/>
                <w:lang w:val="en-US" w:eastAsia="zh-CN"/>
              </w:rPr>
              <w:t>/a）。生活污水排入厂区防渗池，定期</w:t>
            </w:r>
            <w:r>
              <w:rPr>
                <w:rFonts w:hint="eastAsia" w:ascii="Times New Roman" w:hAnsi="Times New Roman" w:cs="Times New Roman" w:eastAsiaTheme="minorEastAsia"/>
                <w:snapToGrid w:val="0"/>
                <w:color w:val="auto"/>
                <w:sz w:val="24"/>
                <w:szCs w:val="24"/>
                <w:highlight w:val="none"/>
                <w:lang w:val="en-US" w:eastAsia="zh-CN"/>
              </w:rPr>
              <w:t>由吸污车</w:t>
            </w:r>
            <w:r>
              <w:rPr>
                <w:rFonts w:hint="default" w:ascii="Times New Roman" w:hAnsi="Times New Roman" w:cs="Times New Roman" w:eastAsiaTheme="minorEastAsia"/>
                <w:snapToGrid w:val="0"/>
                <w:color w:val="auto"/>
                <w:sz w:val="24"/>
                <w:szCs w:val="24"/>
                <w:highlight w:val="none"/>
                <w:lang w:val="en-US" w:eastAsia="zh-CN"/>
              </w:rPr>
              <w:t>拉运，待园区下水管网建成后接入园区下水管网，进入污水处理厂处理</w:t>
            </w:r>
            <w:r>
              <w:rPr>
                <w:rFonts w:hint="eastAsia" w:ascii="Times New Roman" w:hAnsi="Times New Roman" w:cs="Times New Roman" w:eastAsiaTheme="minorEastAsia"/>
                <w:snapToGrid w:val="0"/>
                <w:color w:val="auto"/>
                <w:sz w:val="24"/>
                <w:szCs w:val="24"/>
                <w:highlight w:val="none"/>
                <w:lang w:val="en-US" w:eastAsia="zh-CN"/>
              </w:rPr>
              <w:t>。水平衡图见图1。</w:t>
            </w:r>
          </w:p>
          <w:p w14:paraId="241420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snapToGrid w:val="0"/>
                <w:color w:val="auto"/>
                <w:sz w:val="24"/>
                <w:szCs w:val="24"/>
                <w:highlight w:val="none"/>
                <w:lang w:val="en-US" w:eastAsia="zh-CN"/>
              </w:rPr>
            </w:pPr>
          </w:p>
          <w:p w14:paraId="3BC38A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snapToGrid w:val="0"/>
                <w:color w:val="auto"/>
                <w:sz w:val="24"/>
                <w:szCs w:val="24"/>
                <w:highlight w:val="none"/>
                <w:lang w:val="en-US" w:eastAsia="zh-CN"/>
              </w:rPr>
            </w:pPr>
          </w:p>
          <w:p w14:paraId="77CE48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snapToGrid w:val="0"/>
                <w:color w:val="auto"/>
                <w:sz w:val="24"/>
                <w:szCs w:val="24"/>
                <w:highlight w:val="none"/>
                <w:lang w:val="en-US" w:eastAsia="zh-CN"/>
              </w:rPr>
            </w:pPr>
          </w:p>
          <w:p w14:paraId="3F10E5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snapToGrid w:val="0"/>
                <w:color w:val="auto"/>
                <w:sz w:val="24"/>
                <w:szCs w:val="24"/>
                <w:highlight w:val="none"/>
                <w:lang w:val="en-US" w:eastAsia="zh-CN"/>
              </w:rPr>
            </w:pPr>
          </w:p>
          <w:p w14:paraId="6E4E58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eastAsiaTheme="minorEastAsia"/>
                <w:snapToGrid w:val="0"/>
                <w:color w:val="auto"/>
                <w:sz w:val="24"/>
                <w:szCs w:val="24"/>
                <w:highlight w:val="none"/>
                <w:lang w:val="en-US" w:eastAsia="zh-CN"/>
              </w:rPr>
            </w:pPr>
          </w:p>
          <w:p w14:paraId="0EB0D3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napToGrid w:val="0"/>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3344545</wp:posOffset>
                      </wp:positionH>
                      <wp:positionV relativeFrom="paragraph">
                        <wp:posOffset>682625</wp:posOffset>
                      </wp:positionV>
                      <wp:extent cx="545465" cy="2686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545465" cy="268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FDD55">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r>
                                    <w:rPr>
                                      <w:rFonts w:hint="eastAsia" w:ascii="Times New Roman" w:hAnsi="Times New Roman" w:eastAsia="宋体" w:cs="Times New Roman"/>
                                      <w:lang w:val="en-US" w:eastAsia="zh-CN"/>
                                    </w:rPr>
                                    <w:t>52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35pt;margin-top:53.75pt;height:21.15pt;width:42.95pt;z-index:251667456;mso-width-relative:page;mso-height-relative:page;" filled="f" stroked="f" coordsize="21600,21600" o:gfxdata="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&#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XhR/2wAAAAsBAAAPAAAAAAAAAAEAIAAAACIAAABk&#10;cnMvZG93bnJldi54bWxQSwECFAAUAAAACACHTuJAAee+6TwCAABnBAAADgAAAAAAAAABACAAAAAq&#10;AQAAZHJzL2Uyb0RvYy54bWxQSwUGAAAAAAYABgBZAQAA2AUAAAAA&#10;">
                      <v:fill on="f" focussize="0,0"/>
                      <v:stroke on="f" weight="0.5pt"/>
                      <v:imagedata o:title=""/>
                      <o:lock v:ext="edit" aspectratio="f"/>
                      <v:textbox>
                        <w:txbxContent>
                          <w:p w14:paraId="0A4FDD55">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r>
                              <w:rPr>
                                <w:rFonts w:hint="eastAsia" w:ascii="Times New Roman" w:hAnsi="Times New Roman" w:eastAsia="宋体" w:cs="Times New Roman"/>
                                <w:lang w:val="en-US" w:eastAsia="zh-CN"/>
                              </w:rPr>
                              <w:t>52</w:t>
                            </w:r>
                          </w:p>
                        </w:txbxContent>
                      </v:textbox>
                    </v:shape>
                  </w:pict>
                </mc:Fallback>
              </mc:AlternateContent>
            </w: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1858645</wp:posOffset>
                      </wp:positionH>
                      <wp:positionV relativeFrom="paragraph">
                        <wp:posOffset>685800</wp:posOffset>
                      </wp:positionV>
                      <wp:extent cx="770890" cy="26860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770890" cy="268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65209">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0.65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35pt;margin-top:54pt;height:21.15pt;width:60.7pt;z-index:251664384;mso-width-relative:page;mso-height-relative:page;" filled="f" stroked="f" coordsize="21600,21600" o:gfxdata="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&#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hoGth2wAAAAsBAAAPAAAAAAAAAAEAIAAAACIAAABk&#10;cnMvZG93bnJldi54bWxQSwECFAAUAAAACACHTuJAhLhrxDwCAABnBAAADgAAAAAAAAABACAAAAAq&#10;AQAAZHJzL2Uyb0RvYy54bWxQSwUGAAAAAAYABgBZAQAA2AUAAAAA&#10;">
                      <v:fill on="f" focussize="0,0"/>
                      <v:stroke on="f" weight="0.5pt"/>
                      <v:imagedata o:title=""/>
                      <o:lock v:ext="edit" aspectratio="f"/>
                      <v:textbox>
                        <w:txbxContent>
                          <w:p w14:paraId="33F65209">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0.65</w:t>
                            </w:r>
                          </w:p>
                        </w:txbxContent>
                      </v:textbox>
                    </v:shape>
                  </w:pict>
                </mc:Fallback>
              </mc:AlternateContent>
            </w: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3343275</wp:posOffset>
                      </wp:positionH>
                      <wp:positionV relativeFrom="paragraph">
                        <wp:posOffset>299720</wp:posOffset>
                      </wp:positionV>
                      <wp:extent cx="770890" cy="268605"/>
                      <wp:effectExtent l="0" t="0" r="0" b="0"/>
                      <wp:wrapNone/>
                      <wp:docPr id="27" name="文本框 27"/>
                      <wp:cNvGraphicFramePr/>
                      <a:graphic xmlns:a="http://schemas.openxmlformats.org/drawingml/2006/main">
                        <a:graphicData uri="http://schemas.microsoft.com/office/word/2010/wordprocessingShape">
                          <wps:wsp>
                            <wps:cNvSpPr txBox="1"/>
                            <wps:spPr>
                              <a:xfrm>
                                <a:off x="4459605" y="1479550"/>
                                <a:ext cx="770890" cy="268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E87B3">
                                  <w:pPr>
                                    <w:rPr>
                                      <w:rFonts w:hint="default" w:eastAsia="宋体"/>
                                      <w:lang w:val="en-US" w:eastAsia="zh-CN"/>
                                    </w:rPr>
                                  </w:pPr>
                                  <w:r>
                                    <w:rPr>
                                      <w:rFonts w:hint="eastAsia" w:eastAsia="宋体"/>
                                      <w:lang w:val="en-US" w:eastAsia="zh-CN"/>
                                    </w:rPr>
                                    <w:t>消耗</w:t>
                                  </w:r>
                                  <w:r>
                                    <w:rPr>
                                      <w:rFonts w:hint="default" w:ascii="Times New Roman" w:hAnsi="Times New Roman" w:eastAsia="宋体" w:cs="Times New Roman"/>
                                      <w:lang w:val="en-US" w:eastAsia="zh-CN"/>
                                    </w:rPr>
                                    <w:t>0.13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25pt;margin-top:23.6pt;height:21.15pt;width:60.7pt;z-index:251661312;mso-width-relative:page;mso-height-relative:page;" filled="f" stroked="f" coordsize="21600,21600" o:gfxdata="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wjXy5tsAAAAJAQAADwAAAAAAAAAB&#10;ACAAAAAiAAAAZHJzL2Rvd25yZXYueG1sUEsBAhQAFAAAAAgAh07iQGTLIDZGAgAAcwQAAA4AAAAA&#10;AAAAAQAgAAAAKgEAAGRycy9lMm9Eb2MueG1sUEsFBgAAAAAGAAYAWQEAAOIFAAAAAA==&#10;">
                      <v:fill on="f" focussize="0,0"/>
                      <v:stroke on="f" weight="0.5pt"/>
                      <v:imagedata o:title=""/>
                      <o:lock v:ext="edit" aspectratio="f"/>
                      <v:textbox>
                        <w:txbxContent>
                          <w:p w14:paraId="297E87B3">
                            <w:pPr>
                              <w:rPr>
                                <w:rFonts w:hint="default" w:eastAsia="宋体"/>
                                <w:lang w:val="en-US" w:eastAsia="zh-CN"/>
                              </w:rPr>
                            </w:pPr>
                            <w:r>
                              <w:rPr>
                                <w:rFonts w:hint="eastAsia" w:eastAsia="宋体"/>
                                <w:lang w:val="en-US" w:eastAsia="zh-CN"/>
                              </w:rPr>
                              <w:t>消耗</w:t>
                            </w:r>
                            <w:r>
                              <w:rPr>
                                <w:rFonts w:hint="default" w:ascii="Times New Roman" w:hAnsi="Times New Roman" w:eastAsia="宋体" w:cs="Times New Roman"/>
                                <w:lang w:val="en-US" w:eastAsia="zh-CN"/>
                              </w:rPr>
                              <w:t>0.13</w:t>
                            </w:r>
                          </w:p>
                        </w:txbxContent>
                      </v:textbox>
                    </v:shape>
                  </w:pict>
                </mc:Fallback>
              </mc:AlternateContent>
            </w: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1741170</wp:posOffset>
                      </wp:positionH>
                      <wp:positionV relativeFrom="paragraph">
                        <wp:posOffset>931545</wp:posOffset>
                      </wp:positionV>
                      <wp:extent cx="866140" cy="0"/>
                      <wp:effectExtent l="0" t="48895" r="10160" b="65405"/>
                      <wp:wrapNone/>
                      <wp:docPr id="6" name="直接箭头连接符 6"/>
                      <wp:cNvGraphicFramePr/>
                      <a:graphic xmlns:a="http://schemas.openxmlformats.org/drawingml/2006/main">
                        <a:graphicData uri="http://schemas.microsoft.com/office/word/2010/wordprocessingShape">
                          <wps:wsp>
                            <wps:cNvCnPr/>
                            <wps:spPr>
                              <a:xfrm>
                                <a:off x="2857500" y="2111375"/>
                                <a:ext cx="866140"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37.1pt;margin-top:73.35pt;height:0pt;width:68.2pt;z-index:251660288;mso-width-relative:page;mso-height-relative:page;" filled="f" stroked="t" coordsize="21600,21600" o:gfxdata="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Vk1x9cAAAALAQAADwAAAAAAAAABACAAAAAiAAAAZHJz&#10;L2Rvd25yZXYueG1sUEsBAhQAFAAAAAgAh07iQJEezE0FAgAA0gMAAA4AAAAAAAAAAQAgAAAAJgEA&#10;AGRycy9lMm9Eb2MueG1sUEsFBgAAAAAGAAYAWQEAAJ0FAAAAAA==&#10;">
                      <v:fill on="f" focussize="0,0"/>
                      <v:stroke color="#000000 [3213]" joinstyle="round" endarrow="open"/>
                      <v:imagedata o:title=""/>
                      <o:lock v:ext="edit" aspectratio="f"/>
                    </v:shape>
                  </w:pict>
                </mc:Fallback>
              </mc:AlternateContent>
            </w:r>
            <w:r>
              <w:rPr>
                <w:color w:val="auto"/>
                <w:sz w:val="24"/>
                <w:highlight w:val="none"/>
              </w:rPr>
              <mc:AlternateContent>
                <mc:Choice Requires="wpc">
                  <w:drawing>
                    <wp:inline distT="0" distB="0" distL="114300" distR="114300">
                      <wp:extent cx="5353050" cy="1360170"/>
                      <wp:effectExtent l="0" t="0" r="0" b="0"/>
                      <wp:docPr id="2" name="画布 2"/>
                      <wp:cNvGraphicFramePr/>
                      <a:graphic xmlns:a="http://schemas.openxmlformats.org/drawingml/2006/main">
                        <a:graphicData uri="http://schemas.microsoft.com/office/word/2010/wordprocessingCanvas">
                          <wpc:wpc>
                            <wpc:bg/>
                            <wpc:whole/>
                            <wps:wsp>
                              <wps:cNvPr id="3" name="文本框 3"/>
                              <wps:cNvSpPr txBox="1"/>
                              <wps:spPr>
                                <a:xfrm>
                                  <a:off x="735330" y="802640"/>
                                  <a:ext cx="69278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B4F922">
                                    <w:pPr>
                                      <w:rPr>
                                        <w:rFonts w:hint="default" w:eastAsia="宋体"/>
                                        <w:lang w:val="en-US" w:eastAsia="zh-CN"/>
                                      </w:rPr>
                                    </w:pPr>
                                    <w:r>
                                      <w:rPr>
                                        <w:rFonts w:hint="eastAsia" w:eastAsia="宋体"/>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5"/>
                              <wps:cNvSpPr txBox="1"/>
                              <wps:spPr>
                                <a:xfrm>
                                  <a:off x="2301240" y="793115"/>
                                  <a:ext cx="69278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2D8F3">
                                    <w:pPr>
                                      <w:rPr>
                                        <w:rFonts w:hint="default" w:eastAsia="宋体"/>
                                        <w:lang w:val="en-US" w:eastAsia="zh-CN"/>
                                      </w:rPr>
                                    </w:pPr>
                                    <w:r>
                                      <w:rPr>
                                        <w:rFonts w:hint="eastAsia" w:eastAsia="宋体"/>
                                        <w:lang w:val="en-US" w:eastAsia="zh-CN"/>
                                      </w:rPr>
                                      <w:t>防渗池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曲线连接符 9"/>
                              <wps:cNvCnPr>
                                <a:stCxn id="5" idx="0"/>
                              </wps:cNvCnPr>
                              <wps:spPr>
                                <a:xfrm rot="16200000">
                                  <a:off x="2687320" y="433705"/>
                                  <a:ext cx="320040" cy="399415"/>
                                </a:xfrm>
                                <a:prstGeom prst="curvedConnector2">
                                  <a:avLst/>
                                </a:prstGeom>
                                <a:ln w="12700" cmpd="sng">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10" name="直接箭头连接符 10"/>
                              <wps:cNvCnPr>
                                <a:stCxn id="5" idx="3"/>
                              </wps:cNvCnPr>
                              <wps:spPr>
                                <a:xfrm>
                                  <a:off x="2994025" y="923290"/>
                                  <a:ext cx="633095"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0" name="文本框 20"/>
                              <wps:cNvSpPr txBox="1"/>
                              <wps:spPr>
                                <a:xfrm>
                                  <a:off x="3634105" y="786130"/>
                                  <a:ext cx="85788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67FDF">
                                    <w:pPr>
                                      <w:rPr>
                                        <w:rFonts w:hint="default" w:eastAsia="宋体"/>
                                        <w:lang w:val="en-US" w:eastAsia="zh-CN"/>
                                      </w:rPr>
                                    </w:pPr>
                                    <w:r>
                                      <w:rPr>
                                        <w:rFonts w:hint="eastAsia" w:eastAsia="宋体"/>
                                        <w:lang w:val="en-US" w:eastAsia="zh-CN"/>
                                      </w:rPr>
                                      <w:t>吸污车拉运</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07.1pt;width:421.5pt;" coordsize="5353050,1360170" editas="canvas" o:gfxdata="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">
                      <o:lock v:ext="edit" aspectratio="f"/>
                      <v:shape id="_x0000_s1026" o:spid="_x0000_s1026" style="position:absolute;left:0;top:0;height:1360170;width:5353050;" filled="f" stroked="f" coordsize="21600,21600" o:gfxdata="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">
                        <v:fill on="f" focussize="0,0"/>
                        <v:stroke on="f"/>
                        <v:imagedata o:title=""/>
                        <o:lock v:ext="edit" aspectratio="f"/>
                      </v:shape>
                      <v:shape id="_x0000_s1026" o:spid="_x0000_s1026" o:spt="202" type="#_x0000_t202" style="position:absolute;left:735330;top:802640;height:260350;width:692785;" fillcolor="#FFFFFF [3201]" filled="t" stroked="t" coordsize="21600,21600" o:gfxdata="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tk&#10;mCnSAAAABQEAAA8AAAAAAAAAAQAgAAAAIgAAAGRycy9kb3ducmV2LnhtbFBLAQIUABQAAAAIAIdO&#10;4kB1QGJ9YgIAAMAEAAAOAAAAAAAAAAEAIAAAACEBAABkcnMvZTJvRG9jLnhtbFBLBQYAAAAABgAG&#10;AFkBAAD1BQAAAAA=&#10;">
                        <v:fill on="t" focussize="0,0"/>
                        <v:stroke weight="0.5pt" color="#000000 [3204]" joinstyle="round"/>
                        <v:imagedata o:title=""/>
                        <o:lock v:ext="edit" aspectratio="f"/>
                        <v:textbox>
                          <w:txbxContent>
                            <w:p w14:paraId="1FB4F922">
                              <w:pPr>
                                <w:rPr>
                                  <w:rFonts w:hint="default" w:eastAsia="宋体"/>
                                  <w:lang w:val="en-US" w:eastAsia="zh-CN"/>
                                </w:rPr>
                              </w:pPr>
                              <w:r>
                                <w:rPr>
                                  <w:rFonts w:hint="eastAsia" w:eastAsia="宋体"/>
                                  <w:lang w:val="en-US" w:eastAsia="zh-CN"/>
                                </w:rPr>
                                <w:t>新鲜水</w:t>
                              </w:r>
                            </w:p>
                          </w:txbxContent>
                        </v:textbox>
                      </v:shape>
                      <v:shape id="_x0000_s1026" o:spid="_x0000_s1026" o:spt="202" type="#_x0000_t202" style="position:absolute;left:2301240;top:793115;height:260350;width:692785;" fillcolor="#FFFFFF [3201]" filled="t" stroked="t" coordsize="21600,21600" o:gfxdata="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b&#10;ZJgp0gAAAAUBAAAPAAAAAAAAAAEAIAAAACIAAABkcnMvZG93bnJldi54bWxQSwECFAAUAAAACACH&#10;TuJAyCHu+GMCAADBBAAADgAAAAAAAAABACAAAAAhAQAAZHJzL2Uyb0RvYy54bWxQSwUGAAAAAAYA&#10;BgBZAQAA9gUAAAAA&#10;">
                        <v:fill on="t" focussize="0,0"/>
                        <v:stroke weight="0.5pt" color="#000000 [3204]" joinstyle="round"/>
                        <v:imagedata o:title=""/>
                        <o:lock v:ext="edit" aspectratio="f"/>
                        <v:textbox>
                          <w:txbxContent>
                            <w:p w14:paraId="6EC2D8F3">
                              <w:pPr>
                                <w:rPr>
                                  <w:rFonts w:hint="default" w:eastAsia="宋体"/>
                                  <w:lang w:val="en-US" w:eastAsia="zh-CN"/>
                                </w:rPr>
                              </w:pPr>
                              <w:r>
                                <w:rPr>
                                  <w:rFonts w:hint="eastAsia" w:eastAsia="宋体"/>
                                  <w:lang w:val="en-US" w:eastAsia="zh-CN"/>
                                </w:rPr>
                                <w:t>防渗池</w:t>
                              </w:r>
                            </w:p>
                          </w:txbxContent>
                        </v:textbox>
                      </v:shape>
                      <v:shape id="_x0000_s1026" o:spid="_x0000_s1026" o:spt="37" type="#_x0000_t37" style="position:absolute;left:2687320;top:433705;height:399415;width:320040;rotation:-5898240f;" filled="f" stroked="t" coordsize="21600,21600" o:gfxdata="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Y1EfvTAAAABQEA&#10;AA8AAAAAAAAAAQAgAAAAIgAAAGRycy9kb3ducmV2LnhtbFBLAQIUABQAAAAIAIdO4kDWNPKqHwIA&#10;AAYEAAAOAAAAAAAAAAEAIAAAACIBAABkcnMvZTJvRG9jLnhtbFBLBQYAAAAABgAGAFkBAACzBQAA&#10;AAA=&#10;">
                        <v:fill on="f" focussize="0,0"/>
                        <v:stroke weight="1pt" color="#000000 [3213]" joinstyle="round" dashstyle="3 1" endarrow="open"/>
                        <v:imagedata o:title=""/>
                        <o:lock v:ext="edit" aspectratio="f"/>
                      </v:shape>
                      <v:shape id="_x0000_s1026" o:spid="_x0000_s1026" o:spt="32" type="#_x0000_t32" style="position:absolute;left:2994025;top:923290;height:0;width:633095;" filled="f" stroked="t" coordsize="21600,21600" o:gfxdata="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kql/rTAAAABQEAAA8AAAAAAAAAAQAg&#10;AAAAIgAAAGRycy9kb3ducmV2LnhtbFBLAQIUABQAAAAIAIdO4kCIMgY3EwIAAPkDAAAOAAAAAAAA&#10;AAEAIAAAACIBAABkcnMvZTJvRG9jLnhtbFBLBQYAAAAABgAGAFkBAACnBQAAAAA=&#10;">
                        <v:fill on="f" focussize="0,0"/>
                        <v:stroke color="#000000 [3213]" joinstyle="round" endarrow="open"/>
                        <v:imagedata o:title=""/>
                        <o:lock v:ext="edit" aspectratio="f"/>
                      </v:shape>
                      <v:shape id="_x0000_s1026" o:spid="_x0000_s1026" o:spt="202" type="#_x0000_t202" style="position:absolute;left:3634105;top:786130;height:260350;width:857885;" fillcolor="#FFFFFF [3201]" filled="t" stroked="t" coordsize="21600,21600" o:gfxdata="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tk&#10;mCnSAAAABQEAAA8AAAAAAAAAAQAgAAAAIgAAAGRycy9kb3ducmV2LnhtbFBLAQIUABQAAAAIAIdO&#10;4kDUm/j0YgIAAMMEAAAOAAAAAAAAAAEAIAAAACEBAABkcnMvZTJvRG9jLnhtbFBLBQYAAAAABgAG&#10;AFkBAAD1BQAAAAA=&#10;">
                        <v:fill on="t" focussize="0,0"/>
                        <v:stroke weight="0.5pt" color="#000000 [3204]" joinstyle="round"/>
                        <v:imagedata o:title=""/>
                        <o:lock v:ext="edit" aspectratio="f"/>
                        <v:textbox>
                          <w:txbxContent>
                            <w:p w14:paraId="6EC67FDF">
                              <w:pPr>
                                <w:rPr>
                                  <w:rFonts w:hint="default" w:eastAsia="宋体"/>
                                  <w:lang w:val="en-US" w:eastAsia="zh-CN"/>
                                </w:rPr>
                              </w:pPr>
                              <w:r>
                                <w:rPr>
                                  <w:rFonts w:hint="eastAsia" w:eastAsia="宋体"/>
                                  <w:lang w:val="en-US" w:eastAsia="zh-CN"/>
                                </w:rPr>
                                <w:t>吸污车拉运</w:t>
                              </w:r>
                            </w:p>
                          </w:txbxContent>
                        </v:textbox>
                      </v:shape>
                      <w10:wrap type="none"/>
                      <w10:anchorlock/>
                    </v:group>
                  </w:pict>
                </mc:Fallback>
              </mc:AlternateContent>
            </w:r>
          </w:p>
          <w:p w14:paraId="3BC3A668">
            <w:pPr>
              <w:keepNext w:val="0"/>
              <w:keepLines w:val="0"/>
              <w:pageBreakBefore w:val="0"/>
              <w:widowControl/>
              <w:kinsoku/>
              <w:wordWrap/>
              <w:overflowPunct/>
              <w:topLinePunct/>
              <w:autoSpaceDE w:val="0"/>
              <w:autoSpaceDN w:val="0"/>
              <w:bidi w:val="0"/>
              <w:adjustRightInd w:val="0"/>
              <w:snapToGrid w:val="0"/>
              <w:spacing w:line="360" w:lineRule="auto"/>
              <w:ind w:firstLine="422" w:firstLineChars="200"/>
              <w:jc w:val="center"/>
              <w:textAlignment w:val="baseline"/>
              <w:rPr>
                <w:rFonts w:hint="default" w:ascii="Times New Roman" w:hAnsi="Times New Roman" w:cs="Times New Roman" w:eastAsiaTheme="minorEastAsia"/>
                <w:b/>
                <w:bCs/>
                <w:snapToGrid w:val="0"/>
                <w:color w:val="auto"/>
                <w:kern w:val="0"/>
                <w:sz w:val="21"/>
                <w:szCs w:val="21"/>
                <w:highlight w:val="none"/>
                <w:lang w:val="en-US" w:eastAsia="zh-CN"/>
              </w:rPr>
            </w:pPr>
            <w:r>
              <w:rPr>
                <w:rFonts w:hint="eastAsia" w:ascii="Times New Roman" w:hAnsi="Times New Roman" w:cs="Times New Roman" w:eastAsiaTheme="minorEastAsia"/>
                <w:b/>
                <w:bCs/>
                <w:snapToGrid w:val="0"/>
                <w:color w:val="auto"/>
                <w:kern w:val="0"/>
                <w:sz w:val="21"/>
                <w:szCs w:val="21"/>
                <w:highlight w:val="none"/>
                <w:lang w:val="en-US" w:eastAsia="zh-CN"/>
              </w:rPr>
              <w:t>图1   水平衡图  单位：</w:t>
            </w:r>
            <w:r>
              <w:rPr>
                <w:rFonts w:hint="default" w:ascii="Times New Roman" w:hAnsi="Times New Roman" w:cs="Times New Roman" w:eastAsiaTheme="minorEastAsia"/>
                <w:b/>
                <w:bCs/>
                <w:color w:val="auto"/>
                <w:sz w:val="21"/>
                <w:szCs w:val="21"/>
                <w:highlight w:val="none"/>
                <w:lang w:eastAsia="zh-CN"/>
              </w:rPr>
              <w:t>m</w:t>
            </w:r>
            <w:r>
              <w:rPr>
                <w:rFonts w:hint="default" w:ascii="Times New Roman" w:hAnsi="Times New Roman" w:cs="Times New Roman" w:eastAsiaTheme="minorEastAsia"/>
                <w:b/>
                <w:bCs/>
                <w:color w:val="auto"/>
                <w:sz w:val="21"/>
                <w:szCs w:val="21"/>
                <w:highlight w:val="none"/>
                <w:vertAlign w:val="superscript"/>
                <w:lang w:eastAsia="zh-CN"/>
              </w:rPr>
              <w:t>3</w:t>
            </w:r>
            <w:r>
              <w:rPr>
                <w:rFonts w:hint="default" w:ascii="Times New Roman" w:hAnsi="Times New Roman" w:cs="Times New Roman" w:eastAsiaTheme="minorEastAsia"/>
                <w:b/>
                <w:bCs/>
                <w:snapToGrid w:val="0"/>
                <w:color w:val="auto"/>
                <w:sz w:val="21"/>
                <w:szCs w:val="21"/>
                <w:highlight w:val="none"/>
                <w:lang w:val="en-US" w:eastAsia="zh-CN"/>
              </w:rPr>
              <w:t>/d</w:t>
            </w:r>
          </w:p>
          <w:p w14:paraId="500A39D1">
            <w:pPr>
              <w:keepNext w:val="0"/>
              <w:keepLines w:val="0"/>
              <w:pageBreakBefore w:val="0"/>
              <w:widowControl/>
              <w:kinsoku/>
              <w:wordWrap/>
              <w:overflowPunct/>
              <w:topLinePunct/>
              <w:autoSpaceDE w:val="0"/>
              <w:autoSpaceDN w:val="0"/>
              <w:bidi w:val="0"/>
              <w:adjustRightInd w:val="0"/>
              <w:snapToGrid w:val="0"/>
              <w:spacing w:line="360" w:lineRule="auto"/>
              <w:ind w:firstLine="482" w:firstLineChars="200"/>
              <w:jc w:val="both"/>
              <w:textAlignment w:val="baseline"/>
              <w:rPr>
                <w:rFonts w:hint="default" w:ascii="Times New Roman" w:hAnsi="Times New Roman" w:cs="Times New Roman" w:eastAsiaTheme="minorEastAsia"/>
                <w:b/>
                <w:bCs/>
                <w:snapToGrid w:val="0"/>
                <w:color w:val="auto"/>
                <w:kern w:val="0"/>
                <w:sz w:val="24"/>
                <w:szCs w:val="24"/>
                <w:highlight w:val="none"/>
              </w:rPr>
            </w:pPr>
            <w:r>
              <w:rPr>
                <w:rFonts w:hint="default" w:ascii="Times New Roman" w:hAnsi="Times New Roman" w:cs="Times New Roman" w:eastAsiaTheme="minorEastAsia"/>
                <w:b/>
                <w:bCs/>
                <w:snapToGrid w:val="0"/>
                <w:color w:val="auto"/>
                <w:kern w:val="0"/>
                <w:sz w:val="24"/>
                <w:szCs w:val="24"/>
                <w:highlight w:val="none"/>
                <w:lang w:val="en-US" w:eastAsia="zh-CN"/>
              </w:rPr>
              <w:t>（三）</w:t>
            </w:r>
            <w:r>
              <w:rPr>
                <w:rFonts w:hint="default" w:ascii="Times New Roman" w:hAnsi="Times New Roman" w:cs="Times New Roman" w:eastAsiaTheme="minorEastAsia"/>
                <w:b/>
                <w:bCs/>
                <w:snapToGrid w:val="0"/>
                <w:color w:val="auto"/>
                <w:kern w:val="0"/>
                <w:sz w:val="24"/>
                <w:szCs w:val="24"/>
                <w:highlight w:val="none"/>
              </w:rPr>
              <w:t>供电</w:t>
            </w:r>
          </w:p>
          <w:p w14:paraId="258F5DC2">
            <w:pPr>
              <w:keepNext w:val="0"/>
              <w:keepLines w:val="0"/>
              <w:pageBreakBefore w:val="0"/>
              <w:widowControl/>
              <w:kinsoku/>
              <w:wordWrap/>
              <w:overflowPunct/>
              <w:topLinePunct/>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snapToGrid w:val="0"/>
                <w:color w:val="auto"/>
                <w:kern w:val="0"/>
                <w:sz w:val="24"/>
                <w:szCs w:val="24"/>
                <w:highlight w:val="none"/>
              </w:rPr>
              <w:t>项目用电由</w:t>
            </w:r>
            <w:r>
              <w:rPr>
                <w:rFonts w:hint="default" w:ascii="Times New Roman" w:hAnsi="Times New Roman" w:cs="Times New Roman" w:eastAsiaTheme="minorEastAsia"/>
                <w:snapToGrid w:val="0"/>
                <w:color w:val="auto"/>
                <w:kern w:val="0"/>
                <w:sz w:val="24"/>
                <w:szCs w:val="24"/>
                <w:highlight w:val="none"/>
                <w:lang w:eastAsia="zh-CN"/>
              </w:rPr>
              <w:t>国家</w:t>
            </w:r>
            <w:r>
              <w:rPr>
                <w:rFonts w:hint="default" w:ascii="Times New Roman" w:hAnsi="Times New Roman" w:cs="Times New Roman" w:eastAsiaTheme="minorEastAsia"/>
                <w:snapToGrid w:val="0"/>
                <w:color w:val="auto"/>
                <w:kern w:val="0"/>
                <w:sz w:val="24"/>
                <w:szCs w:val="24"/>
                <w:highlight w:val="none"/>
              </w:rPr>
              <w:t>电网供给</w:t>
            </w:r>
            <w:r>
              <w:rPr>
                <w:rStyle w:val="48"/>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snapToGrid w:val="0"/>
                <w:color w:val="auto"/>
                <w:kern w:val="0"/>
                <w:sz w:val="24"/>
                <w:szCs w:val="24"/>
                <w:highlight w:val="none"/>
              </w:rPr>
              <w:t>经变压器变配电后使用，可满足项目用电负荷的需要及对供电可靠性的要求。</w:t>
            </w:r>
          </w:p>
        </w:tc>
      </w:tr>
      <w:tr w14:paraId="4EE72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527" w:hRule="atLeast"/>
          <w:jc w:val="center"/>
        </w:trPr>
        <w:tc>
          <w:tcPr>
            <w:tcW w:w="211" w:type="pct"/>
            <w:tcBorders>
              <w:left w:val="single" w:color="000000" w:sz="6" w:space="0"/>
            </w:tcBorders>
            <w:vAlign w:val="center"/>
          </w:tcPr>
          <w:p w14:paraId="19C44C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position w:val="4"/>
                <w:sz w:val="24"/>
                <w:szCs w:val="24"/>
                <w:highlight w:val="none"/>
              </w:rPr>
              <w:t>工</w:t>
            </w:r>
            <w:r>
              <w:rPr>
                <w:rFonts w:hint="default" w:ascii="Times New Roman" w:hAnsi="Times New Roman" w:eastAsia="宋体" w:cs="Times New Roman"/>
                <w:color w:val="auto"/>
                <w:spacing w:val="3"/>
                <w:position w:val="4"/>
                <w:sz w:val="24"/>
                <w:szCs w:val="24"/>
                <w:highlight w:val="none"/>
              </w:rPr>
              <w:t>艺</w:t>
            </w:r>
            <w:r>
              <w:rPr>
                <w:rFonts w:hint="default" w:ascii="Times New Roman" w:hAnsi="Times New Roman" w:eastAsia="宋体" w:cs="Times New Roman"/>
                <w:color w:val="auto"/>
                <w:spacing w:val="4"/>
                <w:sz w:val="24"/>
                <w:szCs w:val="24"/>
                <w:highlight w:val="none"/>
              </w:rPr>
              <w:t>流程和产</w:t>
            </w:r>
            <w:r>
              <w:rPr>
                <w:rFonts w:hint="default" w:ascii="Times New Roman" w:hAnsi="Times New Roman" w:eastAsia="宋体" w:cs="Times New Roman"/>
                <w:color w:val="auto"/>
                <w:spacing w:val="5"/>
                <w:sz w:val="24"/>
                <w:szCs w:val="24"/>
                <w:highlight w:val="none"/>
              </w:rPr>
              <w:t>排</w:t>
            </w:r>
            <w:r>
              <w:rPr>
                <w:rFonts w:hint="default" w:ascii="Times New Roman" w:hAnsi="Times New Roman" w:eastAsia="宋体" w:cs="Times New Roman"/>
                <w:color w:val="auto"/>
                <w:spacing w:val="4"/>
                <w:sz w:val="24"/>
                <w:szCs w:val="24"/>
                <w:highlight w:val="none"/>
              </w:rPr>
              <w:t>污</w:t>
            </w:r>
            <w:r>
              <w:rPr>
                <w:rFonts w:hint="default" w:ascii="Times New Roman" w:hAnsi="Times New Roman" w:eastAsia="宋体" w:cs="Times New Roman"/>
                <w:color w:val="auto"/>
                <w:spacing w:val="5"/>
                <w:sz w:val="24"/>
                <w:szCs w:val="24"/>
                <w:highlight w:val="none"/>
              </w:rPr>
              <w:t>环</w:t>
            </w:r>
            <w:r>
              <w:rPr>
                <w:rFonts w:hint="default" w:ascii="Times New Roman" w:hAnsi="Times New Roman" w:eastAsia="宋体" w:cs="Times New Roman"/>
                <w:color w:val="auto"/>
                <w:spacing w:val="4"/>
                <w:sz w:val="24"/>
                <w:szCs w:val="24"/>
                <w:highlight w:val="none"/>
              </w:rPr>
              <w:t>节</w:t>
            </w:r>
          </w:p>
        </w:tc>
        <w:tc>
          <w:tcPr>
            <w:tcW w:w="4788" w:type="pct"/>
            <w:tcBorders>
              <w:right w:val="single" w:color="000000" w:sz="6" w:space="0"/>
            </w:tcBorders>
            <w:vAlign w:val="center"/>
          </w:tcPr>
          <w:p w14:paraId="39EC8E8D">
            <w:pPr>
              <w:keepNext w:val="0"/>
              <w:keepLines w:val="0"/>
              <w:pageBreakBefore w:val="0"/>
              <w:widowControl/>
              <w:tabs>
                <w:tab w:val="left" w:pos="6990"/>
              </w:tabs>
              <w:kinsoku/>
              <w:wordWrap/>
              <w:autoSpaceDE/>
              <w:autoSpaceDN/>
              <w:bidi w:val="0"/>
              <w:adjustRightInd w:val="0"/>
              <w:snapToGrid w:val="0"/>
              <w:spacing w:line="360" w:lineRule="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一、</w:t>
            </w:r>
            <w:r>
              <w:rPr>
                <w:rFonts w:hint="default" w:ascii="Times New Roman" w:hAnsi="Times New Roman" w:eastAsia="宋体" w:cs="Times New Roman"/>
                <w:b/>
                <w:bCs/>
                <w:color w:val="auto"/>
                <w:sz w:val="24"/>
                <w:szCs w:val="24"/>
                <w:highlight w:val="none"/>
              </w:rPr>
              <w:t>施工期工艺流程</w:t>
            </w:r>
          </w:p>
          <w:p w14:paraId="5E134582">
            <w:pPr>
              <w:keepNext w:val="0"/>
              <w:pageBreakBefore w:val="0"/>
              <w:tabs>
                <w:tab w:val="left" w:pos="705"/>
              </w:tabs>
              <w:kinsoku/>
              <w:wordWrap/>
              <w:bidi w:val="0"/>
              <w:adjustRightInd/>
              <w:snapToGrid/>
              <w:spacing w:line="360" w:lineRule="auto"/>
              <w:ind w:firstLine="480" w:firstLineChars="20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本项目为补做环评，施工期厂房建设已经结束，</w:t>
            </w:r>
            <w:r>
              <w:rPr>
                <w:rFonts w:hint="eastAsia" w:ascii="Times New Roman" w:hAnsi="Times New Roman" w:eastAsia="宋体" w:cs="Times New Roman"/>
                <w:color w:val="auto"/>
                <w:sz w:val="24"/>
                <w:szCs w:val="24"/>
                <w:highlight w:val="none"/>
                <w:lang w:val="en-US" w:eastAsia="zh-CN"/>
              </w:rPr>
              <w:t>施工期</w:t>
            </w:r>
            <w:r>
              <w:rPr>
                <w:rFonts w:hint="default" w:ascii="Times New Roman" w:hAnsi="Times New Roman" w:eastAsia="宋体" w:cs="Times New Roman"/>
                <w:color w:val="auto"/>
                <w:sz w:val="24"/>
                <w:szCs w:val="24"/>
                <w:highlight w:val="none"/>
              </w:rPr>
              <w:t>仅进行</w:t>
            </w:r>
            <w:r>
              <w:rPr>
                <w:rFonts w:hint="eastAsia" w:ascii="Times New Roman" w:hAnsi="Times New Roman" w:eastAsia="宋体" w:cs="Times New Roman"/>
                <w:color w:val="auto"/>
                <w:sz w:val="24"/>
                <w:szCs w:val="24"/>
                <w:highlight w:val="none"/>
                <w:lang w:val="en-US" w:eastAsia="zh-CN"/>
              </w:rPr>
              <w:t>环保</w:t>
            </w:r>
            <w:r>
              <w:rPr>
                <w:rFonts w:hint="default" w:ascii="Times New Roman" w:hAnsi="Times New Roman" w:eastAsia="宋体" w:cs="Times New Roman"/>
                <w:color w:val="auto"/>
                <w:sz w:val="24"/>
                <w:szCs w:val="24"/>
                <w:highlight w:val="none"/>
              </w:rPr>
              <w:t>设备安装和生产设备调试。本项目施工期主要工艺流程及产污环节见图</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1"/>
                <w:szCs w:val="21"/>
                <w:highlight w:val="none"/>
              </w:rPr>
              <mc:AlternateContent>
                <mc:Choice Requires="wpc">
                  <w:drawing>
                    <wp:inline distT="0" distB="0" distL="114300" distR="114300">
                      <wp:extent cx="4249420" cy="1487805"/>
                      <wp:effectExtent l="0" t="0" r="0" b="17145"/>
                      <wp:docPr id="132" name="画布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a:noFill/>
                              </a:ln>
                            </wpc:whole>
                            <wps:wsp>
                              <wps:cNvPr id="133" name="矩形 119"/>
                              <wps:cNvSpPr/>
                              <wps:spPr>
                                <a:xfrm>
                                  <a:off x="1770358" y="158115"/>
                                  <a:ext cx="466887" cy="264795"/>
                                </a:xfrm>
                                <a:prstGeom prst="rect">
                                  <a:avLst/>
                                </a:prstGeom>
                                <a:solidFill>
                                  <a:srgbClr val="FFFFFF"/>
                                </a:solidFill>
                                <a:ln w="9525" cap="flat" cmpd="sng">
                                  <a:solidFill>
                                    <a:srgbClr val="000000"/>
                                  </a:solidFill>
                                  <a:prstDash val="dashDot"/>
                                  <a:miter/>
                                  <a:headEnd type="none" w="med" len="med"/>
                                  <a:tailEnd type="none" w="med" len="med"/>
                                </a:ln>
                              </wps:spPr>
                              <wps:txbx>
                                <w:txbxContent>
                                  <w:p w14:paraId="49BAB284">
                                    <w:pPr>
                                      <w:jc w:val="center"/>
                                      <w:rPr>
                                        <w:sz w:val="18"/>
                                        <w:szCs w:val="18"/>
                                      </w:rPr>
                                    </w:pPr>
                                    <w:r>
                                      <w:rPr>
                                        <w:rFonts w:hint="eastAsia"/>
                                        <w:sz w:val="18"/>
                                        <w:szCs w:val="18"/>
                                      </w:rPr>
                                      <w:t>噪声</w:t>
                                    </w:r>
                                  </w:p>
                                </w:txbxContent>
                              </wps:txbx>
                              <wps:bodyPr upright="1"/>
                            </wps:wsp>
                            <wps:wsp>
                              <wps:cNvPr id="134" name="矩形 120"/>
                              <wps:cNvSpPr/>
                              <wps:spPr>
                                <a:xfrm>
                                  <a:off x="675874" y="601980"/>
                                  <a:ext cx="799742"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4AD7CC">
                                    <w:pPr>
                                      <w:jc w:val="center"/>
                                    </w:pPr>
                                    <w:r>
                                      <w:rPr>
                                        <w:rFonts w:hint="eastAsia"/>
                                      </w:rPr>
                                      <w:t>设备安装</w:t>
                                    </w:r>
                                  </w:p>
                                </w:txbxContent>
                              </wps:txbx>
                              <wps:bodyPr upright="1"/>
                            </wps:wsp>
                            <wps:wsp>
                              <wps:cNvPr id="135" name="矩形 121"/>
                              <wps:cNvSpPr/>
                              <wps:spPr>
                                <a:xfrm>
                                  <a:off x="1606471" y="611505"/>
                                  <a:ext cx="799742"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4A3717">
                                    <w:pPr>
                                      <w:jc w:val="center"/>
                                    </w:pPr>
                                    <w:r>
                                      <w:rPr>
                                        <w:rFonts w:hint="eastAsia"/>
                                      </w:rPr>
                                      <w:t>工程验收</w:t>
                                    </w:r>
                                  </w:p>
                                </w:txbxContent>
                              </wps:txbx>
                              <wps:bodyPr upright="1"/>
                            </wps:wsp>
                            <wps:wsp>
                              <wps:cNvPr id="136" name="矩形 122"/>
                              <wps:cNvSpPr/>
                              <wps:spPr>
                                <a:xfrm>
                                  <a:off x="2516106" y="622935"/>
                                  <a:ext cx="494836"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351BEB">
                                    <w:pPr>
                                      <w:jc w:val="center"/>
                                    </w:pPr>
                                    <w:r>
                                      <w:rPr>
                                        <w:rFonts w:hint="eastAsia"/>
                                      </w:rPr>
                                      <w:t>运行</w:t>
                                    </w:r>
                                  </w:p>
                                </w:txbxContent>
                              </wps:txbx>
                              <wps:bodyPr upright="1"/>
                            </wps:wsp>
                            <wps:wsp>
                              <wps:cNvPr id="137" name="直接连接符 123"/>
                              <wps:cNvCnPr/>
                              <wps:spPr>
                                <a:xfrm>
                                  <a:off x="1484509" y="754380"/>
                                  <a:ext cx="114340" cy="635"/>
                                </a:xfrm>
                                <a:prstGeom prst="line">
                                  <a:avLst/>
                                </a:prstGeom>
                                <a:ln w="9525" cap="flat" cmpd="sng">
                                  <a:solidFill>
                                    <a:srgbClr val="000000"/>
                                  </a:solidFill>
                                  <a:prstDash val="solid"/>
                                  <a:headEnd type="none" w="med" len="med"/>
                                  <a:tailEnd type="triangle" w="med" len="med"/>
                                </a:ln>
                              </wps:spPr>
                              <wps:bodyPr upright="1"/>
                            </wps:wsp>
                            <wps:wsp>
                              <wps:cNvPr id="138" name="直接连接符 124"/>
                              <wps:cNvCnPr/>
                              <wps:spPr>
                                <a:xfrm>
                                  <a:off x="2417012" y="775335"/>
                                  <a:ext cx="114340" cy="635"/>
                                </a:xfrm>
                                <a:prstGeom prst="line">
                                  <a:avLst/>
                                </a:prstGeom>
                                <a:ln w="9525" cap="flat" cmpd="sng">
                                  <a:solidFill>
                                    <a:srgbClr val="000000"/>
                                  </a:solidFill>
                                  <a:prstDash val="solid"/>
                                  <a:headEnd type="none" w="med" len="med"/>
                                  <a:tailEnd type="triangle" w="med" len="med"/>
                                </a:ln>
                              </wps:spPr>
                              <wps:bodyPr upright="1"/>
                            </wps:wsp>
                            <wps:wsp>
                              <wps:cNvPr id="139" name="直接连接符 125"/>
                              <wps:cNvCnPr/>
                              <wps:spPr>
                                <a:xfrm flipV="1">
                                  <a:off x="2008565" y="419100"/>
                                  <a:ext cx="635" cy="198120"/>
                                </a:xfrm>
                                <a:prstGeom prst="line">
                                  <a:avLst/>
                                </a:prstGeom>
                                <a:ln w="9525" cap="flat" cmpd="sng">
                                  <a:solidFill>
                                    <a:srgbClr val="000000"/>
                                  </a:solidFill>
                                  <a:prstDash val="dashDot"/>
                                  <a:headEnd type="none" w="med" len="med"/>
                                  <a:tailEnd type="triangle" w="med" len="med"/>
                                </a:ln>
                              </wps:spPr>
                              <wps:bodyPr upright="1"/>
                            </wps:wsp>
                            <wps:wsp>
                              <wps:cNvPr id="140" name="直接连接符 126"/>
                              <wps:cNvCnPr/>
                              <wps:spPr>
                                <a:xfrm>
                                  <a:off x="1075427" y="891540"/>
                                  <a:ext cx="635" cy="297180"/>
                                </a:xfrm>
                                <a:prstGeom prst="line">
                                  <a:avLst/>
                                </a:prstGeom>
                                <a:ln w="9525" cap="flat" cmpd="sng">
                                  <a:solidFill>
                                    <a:srgbClr val="000000"/>
                                  </a:solidFill>
                                  <a:prstDash val="dashDot"/>
                                  <a:headEnd type="none" w="med" len="med"/>
                                  <a:tailEnd type="triangle" w="med" len="med"/>
                                </a:ln>
                              </wps:spPr>
                              <wps:bodyPr upright="1"/>
                            </wps:wsp>
                            <wps:wsp>
                              <wps:cNvPr id="141" name="矩形 127"/>
                              <wps:cNvSpPr/>
                              <wps:spPr>
                                <a:xfrm>
                                  <a:off x="827056" y="1198880"/>
                                  <a:ext cx="482132" cy="266700"/>
                                </a:xfrm>
                                <a:prstGeom prst="rect">
                                  <a:avLst/>
                                </a:prstGeom>
                                <a:solidFill>
                                  <a:srgbClr val="FFFFFF"/>
                                </a:solidFill>
                                <a:ln w="9525" cap="flat" cmpd="sng">
                                  <a:solidFill>
                                    <a:srgbClr val="000000"/>
                                  </a:solidFill>
                                  <a:prstDash val="dashDot"/>
                                  <a:miter/>
                                  <a:headEnd type="none" w="med" len="med"/>
                                  <a:tailEnd type="none" w="med" len="med"/>
                                </a:ln>
                              </wps:spPr>
                              <wps:txbx>
                                <w:txbxContent>
                                  <w:p w14:paraId="55BF5E9F">
                                    <w:pPr>
                                      <w:jc w:val="center"/>
                                      <w:rPr>
                                        <w:sz w:val="18"/>
                                        <w:szCs w:val="18"/>
                                      </w:rPr>
                                    </w:pPr>
                                    <w:r>
                                      <w:rPr>
                                        <w:rFonts w:hint="eastAsia"/>
                                        <w:sz w:val="18"/>
                                        <w:szCs w:val="18"/>
                                      </w:rPr>
                                      <w:t>固废</w:t>
                                    </w:r>
                                  </w:p>
                                </w:txbxContent>
                              </wps:txbx>
                              <wps:bodyPr upright="1"/>
                            </wps:wsp>
                            <wps:wsp>
                              <wps:cNvPr id="142" name="直接连接符 128"/>
                              <wps:cNvCnPr/>
                              <wps:spPr>
                                <a:xfrm>
                                  <a:off x="2754949" y="913130"/>
                                  <a:ext cx="0" cy="292100"/>
                                </a:xfrm>
                                <a:prstGeom prst="line">
                                  <a:avLst/>
                                </a:prstGeom>
                                <a:ln w="9525" cap="flat" cmpd="sng">
                                  <a:solidFill>
                                    <a:srgbClr val="000000"/>
                                  </a:solidFill>
                                  <a:prstDash val="dashDot"/>
                                  <a:headEnd type="none" w="med" len="med"/>
                                  <a:tailEnd type="triangle" w="med" len="med"/>
                                </a:ln>
                              </wps:spPr>
                              <wps:bodyPr upright="1"/>
                            </wps:wsp>
                            <wps:wsp>
                              <wps:cNvPr id="143" name="矩形 129"/>
                              <wps:cNvSpPr/>
                              <wps:spPr>
                                <a:xfrm>
                                  <a:off x="2303145" y="1198880"/>
                                  <a:ext cx="1234440" cy="266700"/>
                                </a:xfrm>
                                <a:prstGeom prst="rect">
                                  <a:avLst/>
                                </a:prstGeom>
                                <a:solidFill>
                                  <a:srgbClr val="FFFFFF"/>
                                </a:solidFill>
                                <a:ln w="9525" cap="flat" cmpd="sng">
                                  <a:solidFill>
                                    <a:srgbClr val="000000"/>
                                  </a:solidFill>
                                  <a:prstDash val="dashDot"/>
                                  <a:miter/>
                                  <a:headEnd type="none" w="med" len="med"/>
                                  <a:tailEnd type="none" w="med" len="med"/>
                                </a:ln>
                              </wps:spPr>
                              <wps:txbx>
                                <w:txbxContent>
                                  <w:p w14:paraId="3CAFF47A">
                                    <w:pPr>
                                      <w:jc w:val="center"/>
                                      <w:rPr>
                                        <w:rFonts w:hint="default" w:eastAsia="宋体"/>
                                        <w:sz w:val="18"/>
                                        <w:szCs w:val="18"/>
                                        <w:lang w:val="en-US" w:eastAsia="zh-CN"/>
                                      </w:rPr>
                                    </w:pPr>
                                    <w:r>
                                      <w:rPr>
                                        <w:rFonts w:hint="eastAsia"/>
                                        <w:sz w:val="18"/>
                                        <w:szCs w:val="18"/>
                                      </w:rPr>
                                      <w:t>废水、固废</w:t>
                                    </w:r>
                                    <w:r>
                                      <w:rPr>
                                        <w:rFonts w:hint="eastAsia" w:eastAsia="宋体"/>
                                        <w:sz w:val="18"/>
                                        <w:szCs w:val="18"/>
                                        <w:lang w:eastAsia="zh-CN"/>
                                      </w:rPr>
                                      <w:t>、</w:t>
                                    </w:r>
                                    <w:r>
                                      <w:rPr>
                                        <w:rFonts w:hint="eastAsia" w:eastAsia="宋体"/>
                                        <w:color w:val="0000FF"/>
                                        <w:sz w:val="18"/>
                                        <w:szCs w:val="18"/>
                                        <w:lang w:val="en-US" w:eastAsia="zh-CN"/>
                                      </w:rPr>
                                      <w:t>废气</w:t>
                                    </w:r>
                                  </w:p>
                                </w:txbxContent>
                              </wps:txbx>
                              <wps:bodyPr upright="1"/>
                            </wps:wsp>
                            <wps:wsp>
                              <wps:cNvPr id="144" name="矩形 130"/>
                              <wps:cNvSpPr/>
                              <wps:spPr>
                                <a:xfrm>
                                  <a:off x="2516741" y="179705"/>
                                  <a:ext cx="457358" cy="254000"/>
                                </a:xfrm>
                                <a:prstGeom prst="rect">
                                  <a:avLst/>
                                </a:prstGeom>
                                <a:solidFill>
                                  <a:srgbClr val="FFFFFF"/>
                                </a:solidFill>
                                <a:ln w="9525" cap="flat" cmpd="sng">
                                  <a:solidFill>
                                    <a:srgbClr val="000000"/>
                                  </a:solidFill>
                                  <a:prstDash val="dashDot"/>
                                  <a:miter/>
                                  <a:headEnd type="none" w="med" len="med"/>
                                  <a:tailEnd type="none" w="med" len="med"/>
                                </a:ln>
                              </wps:spPr>
                              <wps:txbx>
                                <w:txbxContent>
                                  <w:p w14:paraId="1AF68F13">
                                    <w:pPr>
                                      <w:jc w:val="center"/>
                                      <w:rPr>
                                        <w:sz w:val="18"/>
                                        <w:szCs w:val="18"/>
                                      </w:rPr>
                                    </w:pPr>
                                    <w:r>
                                      <w:rPr>
                                        <w:rFonts w:hint="eastAsia"/>
                                        <w:sz w:val="18"/>
                                        <w:szCs w:val="18"/>
                                      </w:rPr>
                                      <w:t>噪声</w:t>
                                    </w:r>
                                  </w:p>
                                </w:txbxContent>
                              </wps:txbx>
                              <wps:bodyPr upright="1"/>
                            </wps:wsp>
                            <wps:wsp>
                              <wps:cNvPr id="145" name="直接连接符 131"/>
                              <wps:cNvCnPr/>
                              <wps:spPr>
                                <a:xfrm flipV="1">
                                  <a:off x="2754949" y="436880"/>
                                  <a:ext cx="0" cy="190500"/>
                                </a:xfrm>
                                <a:prstGeom prst="line">
                                  <a:avLst/>
                                </a:prstGeom>
                                <a:ln w="9525" cap="flat" cmpd="sng">
                                  <a:solidFill>
                                    <a:srgbClr val="000000"/>
                                  </a:solidFill>
                                  <a:prstDash val="dashDot"/>
                                  <a:headEnd type="none" w="med" len="med"/>
                                  <a:tailEnd type="triangle" w="med" len="med"/>
                                </a:ln>
                              </wps:spPr>
                              <wps:bodyPr upright="1"/>
                            </wps:wsp>
                          </wpc:wpc>
                        </a:graphicData>
                      </a:graphic>
                    </wp:inline>
                  </w:drawing>
                </mc:Choice>
                <mc:Fallback>
                  <w:pict>
                    <v:group id="_x0000_s1026" o:spid="_x0000_s1026" o:spt="203" style="height:117.15pt;width:334.6pt;" coordsize="4249420,1487805" editas="canvas" o:gfxdata="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JZIuzjUAAAABQEAAA8AAAAAAAAAAQAgAAAAIgAA&#10;AGRycy9kb3ducmV2LnhtbFBLAQIUABQAAAAIAIdO4kAq8Zn2uAQAAD8gAAAOAAAAAAAAAAEAIAAA&#10;ACMBAABkcnMvZTJvRG9jLnhtbFBLBQYAAAAABgAGAFkBAABNCAAAAAA=&#10;">
                      <o:lock v:ext="edit" aspectratio="f"/>
                      <v:shape id="_x0000_s1026" o:spid="_x0000_s1026" style="position:absolute;left:0;top:0;height:1487805;width:4249420;" filled="f" stroked="f" coordsize="21600,21600" o:gfxdata="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">
                        <v:fill on="f" focussize="0,0"/>
                        <v:stroke on="f" weight="1pt"/>
                        <v:imagedata o:title=""/>
                        <o:lock v:ext="edit" aspectratio="t"/>
                      </v:shape>
                      <v:rect id="矩形 119" o:spid="_x0000_s1026" o:spt="1" style="position:absolute;left:1770358;top:158115;height:264795;width:466887;" fillcolor="#FFFFFF" filled="t" stroked="t" coordsize="21600,21600" o:gfxdata="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qUW7PWAAAABQEAAA8AAAAAAAAA&#10;AQAgAAAAIgAAAGRycy9kb3ducmV2LnhtbFBLAQIUABQAAAAIAIdO4kCtbPeJEwIAADkEAAAOAAAA&#10;AAAAAAEAIAAAACUBAABkcnMvZTJvRG9jLnhtbFBLBQYAAAAABgAGAFkBAACqBQAAAAA=&#10;">
                        <v:fill on="t" focussize="0,0"/>
                        <v:stroke color="#000000" joinstyle="miter" dashstyle="dashDot"/>
                        <v:imagedata o:title=""/>
                        <o:lock v:ext="edit" aspectratio="f"/>
                        <v:textbox>
                          <w:txbxContent>
                            <w:p w14:paraId="49BAB284">
                              <w:pPr>
                                <w:jc w:val="center"/>
                                <w:rPr>
                                  <w:sz w:val="18"/>
                                  <w:szCs w:val="18"/>
                                </w:rPr>
                              </w:pPr>
                              <w:r>
                                <w:rPr>
                                  <w:rFonts w:hint="eastAsia"/>
                                  <w:sz w:val="18"/>
                                  <w:szCs w:val="18"/>
                                </w:rPr>
                                <w:t>噪声</w:t>
                              </w:r>
                            </w:p>
                          </w:txbxContent>
                        </v:textbox>
                      </v:rect>
                      <v:rect id="矩形 120" o:spid="_x0000_s1026" o:spt="1" style="position:absolute;left:675874;top:601980;height:297180;width:799742;" fillcolor="#FFFFFF" filled="t" stroked="t" coordsize="21600,21600" o:gfxdata="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hQp4V1QAAAAUBAAAPAAAAAAAAAAEAIAAA&#10;ACIAAABkcnMvZG93bnJldi54bWxQSwECFAAUAAAACACHTuJA2lmRng8CAAA2BAAADgAAAAAAAAAB&#10;ACAAAAAkAQAAZHJzL2Uyb0RvYy54bWxQSwUGAAAAAAYABgBZAQAApQUAAAAA&#10;">
                        <v:fill on="t" focussize="0,0"/>
                        <v:stroke color="#000000" joinstyle="miter"/>
                        <v:imagedata o:title=""/>
                        <o:lock v:ext="edit" aspectratio="f"/>
                        <v:textbox>
                          <w:txbxContent>
                            <w:p w14:paraId="6F4AD7CC">
                              <w:pPr>
                                <w:jc w:val="center"/>
                              </w:pPr>
                              <w:r>
                                <w:rPr>
                                  <w:rFonts w:hint="eastAsia"/>
                                </w:rPr>
                                <w:t>设备安装</w:t>
                              </w:r>
                            </w:p>
                          </w:txbxContent>
                        </v:textbox>
                      </v:rect>
                      <v:rect id="矩形 121" o:spid="_x0000_s1026" o:spt="1" style="position:absolute;left:1606471;top:611505;height:297180;width:799742;" fillcolor="#FFFFFF" filled="t" stroked="t" coordsize="21600,21600" o:gfxdata="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FCnhXVAAAABQEAAA8AAAAAAAAAAQAg&#10;AAAAIgAAAGRycy9kb3ducmV2LnhtbFBLAQIUABQAAAAIAIdO4kBahwyGEQIAADcEAAAOAAAAAAAA&#10;AAEAIAAAACQBAABkcnMvZTJvRG9jLnhtbFBLBQYAAAAABgAGAFkBAACnBQAAAAA=&#10;">
                        <v:fill on="t" focussize="0,0"/>
                        <v:stroke color="#000000" joinstyle="miter"/>
                        <v:imagedata o:title=""/>
                        <o:lock v:ext="edit" aspectratio="f"/>
                        <v:textbox>
                          <w:txbxContent>
                            <w:p w14:paraId="204A3717">
                              <w:pPr>
                                <w:jc w:val="center"/>
                              </w:pPr>
                              <w:r>
                                <w:rPr>
                                  <w:rFonts w:hint="eastAsia"/>
                                </w:rPr>
                                <w:t>工程验收</w:t>
                              </w:r>
                            </w:p>
                          </w:txbxContent>
                        </v:textbox>
                      </v:rect>
                      <v:rect id="矩形 122" o:spid="_x0000_s1026" o:spt="1" style="position:absolute;left:2516106;top:622935;height:268605;width:494836;" fillcolor="#FFFFFF" filled="t" stroked="t" coordsize="21600,21600" o:gfxdata="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UKeFdUAAAAFAQAADwAAAAAAAAABACAA&#10;AAAiAAAAZHJzL2Rvd25yZXYueG1sUEsBAhQAFAAAAAgAh07iQHyEqiUQAgAANwQAAA4AAAAAAAAA&#10;AQAgAAAAJAEAAGRycy9lMm9Eb2MueG1sUEsFBgAAAAAGAAYAWQEAAKYFAAAAAA==&#10;">
                        <v:fill on="t" focussize="0,0"/>
                        <v:stroke color="#000000" joinstyle="miter"/>
                        <v:imagedata o:title=""/>
                        <o:lock v:ext="edit" aspectratio="f"/>
                        <v:textbox>
                          <w:txbxContent>
                            <w:p w14:paraId="4B351BEB">
                              <w:pPr>
                                <w:jc w:val="center"/>
                              </w:pPr>
                              <w:r>
                                <w:rPr>
                                  <w:rFonts w:hint="eastAsia"/>
                                </w:rPr>
                                <w:t>运行</w:t>
                              </w:r>
                            </w:p>
                          </w:txbxContent>
                        </v:textbox>
                      </v:rect>
                      <v:line id="直接连接符 123" o:spid="_x0000_s1026" o:spt="20" style="position:absolute;left:1484509;top:754380;height:635;width:114340;" filled="f" stroked="t" coordsize="21600,21600" o:gfxdata="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lSGd/YAAAABQEAAA8AAAAAAAAAAQAgAAAA&#10;IgAAAGRycy9kb3ducmV2LnhtbFBLAQIUABQAAAAIAIdO4kBL+bKyCwIAAPgDAAAOAAAAAAAAAAEA&#10;IAAAACcBAABkcnMvZTJvRG9jLnhtbFBLBQYAAAAABgAGAFkBAACkBQAAAAA=&#10;">
                        <v:fill on="f" focussize="0,0"/>
                        <v:stroke color="#000000" joinstyle="round" endarrow="block"/>
                        <v:imagedata o:title=""/>
                        <o:lock v:ext="edit" aspectratio="f"/>
                      </v:line>
                      <v:line id="直接连接符 124" o:spid="_x0000_s1026" o:spt="20" style="position:absolute;left:2417012;top:775335;height:635;width:114340;" filled="f" stroked="t" coordsize="21600,21600" o:gfxdata="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lSGd/YAAAABQEAAA8AAAAAAAAAAQAg&#10;AAAAIgAAAGRycy9kb3ducmV2LnhtbFBLAQIUABQAAAAIAIdO4kBX45uqDgIAAPgDAAAOAAAAAAAA&#10;AAEAIAAAACcBAABkcnMvZTJvRG9jLnhtbFBLBQYAAAAABgAGAFkBAACnBQAAAAA=&#10;">
                        <v:fill on="f" focussize="0,0"/>
                        <v:stroke color="#000000" joinstyle="round" endarrow="block"/>
                        <v:imagedata o:title=""/>
                        <o:lock v:ext="edit" aspectratio="f"/>
                      </v:line>
                      <v:line id="直接连接符 125" o:spid="_x0000_s1026" o:spt="20" style="position:absolute;left:2008565;top:419100;flip:y;height:198120;width:635;" filled="f" stroked="t" coordsize="21600,21600" o:gfxdata="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DTxsNQAAAAFAQAADwAAAAAA&#10;AAABACAAAAAiAAAAZHJzL2Rvd25yZXYueG1sUEsBAhQAFAAAAAgAh07iQP2RdOYXAgAABAQAAA4A&#10;AAAAAAAAAQAgAAAAIwEAAGRycy9lMm9Eb2MueG1sUEsFBgAAAAAGAAYAWQEAAKwFAAAAAA==&#10;">
                        <v:fill on="f" focussize="0,0"/>
                        <v:stroke color="#000000" joinstyle="round" dashstyle="dashDot" endarrow="block"/>
                        <v:imagedata o:title=""/>
                        <o:lock v:ext="edit" aspectratio="f"/>
                      </v:line>
                      <v:line id="直接连接符 126" o:spid="_x0000_s1026" o:spt="20" style="position:absolute;left:1075427;top:891540;height:297180;width:635;" filled="f" stroked="t" coordsize="21600,21600" o:gfxdata="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BqNtcAAAAFAQAADwAAAAAAAAABACAA&#10;AAAiAAAAZHJzL2Rvd25yZXYueG1sUEsBAhQAFAAAAAgAh07iQF48mOEOAgAA+gMAAA4AAAAAAAAA&#10;AQAgAAAAJgEAAGRycy9lMm9Eb2MueG1sUEsFBgAAAAAGAAYAWQEAAKYFAAAAAA==&#10;">
                        <v:fill on="f" focussize="0,0"/>
                        <v:stroke color="#000000" joinstyle="round" dashstyle="dashDot" endarrow="block"/>
                        <v:imagedata o:title=""/>
                        <o:lock v:ext="edit" aspectratio="f"/>
                      </v:line>
                      <v:rect id="矩形 127" o:spid="_x0000_s1026" o:spt="1" style="position:absolute;left:827056;top:1198880;height:266700;width:482132;" fillcolor="#FFFFFF" filled="t" stroked="t" coordsize="21600,21600" o:gfxdata="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6lFuz1gAAAAUBAAAPAAAAAAAA&#10;AAEAIAAAACIAAABkcnMvZG93bnJldi54bWxQSwECFAAUAAAACACHTuJASn5gORQCAAA5BAAADgAA&#10;AAAAAAABACAAAAAlAQAAZHJzL2Uyb0RvYy54bWxQSwUGAAAAAAYABgBZAQAAqwUAAAAA&#10;">
                        <v:fill on="t" focussize="0,0"/>
                        <v:stroke color="#000000" joinstyle="miter" dashstyle="dashDot"/>
                        <v:imagedata o:title=""/>
                        <o:lock v:ext="edit" aspectratio="f"/>
                        <v:textbox>
                          <w:txbxContent>
                            <w:p w14:paraId="55BF5E9F">
                              <w:pPr>
                                <w:jc w:val="center"/>
                                <w:rPr>
                                  <w:sz w:val="18"/>
                                  <w:szCs w:val="18"/>
                                </w:rPr>
                              </w:pPr>
                              <w:r>
                                <w:rPr>
                                  <w:rFonts w:hint="eastAsia"/>
                                  <w:sz w:val="18"/>
                                  <w:szCs w:val="18"/>
                                </w:rPr>
                                <w:t>固废</w:t>
                              </w:r>
                            </w:p>
                          </w:txbxContent>
                        </v:textbox>
                      </v:rect>
                      <v:line id="直接连接符 128" o:spid="_x0000_s1026" o:spt="20" style="position:absolute;left:2754949;top:913130;height:292100;width:0;" filled="f" stroked="t" coordsize="21600,21600" o:gfxdata="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BqNtcAAAAFAQAADwAAAAAAAAABACAA&#10;AAAiAAAAZHJzL2Rvd25yZXYueG1sUEsBAhQAFAAAAAgAh07iQLz/N/4OAgAA+AMAAA4AAAAAAAAA&#10;AQAgAAAAJgEAAGRycy9lMm9Eb2MueG1sUEsFBgAAAAAGAAYAWQEAAKYFAAAAAA==&#10;">
                        <v:fill on="f" focussize="0,0"/>
                        <v:stroke color="#000000" joinstyle="round" dashstyle="dashDot" endarrow="block"/>
                        <v:imagedata o:title=""/>
                        <o:lock v:ext="edit" aspectratio="f"/>
                      </v:line>
                      <v:rect id="矩形 129" o:spid="_x0000_s1026" o:spt="1" style="position:absolute;left:2303145;top:1198880;height:266700;width:1234440;" fillcolor="#FFFFFF" filled="t" stroked="t" coordsize="21600,21600" o:gfxdata="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pRbs9YAAAAFAQAADwAAAAAA&#10;AAABACAAAAAiAAAAZHJzL2Rvd25yZXYueG1sUEsBAhQAFAAAAAgAh07iQMbNnyoVAgAAOwQAAA4A&#10;AAAAAAAAAQAgAAAAJQEAAGRycy9lMm9Eb2MueG1sUEsFBgAAAAAGAAYAWQEAAKwFAAAAAA==&#10;">
                        <v:fill on="t" focussize="0,0"/>
                        <v:stroke color="#000000" joinstyle="miter" dashstyle="dashDot"/>
                        <v:imagedata o:title=""/>
                        <o:lock v:ext="edit" aspectratio="f"/>
                        <v:textbox>
                          <w:txbxContent>
                            <w:p w14:paraId="3CAFF47A">
                              <w:pPr>
                                <w:jc w:val="center"/>
                                <w:rPr>
                                  <w:rFonts w:hint="default" w:eastAsia="宋体"/>
                                  <w:sz w:val="18"/>
                                  <w:szCs w:val="18"/>
                                  <w:lang w:val="en-US" w:eastAsia="zh-CN"/>
                                </w:rPr>
                              </w:pPr>
                              <w:r>
                                <w:rPr>
                                  <w:rFonts w:hint="eastAsia"/>
                                  <w:sz w:val="18"/>
                                  <w:szCs w:val="18"/>
                                </w:rPr>
                                <w:t>废水、固废</w:t>
                              </w:r>
                              <w:r>
                                <w:rPr>
                                  <w:rFonts w:hint="eastAsia" w:eastAsia="宋体"/>
                                  <w:sz w:val="18"/>
                                  <w:szCs w:val="18"/>
                                  <w:lang w:eastAsia="zh-CN"/>
                                </w:rPr>
                                <w:t>、</w:t>
                              </w:r>
                              <w:r>
                                <w:rPr>
                                  <w:rFonts w:hint="eastAsia" w:eastAsia="宋体"/>
                                  <w:color w:val="0000FF"/>
                                  <w:sz w:val="18"/>
                                  <w:szCs w:val="18"/>
                                  <w:lang w:val="en-US" w:eastAsia="zh-CN"/>
                                </w:rPr>
                                <w:t>废气</w:t>
                              </w:r>
                            </w:p>
                          </w:txbxContent>
                        </v:textbox>
                      </v:rect>
                      <v:rect id="矩形 130" o:spid="_x0000_s1026" o:spt="1" style="position:absolute;left:2516741;top:179705;height:254000;width:457358;" fillcolor="#FFFFFF" filled="t" stroked="t" coordsize="21600,21600" o:gfxdata="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6lFuz1gAAAAUBAAAPAAAAAAAA&#10;AAEAIAAAACIAAABkcnMvZG93bnJldi54bWxQSwECFAAUAAAACACHTuJAwHTAphQCAAA5BAAADgAA&#10;AAAAAAABACAAAAAlAQAAZHJzL2Uyb0RvYy54bWxQSwUGAAAAAAYABgBZAQAAqwUAAAAA&#10;">
                        <v:fill on="t" focussize="0,0"/>
                        <v:stroke color="#000000" joinstyle="miter" dashstyle="dashDot"/>
                        <v:imagedata o:title=""/>
                        <o:lock v:ext="edit" aspectratio="f"/>
                        <v:textbox>
                          <w:txbxContent>
                            <w:p w14:paraId="1AF68F13">
                              <w:pPr>
                                <w:jc w:val="center"/>
                                <w:rPr>
                                  <w:sz w:val="18"/>
                                  <w:szCs w:val="18"/>
                                </w:rPr>
                              </w:pPr>
                              <w:r>
                                <w:rPr>
                                  <w:rFonts w:hint="eastAsia"/>
                                  <w:sz w:val="18"/>
                                  <w:szCs w:val="18"/>
                                </w:rPr>
                                <w:t>噪声</w:t>
                              </w:r>
                            </w:p>
                          </w:txbxContent>
                        </v:textbox>
                      </v:rect>
                      <v:line id="直接连接符 131" o:spid="_x0000_s1026" o:spt="20" style="position:absolute;left:2754949;top:436880;flip:y;height:190500;width:0;" filled="f" stroked="t" coordsize="21600,21600" o:gfxdata="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DTxsNQAAAAFAQAADwAAAAAA&#10;AAABACAAAAAiAAAAZHJzL2Rvd25yZXYueG1sUEsBAhQAFAAAAAgAh07iQEpCd5YXAgAAAgQAAA4A&#10;AAAAAAAAAQAgAAAAIwEAAGRycy9lMm9Eb2MueG1sUEsFBgAAAAAGAAYAWQEAAKwFAAAAAA==&#10;">
                        <v:fill on="f" focussize="0,0"/>
                        <v:stroke color="#000000" joinstyle="round" dashstyle="dashDot" endarrow="block"/>
                        <v:imagedata o:title=""/>
                        <o:lock v:ext="edit" aspectratio="f"/>
                      </v:line>
                      <w10:wrap type="none"/>
                      <w10:anchorlock/>
                    </v:group>
                  </w:pict>
                </mc:Fallback>
              </mc:AlternateContent>
            </w:r>
          </w:p>
          <w:p w14:paraId="5EEA6271">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二、运营期工艺流程</w:t>
            </w:r>
          </w:p>
          <w:p w14:paraId="4DFA3CE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（一）</w:t>
            </w:r>
            <w:r>
              <w:rPr>
                <w:rFonts w:hint="eastAsia" w:ascii="Times New Roman" w:hAnsi="Times New Roman" w:eastAsia="宋体" w:cs="Times New Roman"/>
                <w:color w:val="auto"/>
                <w:sz w:val="24"/>
                <w:szCs w:val="24"/>
                <w:highlight w:val="none"/>
                <w:lang w:val="en-US" w:eastAsia="zh-CN"/>
              </w:rPr>
              <w:t>金属管件</w:t>
            </w:r>
            <w:r>
              <w:rPr>
                <w:rFonts w:hint="default" w:ascii="Times New Roman" w:hAnsi="Times New Roman" w:eastAsia="宋体" w:cs="Times New Roman"/>
                <w:color w:val="auto"/>
                <w:sz w:val="24"/>
                <w:szCs w:val="24"/>
                <w:highlight w:val="none"/>
              </w:rPr>
              <w:t>生产工艺流程及产污环节见图</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p>
          <w:p w14:paraId="6EEB29A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21"/>
                <w:highlight w:val="none"/>
              </w:rPr>
              <mc:AlternateContent>
                <mc:Choice Requires="wpc">
                  <w:drawing>
                    <wp:inline distT="0" distB="0" distL="114300" distR="114300">
                      <wp:extent cx="5332730" cy="4867910"/>
                      <wp:effectExtent l="4445" t="4445" r="15875" b="23495"/>
                      <wp:docPr id="33" name="画布 33"/>
                      <wp:cNvGraphicFramePr/>
                      <a:graphic xmlns:a="http://schemas.openxmlformats.org/drawingml/2006/main">
                        <a:graphicData uri="http://schemas.microsoft.com/office/word/2010/wordprocessingCanvas">
                          <wpc:wpc>
                            <wpc:bg/>
                            <wpc:whole>
                              <a:ln>
                                <a:solidFill>
                                  <a:schemeClr val="tx1"/>
                                </a:solidFill>
                              </a:ln>
                            </wpc:whole>
                            <wps:wsp>
                              <wps:cNvPr id="35" name="文本框 35"/>
                              <wps:cNvSpPr txBox="1"/>
                              <wps:spPr>
                                <a:xfrm>
                                  <a:off x="1234440" y="56515"/>
                                  <a:ext cx="761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5812B9">
                                    <w:pPr>
                                      <w:jc w:val="center"/>
                                      <w:rPr>
                                        <w:rFonts w:hint="eastAsia" w:ascii="宋体" w:hAnsi="宋体" w:eastAsia="宋体" w:cs="宋体"/>
                                        <w:lang w:val="en-US" w:eastAsia="zh-CN"/>
                                      </w:rPr>
                                    </w:pPr>
                                    <w:r>
                                      <w:rPr>
                                        <w:rFonts w:hint="eastAsia" w:ascii="宋体" w:hAnsi="宋体" w:eastAsia="宋体" w:cs="宋体"/>
                                        <w:lang w:val="en-US" w:eastAsia="zh-CN"/>
                                      </w:rPr>
                                      <w:t>原料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文本框 43"/>
                              <wps:cNvSpPr txBox="1"/>
                              <wps:spPr>
                                <a:xfrm>
                                  <a:off x="1246505" y="675005"/>
                                  <a:ext cx="761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691DF3">
                                    <w:pPr>
                                      <w:jc w:val="center"/>
                                      <w:rPr>
                                        <w:rFonts w:hint="eastAsia" w:ascii="宋体" w:hAnsi="宋体" w:eastAsia="宋体" w:cs="宋体"/>
                                        <w:lang w:val="en-US" w:eastAsia="zh-CN"/>
                                      </w:rPr>
                                    </w:pPr>
                                    <w:r>
                                      <w:rPr>
                                        <w:rFonts w:hint="eastAsia" w:ascii="宋体" w:hAnsi="宋体" w:eastAsia="宋体" w:cs="宋体"/>
                                        <w:lang w:val="en-US" w:eastAsia="zh-CN"/>
                                      </w:rPr>
                                      <w:t>切割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文本框 45"/>
                              <wps:cNvSpPr txBox="1"/>
                              <wps:spPr>
                                <a:xfrm>
                                  <a:off x="1160780" y="1303655"/>
                                  <a:ext cx="92329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641F9E">
                                    <w:pPr>
                                      <w:rPr>
                                        <w:rFonts w:hint="default" w:ascii="宋体" w:hAnsi="宋体" w:eastAsia="宋体" w:cs="宋体"/>
                                        <w:lang w:val="en-US" w:eastAsia="zh-CN"/>
                                      </w:rPr>
                                    </w:pPr>
                                    <w:r>
                                      <w:rPr>
                                        <w:rFonts w:hint="eastAsia" w:ascii="宋体" w:hAnsi="宋体" w:eastAsia="宋体" w:cs="宋体"/>
                                        <w:lang w:val="en-US" w:eastAsia="zh-CN"/>
                                      </w:rPr>
                                      <w:t>卷制、预弯</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文本框 46"/>
                              <wps:cNvSpPr txBox="1"/>
                              <wps:spPr>
                                <a:xfrm>
                                  <a:off x="1236980" y="1932305"/>
                                  <a:ext cx="761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6BF22D">
                                    <w:pPr>
                                      <w:jc w:val="center"/>
                                      <w:rPr>
                                        <w:rFonts w:hint="eastAsia" w:ascii="宋体" w:hAnsi="宋体" w:eastAsia="宋体" w:cs="宋体"/>
                                        <w:lang w:val="en-US" w:eastAsia="zh-CN"/>
                                      </w:rPr>
                                    </w:pPr>
                                    <w:r>
                                      <w:rPr>
                                        <w:rFonts w:hint="eastAsia" w:ascii="宋体" w:hAnsi="宋体" w:eastAsia="宋体" w:cs="宋体"/>
                                        <w:lang w:val="en-US" w:eastAsia="zh-CN"/>
                                      </w:rPr>
                                      <w:t>焊接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文本框 47"/>
                              <wps:cNvSpPr txBox="1"/>
                              <wps:spPr>
                                <a:xfrm>
                                  <a:off x="1275080" y="2551430"/>
                                  <a:ext cx="761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11B66C">
                                    <w:pPr>
                                      <w:rPr>
                                        <w:rFonts w:hint="eastAsia" w:ascii="宋体" w:hAnsi="宋体" w:eastAsia="宋体" w:cs="宋体"/>
                                        <w:lang w:val="en-US" w:eastAsia="zh-CN"/>
                                      </w:rPr>
                                    </w:pPr>
                                    <w:r>
                                      <w:rPr>
                                        <w:rFonts w:hint="eastAsia" w:ascii="宋体" w:hAnsi="宋体" w:eastAsia="宋体" w:cs="宋体"/>
                                        <w:lang w:val="en-US" w:eastAsia="zh-CN"/>
                                      </w:rPr>
                                      <w:t>表面处理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文本框 59"/>
                              <wps:cNvSpPr txBox="1"/>
                              <wps:spPr>
                                <a:xfrm>
                                  <a:off x="1256030" y="3161030"/>
                                  <a:ext cx="761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46C61E">
                                    <w:pPr>
                                      <w:jc w:val="center"/>
                                      <w:rPr>
                                        <w:rFonts w:hint="eastAsia" w:ascii="宋体" w:hAnsi="宋体" w:eastAsia="宋体" w:cs="宋体"/>
                                        <w:lang w:val="en-US" w:eastAsia="zh-CN"/>
                                      </w:rPr>
                                    </w:pPr>
                                    <w:r>
                                      <w:rPr>
                                        <w:rFonts w:hint="eastAsia" w:ascii="宋体" w:hAnsi="宋体" w:eastAsia="宋体" w:cs="宋体"/>
                                        <w:lang w:val="en-US" w:eastAsia="zh-CN"/>
                                      </w:rPr>
                                      <w:t>热处理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文本框 62"/>
                              <wps:cNvSpPr txBox="1"/>
                              <wps:spPr>
                                <a:xfrm>
                                  <a:off x="1236980" y="3770630"/>
                                  <a:ext cx="87503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9A3A18">
                                    <w:pPr>
                                      <w:rPr>
                                        <w:rFonts w:hint="default" w:ascii="宋体" w:hAnsi="宋体" w:eastAsia="宋体" w:cs="宋体"/>
                                        <w:lang w:val="en-US" w:eastAsia="zh-CN"/>
                                      </w:rPr>
                                    </w:pPr>
                                    <w:r>
                                      <w:rPr>
                                        <w:rFonts w:hint="eastAsia" w:ascii="宋体" w:hAnsi="宋体" w:eastAsia="宋体" w:cs="宋体"/>
                                        <w:lang w:val="en-US" w:eastAsia="zh-CN"/>
                                      </w:rPr>
                                      <w:t>刷漆、涂粉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63"/>
                              <wps:cNvSpPr txBox="1"/>
                              <wps:spPr>
                                <a:xfrm>
                                  <a:off x="1142365" y="4391025"/>
                                  <a:ext cx="94107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65D42E">
                                    <w:pPr>
                                      <w:jc w:val="center"/>
                                      <w:rPr>
                                        <w:rFonts w:hint="eastAsia" w:ascii="宋体" w:hAnsi="宋体" w:eastAsia="宋体" w:cs="宋体"/>
                                        <w:lang w:val="en-US" w:eastAsia="zh-CN"/>
                                      </w:rPr>
                                    </w:pPr>
                                    <w:r>
                                      <w:rPr>
                                        <w:rFonts w:hint="eastAsia" w:ascii="宋体" w:hAnsi="宋体" w:eastAsia="宋体" w:cs="宋体"/>
                                        <w:lang w:val="en-US" w:eastAsia="zh-CN"/>
                                      </w:rPr>
                                      <w:t>检验、成品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3" name="直接箭头连接符 113"/>
                              <wps:cNvCnPr>
                                <a:stCxn id="35" idx="2"/>
                                <a:endCxn id="43" idx="0"/>
                              </wps:cNvCnPr>
                              <wps:spPr>
                                <a:xfrm>
                                  <a:off x="1615440" y="361315"/>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54" name="直接箭头连接符 154"/>
                              <wps:cNvCnPr/>
                              <wps:spPr>
                                <a:xfrm>
                                  <a:off x="1617980" y="979805"/>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78" name="直接箭头连接符 178"/>
                              <wps:cNvCnPr/>
                              <wps:spPr>
                                <a:xfrm>
                                  <a:off x="1608455" y="1608455"/>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89" name="直接箭头连接符 189"/>
                              <wps:cNvCnPr/>
                              <wps:spPr>
                                <a:xfrm>
                                  <a:off x="1617980" y="2237105"/>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0" name="直接箭头连接符 190"/>
                              <wps:cNvCnPr/>
                              <wps:spPr>
                                <a:xfrm>
                                  <a:off x="1627505" y="2837180"/>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1" name="直接箭头连接符 191"/>
                              <wps:cNvCnPr/>
                              <wps:spPr>
                                <a:xfrm>
                                  <a:off x="1656080" y="3456305"/>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2" name="直接箭头连接符 192"/>
                              <wps:cNvCnPr/>
                              <wps:spPr>
                                <a:xfrm>
                                  <a:off x="1656080" y="4075430"/>
                                  <a:ext cx="12065" cy="313690"/>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3" name="直接箭头连接符 193"/>
                              <wps:cNvCnPr>
                                <a:stCxn id="43" idx="3"/>
                              </wps:cNvCnPr>
                              <wps:spPr>
                                <a:xfrm>
                                  <a:off x="2007870" y="827405"/>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4" name="直接箭头连接符 194"/>
                              <wps:cNvCnPr/>
                              <wps:spPr>
                                <a:xfrm>
                                  <a:off x="2113280" y="3913505"/>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5" name="直接箭头连接符 195"/>
                              <wps:cNvCnPr/>
                              <wps:spPr>
                                <a:xfrm>
                                  <a:off x="2027555" y="3303905"/>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6" name="直接箭头连接符 196"/>
                              <wps:cNvCnPr/>
                              <wps:spPr>
                                <a:xfrm>
                                  <a:off x="2046605" y="2713355"/>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7" name="直接箭头连接符 197"/>
                              <wps:cNvCnPr/>
                              <wps:spPr>
                                <a:xfrm>
                                  <a:off x="1998980" y="2094230"/>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8" name="直接箭头连接符 198"/>
                              <wps:cNvCnPr/>
                              <wps:spPr>
                                <a:xfrm>
                                  <a:off x="2084705" y="1437005"/>
                                  <a:ext cx="436245" cy="635"/>
                                </a:xfrm>
                                <a:prstGeom prst="straightConnector1">
                                  <a:avLst/>
                                </a:prstGeom>
                                <a:ln w="317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99" name="文本框 199"/>
                              <wps:cNvSpPr txBox="1"/>
                              <wps:spPr>
                                <a:xfrm>
                                  <a:off x="2446655" y="655955"/>
                                  <a:ext cx="131381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E2499F">
                                    <w:pPr>
                                      <w:jc w:val="center"/>
                                      <w:rPr>
                                        <w:rFonts w:hint="default" w:ascii="宋体" w:hAnsi="宋体" w:eastAsia="宋体" w:cs="宋体"/>
                                        <w:lang w:val="en-US" w:eastAsia="zh-CN"/>
                                      </w:rPr>
                                    </w:pPr>
                                    <w:r>
                                      <w:rPr>
                                        <w:rFonts w:hint="eastAsia" w:ascii="宋体" w:hAnsi="宋体" w:eastAsia="宋体" w:cs="宋体"/>
                                        <w:lang w:val="en-US" w:eastAsia="zh-CN"/>
                                      </w:rPr>
                                      <w:t>废气、噪声、固废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0" name="文本框 200"/>
                              <wps:cNvSpPr txBox="1"/>
                              <wps:spPr>
                                <a:xfrm>
                                  <a:off x="2541905" y="3761105"/>
                                  <a:ext cx="76136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DD694A">
                                    <w:pPr>
                                      <w:jc w:val="center"/>
                                      <w:rPr>
                                        <w:rFonts w:hint="default" w:ascii="宋体" w:hAnsi="宋体" w:eastAsia="宋体" w:cs="宋体"/>
                                        <w:lang w:val="en-US" w:eastAsia="zh-CN"/>
                                      </w:rPr>
                                    </w:pPr>
                                    <w:r>
                                      <w:rPr>
                                        <w:rFonts w:hint="eastAsia" w:ascii="宋体" w:hAnsi="宋体" w:eastAsia="宋体" w:cs="宋体"/>
                                        <w:lang w:val="en-US" w:eastAsia="zh-CN"/>
                                      </w:rPr>
                                      <w:t>废气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1" name="文本框 201"/>
                              <wps:cNvSpPr txBox="1"/>
                              <wps:spPr>
                                <a:xfrm>
                                  <a:off x="2465705" y="3141980"/>
                                  <a:ext cx="76136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125515">
                                    <w:pPr>
                                      <w:jc w:val="center"/>
                                      <w:rPr>
                                        <w:rFonts w:hint="default" w:ascii="宋体" w:hAnsi="宋体" w:eastAsia="宋体" w:cs="宋体"/>
                                        <w:lang w:val="en-US" w:eastAsia="zh-CN"/>
                                      </w:rPr>
                                    </w:pPr>
                                    <w:r>
                                      <w:rPr>
                                        <w:rFonts w:hint="eastAsia" w:ascii="宋体" w:hAnsi="宋体" w:eastAsia="宋体" w:cs="宋体"/>
                                        <w:lang w:val="en-US" w:eastAsia="zh-CN"/>
                                      </w:rPr>
                                      <w:t>废气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2" name="文本框 202"/>
                              <wps:cNvSpPr txBox="1"/>
                              <wps:spPr>
                                <a:xfrm>
                                  <a:off x="2484755" y="2560955"/>
                                  <a:ext cx="86614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FA3214">
                                    <w:pPr>
                                      <w:jc w:val="center"/>
                                      <w:rPr>
                                        <w:rFonts w:hint="default" w:ascii="宋体" w:hAnsi="宋体" w:eastAsia="宋体" w:cs="宋体"/>
                                        <w:lang w:val="en-US" w:eastAsia="zh-CN"/>
                                      </w:rPr>
                                    </w:pPr>
                                    <w:r>
                                      <w:rPr>
                                        <w:rFonts w:hint="eastAsia" w:ascii="宋体" w:hAnsi="宋体" w:eastAsia="宋体" w:cs="宋体"/>
                                        <w:lang w:val="en-US" w:eastAsia="zh-CN"/>
                                      </w:rPr>
                                      <w:t>废气、噪声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3" name="文本框 203"/>
                              <wps:cNvSpPr txBox="1"/>
                              <wps:spPr>
                                <a:xfrm>
                                  <a:off x="2437130" y="1941830"/>
                                  <a:ext cx="90360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E3AA2E">
                                    <w:pPr>
                                      <w:jc w:val="center"/>
                                      <w:rPr>
                                        <w:rFonts w:hint="default" w:ascii="宋体" w:hAnsi="宋体" w:eastAsia="宋体" w:cs="宋体"/>
                                        <w:lang w:val="en-US" w:eastAsia="zh-CN"/>
                                      </w:rPr>
                                    </w:pPr>
                                    <w:r>
                                      <w:rPr>
                                        <w:rFonts w:hint="eastAsia" w:ascii="宋体" w:hAnsi="宋体" w:eastAsia="宋体" w:cs="宋体"/>
                                        <w:lang w:val="en-US" w:eastAsia="zh-CN"/>
                                      </w:rPr>
                                      <w:t>废气、噪声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4" name="文本框 204"/>
                              <wps:cNvSpPr txBox="1"/>
                              <wps:spPr>
                                <a:xfrm>
                                  <a:off x="2513330" y="1294130"/>
                                  <a:ext cx="76136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483768">
                                    <w:pPr>
                                      <w:jc w:val="center"/>
                                      <w:rPr>
                                        <w:rFonts w:hint="default" w:ascii="宋体" w:hAnsi="宋体" w:eastAsia="宋体" w:cs="宋体"/>
                                        <w:lang w:val="en-US" w:eastAsia="zh-CN"/>
                                      </w:rPr>
                                    </w:pPr>
                                    <w:r>
                                      <w:rPr>
                                        <w:rFonts w:hint="eastAsia" w:ascii="宋体" w:hAnsi="宋体" w:eastAsia="宋体" w:cs="宋体"/>
                                        <w:lang w:val="en-US" w:eastAsia="zh-CN"/>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383.3pt;width:419.9pt;" coordsize="5332730,4867910" editas="canvas" o:gfxdata="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">
                      <o:lock v:ext="edit" aspectratio="f"/>
                      <v:shape id="_x0000_s1026" o:spid="_x0000_s1026" style="position:absolute;left:0;top:0;height:4867910;width:5332730;" filled="f" stroked="t" coordsize="21600,21600" o:gfxdata="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">
                        <v:fill on="f" focussize="0,0"/>
                        <v:stroke color="#000000 [3213]" joinstyle="round"/>
                        <v:imagedata o:title=""/>
                        <o:lock v:ext="edit" aspectratio="f"/>
                      </v:shape>
                      <v:shape id="_x0000_s1026" o:spid="_x0000_s1026" o:spt="202" type="#_x0000_t202" style="position:absolute;left:1234440;top:56515;height:304800;width:761365;"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dYDvjTAAAABQEAAA8AAAAAAAAAAQAgAAAAIgAAAGRycy9kb3ducmV2LnhtbFBLAQIUABQAAAAI&#10;AIdO4kBY6cOzZAIAAMIEAAAOAAAAAAAAAAEAIAAAACIBAABkcnMvZTJvRG9jLnhtbFBLBQYAAAAA&#10;BgAGAFkBAAD4BQAAAAA=&#10;">
                        <v:fill on="t" focussize="0,0"/>
                        <v:stroke weight="0.5pt" color="#000000 [3204]" joinstyle="round"/>
                        <v:imagedata o:title=""/>
                        <o:lock v:ext="edit" aspectratio="f"/>
                        <v:textbox>
                          <w:txbxContent>
                            <w:p w14:paraId="5F5812B9">
                              <w:pPr>
                                <w:jc w:val="center"/>
                                <w:rPr>
                                  <w:rFonts w:hint="eastAsia" w:ascii="宋体" w:hAnsi="宋体" w:eastAsia="宋体" w:cs="宋体"/>
                                  <w:lang w:val="en-US" w:eastAsia="zh-CN"/>
                                </w:rPr>
                              </w:pPr>
                              <w:r>
                                <w:rPr>
                                  <w:rFonts w:hint="eastAsia" w:ascii="宋体" w:hAnsi="宋体" w:eastAsia="宋体" w:cs="宋体"/>
                                  <w:lang w:val="en-US" w:eastAsia="zh-CN"/>
                                </w:rPr>
                                <w:t>原料</w:t>
                              </w:r>
                            </w:p>
                          </w:txbxContent>
                        </v:textbox>
                      </v:shape>
                      <v:shape id="_x0000_s1026" o:spid="_x0000_s1026" o:spt="202" type="#_x0000_t202" style="position:absolute;left:1246505;top:675005;height:304800;width:761365;"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1gO+NMAAAAFAQAADwAAAAAAAAABACAAAAAiAAAAZHJzL2Rvd25yZXYueG1sUEsBAhQAFAAAAAgA&#10;h07iQGkR8uNjAgAAwwQAAA4AAAAAAAAAAQAgAAAAIgEAAGRycy9lMm9Eb2MueG1sUEsFBgAAAAAG&#10;AAYAWQEAAPcFAAAAAA==&#10;">
                        <v:fill on="t" focussize="0,0"/>
                        <v:stroke weight="0.5pt" color="#000000 [3204]" joinstyle="round"/>
                        <v:imagedata o:title=""/>
                        <o:lock v:ext="edit" aspectratio="f"/>
                        <v:textbox>
                          <w:txbxContent>
                            <w:p w14:paraId="7E691DF3">
                              <w:pPr>
                                <w:jc w:val="center"/>
                                <w:rPr>
                                  <w:rFonts w:hint="eastAsia" w:ascii="宋体" w:hAnsi="宋体" w:eastAsia="宋体" w:cs="宋体"/>
                                  <w:lang w:val="en-US" w:eastAsia="zh-CN"/>
                                </w:rPr>
                              </w:pPr>
                              <w:r>
                                <w:rPr>
                                  <w:rFonts w:hint="eastAsia" w:ascii="宋体" w:hAnsi="宋体" w:eastAsia="宋体" w:cs="宋体"/>
                                  <w:lang w:val="en-US" w:eastAsia="zh-CN"/>
                                </w:rPr>
                                <w:t>切割</w:t>
                              </w:r>
                            </w:p>
                          </w:txbxContent>
                        </v:textbox>
                      </v:shape>
                      <v:shape id="_x0000_s1026" o:spid="_x0000_s1026" o:spt="202" type="#_x0000_t202" style="position:absolute;left:1160780;top:1303655;height:304800;width:923290;"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XWA740wAAAAUBAAAPAAAAAAAAAAEAIAAAACIAAABkcnMvZG93bnJldi54bWxQSwECFAAUAAAA&#10;CACHTuJAsAM0RmUCAADEBAAADgAAAAAAAAABACAAAAAiAQAAZHJzL2Uyb0RvYy54bWxQSwUGAAAA&#10;AAYABgBZAQAA+QUAAAAA&#10;">
                        <v:fill on="t" focussize="0,0"/>
                        <v:stroke weight="0.5pt" color="#000000 [3204]" joinstyle="round"/>
                        <v:imagedata o:title=""/>
                        <o:lock v:ext="edit" aspectratio="f"/>
                        <v:textbox>
                          <w:txbxContent>
                            <w:p w14:paraId="7A641F9E">
                              <w:pPr>
                                <w:rPr>
                                  <w:rFonts w:hint="default" w:ascii="宋体" w:hAnsi="宋体" w:eastAsia="宋体" w:cs="宋体"/>
                                  <w:lang w:val="en-US" w:eastAsia="zh-CN"/>
                                </w:rPr>
                              </w:pPr>
                              <w:r>
                                <w:rPr>
                                  <w:rFonts w:hint="eastAsia" w:ascii="宋体" w:hAnsi="宋体" w:eastAsia="宋体" w:cs="宋体"/>
                                  <w:lang w:val="en-US" w:eastAsia="zh-CN"/>
                                </w:rPr>
                                <w:t>卷制、预弯</w:t>
                              </w:r>
                            </w:p>
                          </w:txbxContent>
                        </v:textbox>
                      </v:shape>
                      <v:shape id="_x0000_s1026" o:spid="_x0000_s1026" o:spt="202" type="#_x0000_t202" style="position:absolute;left:1236980;top:1932305;height:304800;width:761365;"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1gO+NMAAAAFAQAADwAAAAAAAAABACAAAAAiAAAAZHJzL2Rvd25yZXYueG1sUEsBAhQAFAAA&#10;AAgAh07iQKoi+/lmAgAAxAQAAA4AAAAAAAAAAQAgAAAAIgEAAGRycy9lMm9Eb2MueG1sUEsFBgAA&#10;AAAGAAYAWQEAAPoFAAAAAA==&#10;">
                        <v:fill on="t" focussize="0,0"/>
                        <v:stroke weight="0.5pt" color="#000000 [3204]" joinstyle="round"/>
                        <v:imagedata o:title=""/>
                        <o:lock v:ext="edit" aspectratio="f"/>
                        <v:textbox>
                          <w:txbxContent>
                            <w:p w14:paraId="176BF22D">
                              <w:pPr>
                                <w:jc w:val="center"/>
                                <w:rPr>
                                  <w:rFonts w:hint="eastAsia" w:ascii="宋体" w:hAnsi="宋体" w:eastAsia="宋体" w:cs="宋体"/>
                                  <w:lang w:val="en-US" w:eastAsia="zh-CN"/>
                                </w:rPr>
                              </w:pPr>
                              <w:r>
                                <w:rPr>
                                  <w:rFonts w:hint="eastAsia" w:ascii="宋体" w:hAnsi="宋体" w:eastAsia="宋体" w:cs="宋体"/>
                                  <w:lang w:val="en-US" w:eastAsia="zh-CN"/>
                                </w:rPr>
                                <w:t>焊接</w:t>
                              </w:r>
                            </w:p>
                          </w:txbxContent>
                        </v:textbox>
                      </v:shape>
                      <v:shape id="_x0000_s1026" o:spid="_x0000_s1026" o:spt="202" type="#_x0000_t202" style="position:absolute;left:1275080;top:2551430;height:304800;width:761365;"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XWA740wAAAAUBAAAPAAAAAAAAAAEAIAAAACIAAABkcnMvZG93bnJldi54bWxQSwECFAAUAAAA&#10;CACHTuJAot+AaGUCAADEBAAADgAAAAAAAAABACAAAAAiAQAAZHJzL2Uyb0RvYy54bWxQSwUGAAAA&#10;AAYABgBZAQAA+QUAAAAA&#10;">
                        <v:fill on="t" focussize="0,0"/>
                        <v:stroke weight="0.5pt" color="#000000 [3204]" joinstyle="round"/>
                        <v:imagedata o:title=""/>
                        <o:lock v:ext="edit" aspectratio="f"/>
                        <v:textbox>
                          <w:txbxContent>
                            <w:p w14:paraId="7511B66C">
                              <w:pPr>
                                <w:rPr>
                                  <w:rFonts w:hint="eastAsia" w:ascii="宋体" w:hAnsi="宋体" w:eastAsia="宋体" w:cs="宋体"/>
                                  <w:lang w:val="en-US" w:eastAsia="zh-CN"/>
                                </w:rPr>
                              </w:pPr>
                              <w:r>
                                <w:rPr>
                                  <w:rFonts w:hint="eastAsia" w:ascii="宋体" w:hAnsi="宋体" w:eastAsia="宋体" w:cs="宋体"/>
                                  <w:lang w:val="en-US" w:eastAsia="zh-CN"/>
                                </w:rPr>
                                <w:t>表面处理</w:t>
                              </w:r>
                            </w:p>
                          </w:txbxContent>
                        </v:textbox>
                      </v:shape>
                      <v:shape id="_x0000_s1026" o:spid="_x0000_s1026" o:spt="202" type="#_x0000_t202" style="position:absolute;left:1256030;top:3161030;height:304800;width:761365;"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dYDvjTAAAABQEAAA8AAAAAAAAAAQAgAAAAIgAAAGRycy9kb3ducmV2LnhtbFBLAQIUABQAAAAI&#10;AIdO4kBvChTzZAIAAMQEAAAOAAAAAAAAAAEAIAAAACIBAABkcnMvZTJvRG9jLnhtbFBLBQYAAAAA&#10;BgAGAFkBAAD4BQAAAAA=&#10;">
                        <v:fill on="t" focussize="0,0"/>
                        <v:stroke weight="0.5pt" color="#000000 [3204]" joinstyle="round"/>
                        <v:imagedata o:title=""/>
                        <o:lock v:ext="edit" aspectratio="f"/>
                        <v:textbox>
                          <w:txbxContent>
                            <w:p w14:paraId="2D46C61E">
                              <w:pPr>
                                <w:jc w:val="center"/>
                                <w:rPr>
                                  <w:rFonts w:hint="eastAsia" w:ascii="宋体" w:hAnsi="宋体" w:eastAsia="宋体" w:cs="宋体"/>
                                  <w:lang w:val="en-US" w:eastAsia="zh-CN"/>
                                </w:rPr>
                              </w:pPr>
                              <w:r>
                                <w:rPr>
                                  <w:rFonts w:hint="eastAsia" w:ascii="宋体" w:hAnsi="宋体" w:eastAsia="宋体" w:cs="宋体"/>
                                  <w:lang w:val="en-US" w:eastAsia="zh-CN"/>
                                </w:rPr>
                                <w:t>热处理</w:t>
                              </w:r>
                            </w:p>
                          </w:txbxContent>
                        </v:textbox>
                      </v:shape>
                      <v:shape id="_x0000_s1026" o:spid="_x0000_s1026" o:spt="202" type="#_x0000_t202" style="position:absolute;left:1236980;top:3770630;height:304800;width:875030;"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dYDvjTAAAABQEAAA8AAAAAAAAAAQAgAAAAIgAAAGRycy9kb3ducmV2LnhtbFBLAQIUABQAAAAI&#10;AIdO4kB3BoazZAIAAMQEAAAOAAAAAAAAAAEAIAAAACIBAABkcnMvZTJvRG9jLnhtbFBLBQYAAAAA&#10;BgAGAFkBAAD4BQAAAAA=&#10;">
                        <v:fill on="t" focussize="0,0"/>
                        <v:stroke weight="0.5pt" color="#000000 [3204]" joinstyle="round"/>
                        <v:imagedata o:title=""/>
                        <o:lock v:ext="edit" aspectratio="f"/>
                        <v:textbox>
                          <w:txbxContent>
                            <w:p w14:paraId="079A3A18">
                              <w:pPr>
                                <w:rPr>
                                  <w:rFonts w:hint="default" w:ascii="宋体" w:hAnsi="宋体" w:eastAsia="宋体" w:cs="宋体"/>
                                  <w:lang w:val="en-US" w:eastAsia="zh-CN"/>
                                </w:rPr>
                              </w:pPr>
                              <w:r>
                                <w:rPr>
                                  <w:rFonts w:hint="eastAsia" w:ascii="宋体" w:hAnsi="宋体" w:eastAsia="宋体" w:cs="宋体"/>
                                  <w:lang w:val="en-US" w:eastAsia="zh-CN"/>
                                </w:rPr>
                                <w:t>刷漆、涂粉</w:t>
                              </w:r>
                            </w:p>
                          </w:txbxContent>
                        </v:textbox>
                      </v:shape>
                      <v:shape id="_x0000_s1026" o:spid="_x0000_s1026" o:spt="202" type="#_x0000_t202" style="position:absolute;left:1142365;top:4391025;height:304800;width:941070;" fillcolor="#FFFFFF [3201]" filled="t" stroked="t" coordsize="21600,21600" o:gfxdata="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dYDvjTAAAABQEAAA8AAAAAAAAAAQAgAAAAIgAAAGRycy9kb3ducmV2LnhtbFBLAQIUABQA&#10;AAAIAIdO4kCgZMChZwIAAMQEAAAOAAAAAAAAAAEAIAAAACIBAABkcnMvZTJvRG9jLnhtbFBLBQYA&#10;AAAABgAGAFkBAAD7BQAAAAA=&#10;">
                        <v:fill on="t" focussize="0,0"/>
                        <v:stroke weight="0.5pt" color="#000000 [3204]" joinstyle="round"/>
                        <v:imagedata o:title=""/>
                        <o:lock v:ext="edit" aspectratio="f"/>
                        <v:textbox>
                          <w:txbxContent>
                            <w:p w14:paraId="1B65D42E">
                              <w:pPr>
                                <w:jc w:val="center"/>
                                <w:rPr>
                                  <w:rFonts w:hint="eastAsia" w:ascii="宋体" w:hAnsi="宋体" w:eastAsia="宋体" w:cs="宋体"/>
                                  <w:lang w:val="en-US" w:eastAsia="zh-CN"/>
                                </w:rPr>
                              </w:pPr>
                              <w:r>
                                <w:rPr>
                                  <w:rFonts w:hint="eastAsia" w:ascii="宋体" w:hAnsi="宋体" w:eastAsia="宋体" w:cs="宋体"/>
                                  <w:lang w:val="en-US" w:eastAsia="zh-CN"/>
                                </w:rPr>
                                <w:t>检验、成品</w:t>
                              </w:r>
                            </w:p>
                          </w:txbxContent>
                        </v:textbox>
                      </v:shape>
                      <v:shape id="_x0000_s1026" o:spid="_x0000_s1026" o:spt="32" type="#_x0000_t32" style="position:absolute;left:1615440;top:361315;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ph42I&#10;1wAAAAUBAAAPAAAAAAAAAAEAIAAAACIAAABkcnMvZG93bnJldi54bWxQSwECFAAUAAAACACHTuJA&#10;oBv7ZSICAAAbBAAADgAAAAAAAAABACAAAAAmAQAAZHJzL2Uyb0RvYy54bWxQSwUGAAAAAAYABgBZ&#10;AQAAugUAAAAA&#10;">
                        <v:fill on="f" focussize="0,0"/>
                        <v:stroke weight="0.25pt" color="#000000 [3213]" joinstyle="round" endarrow="open"/>
                        <v:imagedata o:title=""/>
                        <o:lock v:ext="edit" aspectratio="f"/>
                      </v:shape>
                      <v:shape id="_x0000_s1026" o:spid="_x0000_s1026" o:spt="32" type="#_x0000_t32" style="position:absolute;left:1617980;top:979805;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mHjYjXAAAABQEAAA8AAAAAAAAAAQAgAAAAIgAAAGRy&#10;cy9kb3ducmV2LnhtbFBLAQIUABQAAAAIAIdO4kCgxvCeBgIAANkDAAAOAAAAAAAAAAEAIAAAACYB&#10;AABkcnMvZTJvRG9jLnhtbFBLBQYAAAAABgAGAFkBAACeBQAAAAA=&#10;">
                        <v:fill on="f" focussize="0,0"/>
                        <v:stroke weight="0.25pt" color="#000000 [3213]" joinstyle="round" endarrow="open"/>
                        <v:imagedata o:title=""/>
                        <o:lock v:ext="edit" aspectratio="f"/>
                      </v:shape>
                      <v:shape id="_x0000_s1026" o:spid="_x0000_s1026" o:spt="32" type="#_x0000_t32" style="position:absolute;left:1608455;top:1608455;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YeNiNcAAAAFAQAADwAAAAAAAAABACAAAAAiAAAAZHJzL2Rv&#10;d25yZXYueG1sUEsBAhQAFAAAAAgAh07iQIww9+YCAgAA2gMAAA4AAAAAAAAAAQAgAAAAJgEAAGRy&#10;cy9lMm9Eb2MueG1sUEsFBgAAAAAGAAYAWQEAAJoFAAAAAA==&#10;">
                        <v:fill on="f" focussize="0,0"/>
                        <v:stroke weight="0.25pt" color="#000000 [3213]" joinstyle="round" endarrow="open"/>
                        <v:imagedata o:title=""/>
                        <o:lock v:ext="edit" aspectratio="f"/>
                      </v:shape>
                      <v:shape id="_x0000_s1026" o:spid="_x0000_s1026" o:spt="32" type="#_x0000_t32" style="position:absolute;left:1617980;top:2237105;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HjYjXAAAABQEAAA8AAAAAAAAAAQAgAAAAIgAA&#10;AGRycy9kb3ducmV2LnhtbFBLAQIUABQAAAAIAIdO4kDN61/FCQIAANoDAAAOAAAAAAAAAAEAIAAA&#10;ACYBAABkcnMvZTJvRG9jLnhtbFBLBQYAAAAABgAGAFkBAAChBQAAAAA=&#10;">
                        <v:fill on="f" focussize="0,0"/>
                        <v:stroke weight="0.25pt" color="#000000 [3213]" joinstyle="round" endarrow="open"/>
                        <v:imagedata o:title=""/>
                        <o:lock v:ext="edit" aspectratio="f"/>
                      </v:shape>
                      <v:shape id="_x0000_s1026" o:spid="_x0000_s1026" o:spt="32" type="#_x0000_t32" style="position:absolute;left:1627505;top:2837180;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&#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ph42I1wAAAAUBAAAPAAAAAAAAAAEAIAAAACIAAABk&#10;cnMvZG93bnJldi54bWxQSwECFAAUAAAACACHTuJALoxMMAcCAADaAwAADgAAAAAAAAABACAAAAAm&#10;AQAAZHJzL2Uyb0RvYy54bWxQSwUGAAAAAAYABgBZAQAAnwUAAAAA&#10;">
                        <v:fill on="f" focussize="0,0"/>
                        <v:stroke weight="0.25pt" color="#000000 [3213]" joinstyle="round" endarrow="open"/>
                        <v:imagedata o:title=""/>
                        <o:lock v:ext="edit" aspectratio="f"/>
                      </v:shape>
                      <v:shape id="_x0000_s1026" o:spid="_x0000_s1026" o:spt="32" type="#_x0000_t32" style="position:absolute;left:1656080;top:3456305;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YeNiNcAAAAFAQAADwAAAAAAAAABACAAAAAiAAAA&#10;ZHJzL2Rvd25yZXYueG1sUEsBAhQAFAAAAAgAh07iQOdQGR4IAgAA2gMAAA4AAAAAAAAAAQAgAAAA&#10;JgEAAGRycy9lMm9Eb2MueG1sUEsFBgAAAAAGAAYAWQEAAKAFAAAAAA==&#10;">
                        <v:fill on="f" focussize="0,0"/>
                        <v:stroke weight="0.25pt" color="#000000 [3213]" joinstyle="round" endarrow="open"/>
                        <v:imagedata o:title=""/>
                        <o:lock v:ext="edit" aspectratio="f"/>
                      </v:shape>
                      <v:shape id="_x0000_s1026" o:spid="_x0000_s1026" o:spt="32" type="#_x0000_t32" style="position:absolute;left:1656080;top:4075430;height:313690;width:1206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HjYjXAAAABQEAAA8AAAAAAAAAAQAgAAAAIgAA&#10;AGRycy9kb3ducmV2LnhtbFBLAQIUABQAAAAIAIdO4kAeYUeqCQIAANoDAAAOAAAAAAAAAAEAIAAA&#10;ACYBAABkcnMvZTJvRG9jLnhtbFBLBQYAAAAABgAGAFkBAAChBQAAAAA=&#10;">
                        <v:fill on="f" focussize="0,0"/>
                        <v:stroke weight="0.25pt" color="#000000 [3213]" joinstyle="round" endarrow="open"/>
                        <v:imagedata o:title=""/>
                        <o:lock v:ext="edit" aspectratio="f"/>
                      </v:shape>
                      <v:shape id="_x0000_s1026" o:spid="_x0000_s1026" o:spt="32" type="#_x0000_t32" style="position:absolute;left:2007870;top:827405;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ph42I1wAAAAUBAAAP&#10;AAAAAAAAAAEAIAAAACIAAABkcnMvZG93bnJldi54bWxQSwECFAAUAAAACACHTuJAkuVP/RkCAAD+&#10;AwAADgAAAAAAAAABACAAAAAmAQAAZHJzL2Uyb0RvYy54bWxQSwUGAAAAAAYABgBZAQAAsQUAAAAA&#10;">
                        <v:fill on="f" focussize="0,0"/>
                        <v:stroke weight="0.25pt" color="#000000 [3213]" joinstyle="round" endarrow="open"/>
                        <v:imagedata o:title=""/>
                        <o:lock v:ext="edit" aspectratio="f"/>
                      </v:shape>
                      <v:shape id="_x0000_s1026" o:spid="_x0000_s1026" o:spt="32" type="#_x0000_t32" style="position:absolute;left:2113280;top:3913505;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HjYjXAAAABQEAAA8AAAAAAAAAAQAgAAAAIgAA&#10;AGRycy9kb3ducmV2LnhtbFBLAQIUABQAAAAIAIdO4kAsStjHCQIAANgDAAAOAAAAAAAAAAEAIAAA&#10;ACYBAABkcnMvZTJvRG9jLnhtbFBLBQYAAAAABgAGAFkBAAChBQAAAAA=&#10;">
                        <v:fill on="f" focussize="0,0"/>
                        <v:stroke weight="0.25pt" color="#000000 [3213]" joinstyle="round" endarrow="open"/>
                        <v:imagedata o:title=""/>
                        <o:lock v:ext="edit" aspectratio="f"/>
                      </v:shape>
                      <v:shape id="_x0000_s1026" o:spid="_x0000_s1026" o:spt="32" type="#_x0000_t32" style="position:absolute;left:2027555;top:3303905;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HjYjXAAAABQEAAA8AAAAAAAAAAQAgAAAAIgAA&#10;AGRycy9kb3ducmV2LnhtbFBLAQIUABQAAAAIAIdO4kDK4o8+CQIAANgDAAAOAAAAAAAAAAEAIAAA&#10;ACYBAABkcnMvZTJvRG9jLnhtbFBLBQYAAAAABgAGAFkBAAChBQAAAAA=&#10;">
                        <v:fill on="f" focussize="0,0"/>
                        <v:stroke weight="0.25pt" color="#000000 [3213]" joinstyle="round" endarrow="open"/>
                        <v:imagedata o:title=""/>
                        <o:lock v:ext="edit" aspectratio="f"/>
                      </v:shape>
                      <v:shape id="_x0000_s1026" o:spid="_x0000_s1026" o:spt="32" type="#_x0000_t32" style="position:absolute;left:2046605;top:2713355;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YeNiNcAAAAFAQAADwAAAAAAAAABACAAAAAiAAAA&#10;ZHJzL2Rvd25yZXYueG1sUEsBAhQAFAAAAAgAh07iQJ6ZjXwIAgAA2AMAAA4AAAAAAAAAAQAgAAAA&#10;JgEAAGRycy9lMm9Eb2MueG1sUEsFBgAAAAAGAAYAWQEAAKAFAAAAAA==&#10;">
                        <v:fill on="f" focussize="0,0"/>
                        <v:stroke weight="0.25pt" color="#000000 [3213]" joinstyle="round" endarrow="open"/>
                        <v:imagedata o:title=""/>
                        <o:lock v:ext="edit" aspectratio="f"/>
                      </v:shape>
                      <v:shape id="_x0000_s1026" o:spid="_x0000_s1026" o:spt="32" type="#_x0000_t32" style="position:absolute;left:1998980;top:2094230;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YeNiNcAAAAFAQAADwAAAAAAAAABACAAAAAiAAAA&#10;ZHJzL2Rvd25yZXYueG1sUEsBAhQAFAAAAAgAh07iQPFkjL4IAgAA2AMAAA4AAAAAAAAAAQAgAAAA&#10;JgEAAGRycy9lMm9Eb2MueG1sUEsFBgAAAAAGAAYAWQEAAKAFAAAAAA==&#10;">
                        <v:fill on="f" focussize="0,0"/>
                        <v:stroke weight="0.25pt" color="#000000 [3213]" joinstyle="round" endarrow="open"/>
                        <v:imagedata o:title=""/>
                        <o:lock v:ext="edit" aspectratio="f"/>
                      </v:shape>
                      <v:shape id="_x0000_s1026" o:spid="_x0000_s1026" o:spt="32" type="#_x0000_t32" style="position:absolute;left:2084705;top:1437005;height:635;width:436245;" filled="f" stroked="t" coordsize="21600,21600" o:gfxdata="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ph42I1wAAAAUBAAAPAAAAAAAAAAEAIAAAACIAAABk&#10;cnMvZG93bnJldi54bWxQSwECFAAUAAAACACHTuJAMV8K9gcCAADYAwAADgAAAAAAAAABACAAAAAm&#10;AQAAZHJzL2Uyb0RvYy54bWxQSwUGAAAAAAYABgBZAQAAnwUAAAAA&#10;">
                        <v:fill on="f" focussize="0,0"/>
                        <v:stroke weight="0.25pt" color="#000000 [3213]" joinstyle="round" endarrow="open"/>
                        <v:imagedata o:title=""/>
                        <o:lock v:ext="edit" aspectratio="f"/>
                      </v:shape>
                      <v:shape id="_x0000_s1026" o:spid="_x0000_s1026" o:spt="202" type="#_x0000_t202" style="position:absolute;left:2446655;top:655955;height:304800;width:1313815;"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XhEK9IAAAAF&#10;AQAADwAAAAAAAAABACAAAAAiAAAAZHJzL2Rvd25yZXYueG1sUEsBAhQAFAAAAAgAh07iQCW3jr9b&#10;AgAAngQAAA4AAAAAAAAAAQAgAAAAIQEAAGRycy9lMm9Eb2MueG1sUEsFBgAAAAAGAAYAWQEAAO4F&#10;AAAAAA==&#10;">
                        <v:fill on="t" focussize="0,0"/>
                        <v:stroke on="f" weight="0.5pt"/>
                        <v:imagedata o:title=""/>
                        <o:lock v:ext="edit" aspectratio="f"/>
                        <v:textbox>
                          <w:txbxContent>
                            <w:p w14:paraId="31E2499F">
                              <w:pPr>
                                <w:jc w:val="center"/>
                                <w:rPr>
                                  <w:rFonts w:hint="default" w:ascii="宋体" w:hAnsi="宋体" w:eastAsia="宋体" w:cs="宋体"/>
                                  <w:lang w:val="en-US" w:eastAsia="zh-CN"/>
                                </w:rPr>
                              </w:pPr>
                              <w:r>
                                <w:rPr>
                                  <w:rFonts w:hint="eastAsia" w:ascii="宋体" w:hAnsi="宋体" w:eastAsia="宋体" w:cs="宋体"/>
                                  <w:lang w:val="en-US" w:eastAsia="zh-CN"/>
                                </w:rPr>
                                <w:t>废气、噪声、固废</w:t>
                              </w:r>
                            </w:p>
                          </w:txbxContent>
                        </v:textbox>
                      </v:shape>
                      <v:shape id="_x0000_s1026" o:spid="_x0000_s1026" o:spt="202" type="#_x0000_t202" style="position:absolute;left:2541905;top:3761105;height:304800;width:761365;"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XhEK9IAAAAF&#10;AQAADwAAAAAAAAABACAAAAAiAAAAZHJzL2Rvd25yZXYueG1sUEsBAhQAFAAAAAgAh07iQECDgpVb&#10;AgAAngQAAA4AAAAAAAAAAQAgAAAAIQEAAGRycy9lMm9Eb2MueG1sUEsFBgAAAAAGAAYAWQEAAO4F&#10;AAAAAA==&#10;">
                        <v:fill on="t" focussize="0,0"/>
                        <v:stroke on="f" weight="0.5pt"/>
                        <v:imagedata o:title=""/>
                        <o:lock v:ext="edit" aspectratio="f"/>
                        <v:textbox>
                          <w:txbxContent>
                            <w:p w14:paraId="1DDD694A">
                              <w:pPr>
                                <w:jc w:val="center"/>
                                <w:rPr>
                                  <w:rFonts w:hint="default" w:ascii="宋体" w:hAnsi="宋体" w:eastAsia="宋体" w:cs="宋体"/>
                                  <w:lang w:val="en-US" w:eastAsia="zh-CN"/>
                                </w:rPr>
                              </w:pPr>
                              <w:r>
                                <w:rPr>
                                  <w:rFonts w:hint="eastAsia" w:ascii="宋体" w:hAnsi="宋体" w:eastAsia="宋体" w:cs="宋体"/>
                                  <w:lang w:val="en-US" w:eastAsia="zh-CN"/>
                                </w:rPr>
                                <w:t>废气</w:t>
                              </w:r>
                            </w:p>
                          </w:txbxContent>
                        </v:textbox>
                      </v:shape>
                      <v:shape id="_x0000_s1026" o:spid="_x0000_s1026" o:spt="202" type="#_x0000_t202" style="position:absolute;left:2465705;top:3141980;height:304800;width:761365;"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eEQr0gAA&#10;AAUBAAAPAAAAAAAAAAEAIAAAACIAAABkcnMvZG93bnJldi54bWxQSwECFAAUAAAACACHTuJAj5/t&#10;zF0CAACeBAAADgAAAAAAAAABACAAAAAhAQAAZHJzL2Uyb0RvYy54bWxQSwUGAAAAAAYABgBZAQAA&#10;8AUAAAAA&#10;">
                        <v:fill on="t" focussize="0,0"/>
                        <v:stroke on="f" weight="0.5pt"/>
                        <v:imagedata o:title=""/>
                        <o:lock v:ext="edit" aspectratio="f"/>
                        <v:textbox>
                          <w:txbxContent>
                            <w:p w14:paraId="7A125515">
                              <w:pPr>
                                <w:jc w:val="center"/>
                                <w:rPr>
                                  <w:rFonts w:hint="default" w:ascii="宋体" w:hAnsi="宋体" w:eastAsia="宋体" w:cs="宋体"/>
                                  <w:lang w:val="en-US" w:eastAsia="zh-CN"/>
                                </w:rPr>
                              </w:pPr>
                              <w:r>
                                <w:rPr>
                                  <w:rFonts w:hint="eastAsia" w:ascii="宋体" w:hAnsi="宋体" w:eastAsia="宋体" w:cs="宋体"/>
                                  <w:lang w:val="en-US" w:eastAsia="zh-CN"/>
                                </w:rPr>
                                <w:t>废气</w:t>
                              </w:r>
                            </w:p>
                          </w:txbxContent>
                        </v:textbox>
                      </v:shape>
                      <v:shape id="_x0000_s1026" o:spid="_x0000_s1026" o:spt="202" type="#_x0000_t202" style="position:absolute;left:2484755;top:2560955;height:304800;width:866140;"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eEQr0gAA&#10;AAUBAAAPAAAAAAAAAAEAIAAAACIAAABkcnMvZG93bnJldi54bWxQSwECFAAUAAAACACHTuJAoA7u&#10;/10CAACeBAAADgAAAAAAAAABACAAAAAhAQAAZHJzL2Uyb0RvYy54bWxQSwUGAAAAAAYABgBZAQAA&#10;8AUAAAAA&#10;">
                        <v:fill on="t" focussize="0,0"/>
                        <v:stroke on="f" weight="0.5pt"/>
                        <v:imagedata o:title=""/>
                        <o:lock v:ext="edit" aspectratio="f"/>
                        <v:textbox>
                          <w:txbxContent>
                            <w:p w14:paraId="57FA3214">
                              <w:pPr>
                                <w:jc w:val="center"/>
                                <w:rPr>
                                  <w:rFonts w:hint="default" w:ascii="宋体" w:hAnsi="宋体" w:eastAsia="宋体" w:cs="宋体"/>
                                  <w:lang w:val="en-US" w:eastAsia="zh-CN"/>
                                </w:rPr>
                              </w:pPr>
                              <w:r>
                                <w:rPr>
                                  <w:rFonts w:hint="eastAsia" w:ascii="宋体" w:hAnsi="宋体" w:eastAsia="宋体" w:cs="宋体"/>
                                  <w:lang w:val="en-US" w:eastAsia="zh-CN"/>
                                </w:rPr>
                                <w:t>废气、噪声</w:t>
                              </w:r>
                            </w:p>
                          </w:txbxContent>
                        </v:textbox>
                      </v:shape>
                      <v:shape id="_x0000_s1026" o:spid="_x0000_s1026" o:spt="202" type="#_x0000_t202" style="position:absolute;left:2437130;top:1941830;height:304800;width:903605;"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eEQr0gAA&#10;AAUBAAAPAAAAAAAAAAEAIAAAACIAAABkcnMvZG93bnJldi54bWxQSwECFAAUAAAACACHTuJALhBo&#10;o10CAACeBAAADgAAAAAAAAABACAAAAAhAQAAZHJzL2Uyb0RvYy54bWxQSwUGAAAAAAYABgBZAQAA&#10;8AUAAAAA&#10;">
                        <v:fill on="t" focussize="0,0"/>
                        <v:stroke on="f" weight="0.5pt"/>
                        <v:imagedata o:title=""/>
                        <o:lock v:ext="edit" aspectratio="f"/>
                        <v:textbox>
                          <w:txbxContent>
                            <w:p w14:paraId="1EE3AA2E">
                              <w:pPr>
                                <w:jc w:val="center"/>
                                <w:rPr>
                                  <w:rFonts w:hint="default" w:ascii="宋体" w:hAnsi="宋体" w:eastAsia="宋体" w:cs="宋体"/>
                                  <w:lang w:val="en-US" w:eastAsia="zh-CN"/>
                                </w:rPr>
                              </w:pPr>
                              <w:r>
                                <w:rPr>
                                  <w:rFonts w:hint="eastAsia" w:ascii="宋体" w:hAnsi="宋体" w:eastAsia="宋体" w:cs="宋体"/>
                                  <w:lang w:val="en-US" w:eastAsia="zh-CN"/>
                                </w:rPr>
                                <w:t>废气、噪声</w:t>
                              </w:r>
                            </w:p>
                          </w:txbxContent>
                        </v:textbox>
                      </v:shape>
                      <v:shape id="_x0000_s1026" o:spid="_x0000_s1026" o:spt="202" type="#_x0000_t202" style="position:absolute;left:2513330;top:1294130;height:304800;width:761365;" fillcolor="#FFFFFF [3201]" filled="t" stroked="f" coordsize="21600,21600" o:gfxdata="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eEQr0gAA&#10;AAUBAAAPAAAAAAAAAAEAIAAAACIAAABkcnMvZG93bnJldi54bWxQSwECFAAUAAAACACHTuJAM6Ou&#10;kV0CAACeBAAADgAAAAAAAAABACAAAAAhAQAAZHJzL2Uyb0RvYy54bWxQSwUGAAAAAAYABgBZAQAA&#10;8AUAAAAA&#10;">
                        <v:fill on="t" focussize="0,0"/>
                        <v:stroke on="f" weight="0.5pt"/>
                        <v:imagedata o:title=""/>
                        <o:lock v:ext="edit" aspectratio="f"/>
                        <v:textbox>
                          <w:txbxContent>
                            <w:p w14:paraId="61483768">
                              <w:pPr>
                                <w:jc w:val="center"/>
                                <w:rPr>
                                  <w:rFonts w:hint="default" w:ascii="宋体" w:hAnsi="宋体" w:eastAsia="宋体" w:cs="宋体"/>
                                  <w:lang w:val="en-US" w:eastAsia="zh-CN"/>
                                </w:rPr>
                              </w:pPr>
                              <w:r>
                                <w:rPr>
                                  <w:rFonts w:hint="eastAsia" w:ascii="宋体" w:hAnsi="宋体" w:eastAsia="宋体" w:cs="宋体"/>
                                  <w:lang w:val="en-US" w:eastAsia="zh-CN"/>
                                </w:rPr>
                                <w:t>噪声</w:t>
                              </w:r>
                            </w:p>
                          </w:txbxContent>
                        </v:textbox>
                      </v:shape>
                      <w10:wrap type="none"/>
                      <w10:anchorlock/>
                    </v:group>
                  </w:pict>
                </mc:Fallback>
              </mc:AlternateContent>
            </w:r>
          </w:p>
          <w:p w14:paraId="7A3396CA">
            <w:pPr>
              <w:keepNext w:val="0"/>
              <w:keepLines w:val="0"/>
              <w:pageBreakBefore w:val="0"/>
              <w:widowControl/>
              <w:kinsoku/>
              <w:wordWrap/>
              <w:overflowPunct/>
              <w:topLinePunct w:val="0"/>
              <w:autoSpaceDE w:val="0"/>
              <w:autoSpaceDN w:val="0"/>
              <w:bidi w:val="0"/>
              <w:adjustRightInd w:val="0"/>
              <w:snapToGrid w:val="0"/>
              <w:spacing w:before="0" w:beforeLines="50" w:line="360" w:lineRule="auto"/>
              <w:jc w:val="center"/>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图</w:t>
            </w:r>
            <w:r>
              <w:rPr>
                <w:rFonts w:hint="eastAsia" w:ascii="Times New Roman" w:hAnsi="Times New Roman" w:eastAsia="宋体" w:cs="Times New Roman"/>
                <w:b/>
                <w:bCs/>
                <w:color w:val="auto"/>
                <w:highlight w:val="none"/>
                <w:lang w:val="en-US" w:eastAsia="zh-CN"/>
              </w:rPr>
              <w:t>3</w:t>
            </w:r>
            <w:r>
              <w:rPr>
                <w:rFonts w:hint="default" w:ascii="Times New Roman" w:hAnsi="Times New Roman" w:eastAsia="宋体" w:cs="Times New Roman"/>
                <w:b/>
                <w:bCs/>
                <w:color w:val="auto"/>
                <w:highlight w:val="none"/>
              </w:rPr>
              <w:t xml:space="preserve"> </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eastAsia="宋体" w:cs="Times New Roman"/>
                <w:b/>
                <w:bCs/>
                <w:color w:val="auto"/>
                <w:highlight w:val="none"/>
              </w:rPr>
              <w:t>运营期工艺流程及产污节点图</w:t>
            </w:r>
          </w:p>
          <w:p w14:paraId="58A0F5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工艺流程简述：</w:t>
            </w:r>
          </w:p>
          <w:p w14:paraId="34B071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管件所用材料主要为管子、板材，根据材料特性和产品所用坯料的形状进行下料。</w:t>
            </w:r>
          </w:p>
          <w:p w14:paraId="5F79B4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（1）切割：将钢板、管件依据产品尺寸进行切割。</w:t>
            </w:r>
          </w:p>
          <w:p w14:paraId="121B07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（2）卷制、预弯：依据产品要求将钢板与管件进行卷制、预弯。</w:t>
            </w:r>
          </w:p>
          <w:p w14:paraId="7AD0C1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（3）焊接：将卷制、预弯的钢板与管件进行焊接。</w:t>
            </w:r>
          </w:p>
          <w:p w14:paraId="1F3944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（4）表面处理：使用喷砂处理，管件表面处理是利用空压机压缩空气然后将石英砂喷到管件表面进行打磨，去除钢管表面氧化层、锈蚀，划痕等，使产品达到光滑的表面，满足后续加工、检验的要求。</w:t>
            </w:r>
          </w:p>
          <w:p w14:paraId="7376DD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（5）热处理：表面处理后的管件使用热风炉进行加热，加热至280℃</w:t>
            </w:r>
            <w:r>
              <w:rPr>
                <w:rFonts w:hint="eastAsia" w:ascii="Times New Roman" w:hAnsi="Times New Roman" w:eastAsia="宋体" w:cs="Times New Roman"/>
                <w:color w:val="auto"/>
                <w:sz w:val="24"/>
                <w:szCs w:val="24"/>
                <w:highlight w:val="none"/>
                <w:lang w:val="en-US" w:eastAsia="zh-CN"/>
              </w:rPr>
              <w:t>，为刷漆、涂粉工序做准备，热风炉燃料使用天然气。</w:t>
            </w:r>
          </w:p>
          <w:p w14:paraId="57CF7B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刷漆、涂粉：根据客户需求将热处理后的管件需要刷漆、涂粉，本项目刷漆工序使用的原料为油漆及水性漆，涂粉工序使用塑粉。阻止碳钢管件与空气接触发生氧化。管件使用环氧树脂漆及塑粉作为涂料，主要目的是防锈，同时也达到产品外表美观的效果。</w:t>
            </w:r>
          </w:p>
          <w:p w14:paraId="235940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（7）检验、成品：将成品进行检验入库。</w:t>
            </w:r>
          </w:p>
          <w:p w14:paraId="19F3CF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4"/>
                <w:szCs w:val="24"/>
                <w:highlight w:val="none"/>
                <w:lang w:val="en-US" w:eastAsia="zh-CN"/>
              </w:rPr>
              <w:t>营运期项目主要污染物排放情况见表2-9</w:t>
            </w:r>
            <w:r>
              <w:rPr>
                <w:rFonts w:hint="default" w:ascii="Times New Roman" w:hAnsi="Times New Roman" w:eastAsia="宋体" w:cs="Times New Roman"/>
                <w:b/>
                <w:bCs/>
                <w:color w:val="auto"/>
                <w:sz w:val="21"/>
                <w:szCs w:val="21"/>
                <w:highlight w:val="none"/>
                <w:lang w:val="en-US" w:eastAsia="zh-CN"/>
              </w:rPr>
              <w:t>。</w:t>
            </w:r>
          </w:p>
          <w:p w14:paraId="3BDACCA2">
            <w:pPr>
              <w:pStyle w:val="17"/>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default" w:ascii="Times New Roman" w:hAnsi="Times New Roman" w:eastAsia="宋体" w:cs="Times New Roman"/>
                <w:b/>
                <w:bCs/>
                <w:color w:val="auto"/>
                <w:sz w:val="21"/>
                <w:szCs w:val="21"/>
                <w:highlight w:val="none"/>
                <w:lang w:val="en-US" w:eastAsia="zh-CN"/>
              </w:rPr>
              <w:t>9</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营运期</w:t>
            </w:r>
            <w:r>
              <w:rPr>
                <w:rFonts w:hint="default" w:ascii="Times New Roman" w:hAnsi="Times New Roman" w:eastAsia="宋体" w:cs="Times New Roman"/>
                <w:b/>
                <w:bCs/>
                <w:color w:val="auto"/>
                <w:sz w:val="21"/>
                <w:szCs w:val="21"/>
                <w:highlight w:val="none"/>
              </w:rPr>
              <w:t>项目主要污染物</w:t>
            </w:r>
            <w:r>
              <w:rPr>
                <w:rFonts w:hint="default" w:ascii="Times New Roman" w:hAnsi="Times New Roman" w:eastAsia="宋体" w:cs="Times New Roman"/>
                <w:b/>
                <w:bCs/>
                <w:color w:val="auto"/>
                <w:sz w:val="21"/>
                <w:szCs w:val="21"/>
                <w:highlight w:val="none"/>
                <w:lang w:val="en-US" w:eastAsia="zh-CN"/>
              </w:rPr>
              <w:t>排放</w:t>
            </w:r>
            <w:r>
              <w:rPr>
                <w:rFonts w:hint="default" w:ascii="Times New Roman" w:hAnsi="Times New Roman" w:eastAsia="宋体" w:cs="Times New Roman"/>
                <w:b/>
                <w:bCs/>
                <w:color w:val="auto"/>
                <w:sz w:val="21"/>
                <w:szCs w:val="21"/>
                <w:highlight w:val="none"/>
              </w:rPr>
              <w:t>情况</w:t>
            </w:r>
          </w:p>
          <w:tbl>
            <w:tblPr>
              <w:tblStyle w:val="29"/>
              <w:tblW w:w="7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0"/>
              <w:gridCol w:w="2070"/>
              <w:gridCol w:w="5019"/>
            </w:tblGrid>
            <w:tr w14:paraId="11594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50" w:type="dxa"/>
                  <w:noWrap w:val="0"/>
                  <w:vAlign w:val="center"/>
                </w:tcPr>
                <w:p w14:paraId="1C4BAE42">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2070" w:type="dxa"/>
                  <w:noWrap w:val="0"/>
                  <w:vAlign w:val="center"/>
                </w:tcPr>
                <w:p w14:paraId="1220904A">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污染源</w:t>
                  </w:r>
                </w:p>
              </w:tc>
              <w:tc>
                <w:tcPr>
                  <w:tcW w:w="5019" w:type="dxa"/>
                  <w:noWrap w:val="0"/>
                  <w:vAlign w:val="center"/>
                </w:tcPr>
                <w:p w14:paraId="65788570">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w:t>
                  </w:r>
                </w:p>
              </w:tc>
            </w:tr>
            <w:tr w14:paraId="406D3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650" w:type="dxa"/>
                  <w:vMerge w:val="restart"/>
                  <w:tcBorders>
                    <w:top w:val="nil"/>
                  </w:tcBorders>
                  <w:noWrap w:val="0"/>
                  <w:vAlign w:val="center"/>
                </w:tcPr>
                <w:p w14:paraId="307B6D61">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废气</w:t>
                  </w:r>
                </w:p>
              </w:tc>
              <w:tc>
                <w:tcPr>
                  <w:tcW w:w="2070" w:type="dxa"/>
                  <w:noWrap w:val="0"/>
                  <w:vAlign w:val="center"/>
                </w:tcPr>
                <w:p w14:paraId="4D27A641">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焊接、切割、表面处理</w:t>
                  </w:r>
                </w:p>
              </w:tc>
              <w:tc>
                <w:tcPr>
                  <w:tcW w:w="5019" w:type="dxa"/>
                  <w:noWrap w:val="0"/>
                  <w:vAlign w:val="center"/>
                </w:tcPr>
                <w:p w14:paraId="6809DD68">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rPr>
                  </w:pPr>
                  <w:r>
                    <w:rPr>
                      <w:rFonts w:hint="default" w:ascii="Times New Roman" w:hAnsi="Times New Roman" w:eastAsia="宋体" w:cs="Times New Roman"/>
                      <w:color w:val="auto"/>
                      <w:highlight w:val="none"/>
                      <w:lang w:val="en-US" w:eastAsia="zh-CN"/>
                    </w:rPr>
                    <w:t>颗粒物</w:t>
                  </w:r>
                </w:p>
              </w:tc>
            </w:tr>
            <w:tr w14:paraId="2003A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650" w:type="dxa"/>
                  <w:vMerge w:val="continue"/>
                  <w:noWrap w:val="0"/>
                  <w:vAlign w:val="center"/>
                </w:tcPr>
                <w:p w14:paraId="16568F6D">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color w:val="auto"/>
                      <w:highlight w:val="none"/>
                    </w:rPr>
                  </w:pPr>
                </w:p>
              </w:tc>
              <w:tc>
                <w:tcPr>
                  <w:tcW w:w="2070" w:type="dxa"/>
                  <w:noWrap w:val="0"/>
                  <w:vAlign w:val="center"/>
                </w:tcPr>
                <w:p w14:paraId="238EEDBF">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热处理</w:t>
                  </w:r>
                </w:p>
              </w:tc>
              <w:tc>
                <w:tcPr>
                  <w:tcW w:w="5019" w:type="dxa"/>
                  <w:noWrap w:val="0"/>
                  <w:vAlign w:val="center"/>
                </w:tcPr>
                <w:p w14:paraId="1CCFCC99">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r>
                    <w:rPr>
                      <w:rFonts w:hint="eastAsia" w:ascii="Times New Roman" w:hAnsi="Times New Roman" w:eastAsia="宋体" w:cs="Times New Roman"/>
                      <w:color w:val="auto"/>
                      <w:highlight w:val="none"/>
                      <w:lang w:val="en-US" w:eastAsia="zh-CN"/>
                    </w:rPr>
                    <w:t>颗粒物</w:t>
                  </w:r>
                  <w:r>
                    <w:rPr>
                      <w:rFonts w:hint="default" w:ascii="Times New Roman" w:hAnsi="Times New Roman" w:eastAsia="宋体" w:cs="Times New Roman"/>
                      <w:color w:val="auto"/>
                      <w:highlight w:val="none"/>
                      <w:lang w:val="en-US" w:eastAsia="zh-CN"/>
                    </w:rPr>
                    <w:t>、二氧化硫、氮氧化物</w:t>
                  </w:r>
                </w:p>
              </w:tc>
            </w:tr>
            <w:tr w14:paraId="48ECB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650" w:type="dxa"/>
                  <w:vMerge w:val="continue"/>
                  <w:noWrap w:val="0"/>
                  <w:vAlign w:val="center"/>
                </w:tcPr>
                <w:p w14:paraId="2F7CA52C">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p>
              </w:tc>
              <w:tc>
                <w:tcPr>
                  <w:tcW w:w="2070" w:type="dxa"/>
                  <w:noWrap w:val="0"/>
                  <w:vAlign w:val="center"/>
                </w:tcPr>
                <w:p w14:paraId="06811EAC">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刷漆、涂粉</w:t>
                  </w:r>
                </w:p>
              </w:tc>
              <w:tc>
                <w:tcPr>
                  <w:tcW w:w="5019" w:type="dxa"/>
                  <w:noWrap w:val="0"/>
                  <w:vAlign w:val="center"/>
                </w:tcPr>
                <w:p w14:paraId="7647BBF8">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rPr>
                    <w:t>有机废气（VOCs、二甲苯）</w:t>
                  </w:r>
                </w:p>
              </w:tc>
            </w:tr>
            <w:tr w14:paraId="7929B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650" w:type="dxa"/>
                  <w:vMerge w:val="restart"/>
                  <w:tcBorders>
                    <w:top w:val="single" w:color="auto" w:sz="4" w:space="0"/>
                  </w:tcBorders>
                  <w:noWrap w:val="0"/>
                  <w:vAlign w:val="center"/>
                </w:tcPr>
                <w:p w14:paraId="7A53B8B3">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固废</w:t>
                  </w:r>
                </w:p>
              </w:tc>
              <w:tc>
                <w:tcPr>
                  <w:tcW w:w="2070" w:type="dxa"/>
                  <w:tcBorders>
                    <w:top w:val="nil"/>
                  </w:tcBorders>
                  <w:noWrap w:val="0"/>
                  <w:vAlign w:val="center"/>
                </w:tcPr>
                <w:p w14:paraId="6466988D">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切割</w:t>
                  </w:r>
                </w:p>
              </w:tc>
              <w:tc>
                <w:tcPr>
                  <w:tcW w:w="5019" w:type="dxa"/>
                  <w:noWrap w:val="0"/>
                  <w:vAlign w:val="center"/>
                </w:tcPr>
                <w:p w14:paraId="3871AA8A">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废钢材</w:t>
                  </w:r>
                </w:p>
              </w:tc>
            </w:tr>
            <w:tr w14:paraId="52442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650" w:type="dxa"/>
                  <w:vMerge w:val="continue"/>
                  <w:noWrap w:val="0"/>
                  <w:vAlign w:val="center"/>
                </w:tcPr>
                <w:p w14:paraId="0E8F4D72">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p>
              </w:tc>
              <w:tc>
                <w:tcPr>
                  <w:tcW w:w="2070" w:type="dxa"/>
                  <w:tcBorders>
                    <w:top w:val="nil"/>
                  </w:tcBorders>
                  <w:noWrap w:val="0"/>
                  <w:vAlign w:val="center"/>
                </w:tcPr>
                <w:p w14:paraId="5A8A4C0A">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刷漆</w:t>
                  </w:r>
                </w:p>
              </w:tc>
              <w:tc>
                <w:tcPr>
                  <w:tcW w:w="5019" w:type="dxa"/>
                  <w:noWrap w:val="0"/>
                  <w:vAlign w:val="center"/>
                </w:tcPr>
                <w:p w14:paraId="1E561771">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废油漆桶、漆渣</w:t>
                  </w:r>
                </w:p>
              </w:tc>
            </w:tr>
            <w:tr w14:paraId="36DC5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650" w:type="dxa"/>
                  <w:vMerge w:val="continue"/>
                  <w:tcBorders>
                    <w:bottom w:val="single" w:color="auto" w:sz="4" w:space="0"/>
                  </w:tcBorders>
                  <w:noWrap w:val="0"/>
                  <w:vAlign w:val="center"/>
                </w:tcPr>
                <w:p w14:paraId="5D6C1F8B">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p>
              </w:tc>
              <w:tc>
                <w:tcPr>
                  <w:tcW w:w="2070" w:type="dxa"/>
                  <w:tcBorders>
                    <w:top w:val="nil"/>
                  </w:tcBorders>
                  <w:noWrap w:val="0"/>
                  <w:vAlign w:val="center"/>
                </w:tcPr>
                <w:p w14:paraId="39B71115">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环保设备</w:t>
                  </w:r>
                </w:p>
              </w:tc>
              <w:tc>
                <w:tcPr>
                  <w:tcW w:w="5019" w:type="dxa"/>
                  <w:noWrap w:val="0"/>
                  <w:vAlign w:val="center"/>
                </w:tcPr>
                <w:p w14:paraId="0F661791">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废活性炭、</w:t>
                  </w:r>
                </w:p>
              </w:tc>
            </w:tr>
            <w:tr w14:paraId="7ABFF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650" w:type="dxa"/>
                  <w:tcBorders>
                    <w:top w:val="single" w:color="auto" w:sz="4" w:space="0"/>
                  </w:tcBorders>
                  <w:noWrap w:val="0"/>
                  <w:vAlign w:val="center"/>
                </w:tcPr>
                <w:p w14:paraId="5DD771D7">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噪声</w:t>
                  </w:r>
                </w:p>
              </w:tc>
              <w:tc>
                <w:tcPr>
                  <w:tcW w:w="2070" w:type="dxa"/>
                  <w:noWrap w:val="0"/>
                  <w:vAlign w:val="center"/>
                </w:tcPr>
                <w:p w14:paraId="62261ADB">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机械设备噪声</w:t>
                  </w:r>
                </w:p>
              </w:tc>
              <w:tc>
                <w:tcPr>
                  <w:tcW w:w="5019" w:type="dxa"/>
                  <w:noWrap w:val="0"/>
                  <w:vAlign w:val="center"/>
                </w:tcPr>
                <w:p w14:paraId="7655964C">
                  <w:pPr>
                    <w:pStyle w:val="74"/>
                    <w:keepNext w:val="0"/>
                    <w:keepLines w:val="0"/>
                    <w:pageBreakBefore w:val="0"/>
                    <w:widowControl w:val="0"/>
                    <w:kinsoku/>
                    <w:wordWrap/>
                    <w:overflowPunct/>
                    <w:topLinePunct w:val="0"/>
                    <w:autoSpaceDE/>
                    <w:autoSpaceDN/>
                    <w:bidi w:val="0"/>
                    <w:adjustRightInd w:val="0"/>
                    <w:snapToGrid/>
                    <w:spacing w:line="240" w:lineRule="exact"/>
                    <w:textAlignment w:val="baseline"/>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噪声</w:t>
                  </w:r>
                </w:p>
              </w:tc>
            </w:tr>
          </w:tbl>
          <w:p w14:paraId="34EE9A25">
            <w:pPr>
              <w:pStyle w:val="38"/>
              <w:keepNext w:val="0"/>
              <w:keepLines w:val="0"/>
              <w:pageBreakBefore w:val="0"/>
              <w:widowControl/>
              <w:kinsoku w:val="0"/>
              <w:wordWrap/>
              <w:overflowPunct/>
              <w:topLinePunct w:val="0"/>
              <w:autoSpaceDE w:val="0"/>
              <w:autoSpaceDN w:val="0"/>
              <w:bidi w:val="0"/>
              <w:adjustRightInd w:val="0"/>
              <w:snapToGrid w:val="0"/>
              <w:spacing w:before="0" w:line="360" w:lineRule="auto"/>
              <w:ind w:left="0" w:leftChars="0" w:firstLine="480" w:firstLineChars="200"/>
              <w:jc w:val="left"/>
              <w:textAlignment w:val="baseline"/>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本项目物料平衡见表2-10。</w:t>
            </w:r>
          </w:p>
          <w:p w14:paraId="4ECD7EF5">
            <w:pPr>
              <w:pStyle w:val="38"/>
              <w:keepNext w:val="0"/>
              <w:keepLines w:val="0"/>
              <w:pageBreakBefore w:val="0"/>
              <w:widowControl/>
              <w:kinsoku w:val="0"/>
              <w:wordWrap/>
              <w:overflowPunct/>
              <w:topLinePunct w:val="0"/>
              <w:autoSpaceDE w:val="0"/>
              <w:autoSpaceDN w:val="0"/>
              <w:bidi w:val="0"/>
              <w:adjustRightInd w:val="0"/>
              <w:snapToGrid w:val="0"/>
              <w:spacing w:before="0" w:line="360" w:lineRule="auto"/>
              <w:ind w:left="0" w:leftChars="0" w:firstLine="422" w:firstLineChars="200"/>
              <w:jc w:val="center"/>
              <w:textAlignment w:val="baseline"/>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表2-10   物料平衡表</w:t>
            </w:r>
          </w:p>
          <w:tbl>
            <w:tblPr>
              <w:tblStyle w:val="29"/>
              <w:tblW w:w="84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4"/>
              <w:gridCol w:w="2185"/>
              <w:gridCol w:w="2318"/>
              <w:gridCol w:w="2320"/>
            </w:tblGrid>
            <w:tr w14:paraId="717A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22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BCF8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pPr>
                  <w:r>
                    <w:rPr>
                      <w:rFonts w:hint="eastAsia" w:ascii="Times New Roman" w:hAnsi="Times New Roman" w:eastAsia="宋体" w:cs="Times New Roman"/>
                      <w:b/>
                      <w:bCs/>
                      <w:i w:val="0"/>
                      <w:iCs w:val="0"/>
                      <w:snapToGrid w:val="0"/>
                      <w:color w:val="auto"/>
                      <w:kern w:val="0"/>
                      <w:sz w:val="21"/>
                      <w:szCs w:val="21"/>
                      <w:highlight w:val="none"/>
                      <w:u w:val="none"/>
                      <w:lang w:val="en-US" w:eastAsia="zh-CN" w:bidi="ar"/>
                    </w:rPr>
                    <w:t>用量</w:t>
                  </w:r>
                </w:p>
              </w:tc>
              <w:tc>
                <w:tcPr>
                  <w:tcW w:w="27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2EA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snapToGrid w:val="0"/>
                      <w:color w:val="auto"/>
                      <w:kern w:val="0"/>
                      <w:sz w:val="22"/>
                      <w:szCs w:val="22"/>
                      <w:highlight w:val="none"/>
                      <w:u w:val="none"/>
                      <w:lang w:val="en-US" w:eastAsia="zh-CN" w:bidi="ar"/>
                    </w:rPr>
                  </w:pPr>
                  <w:r>
                    <w:rPr>
                      <w:rFonts w:hint="eastAsia" w:ascii="Times New Roman" w:hAnsi="Times New Roman" w:eastAsia="宋体" w:cs="Times New Roman"/>
                      <w:b/>
                      <w:bCs/>
                      <w:i w:val="0"/>
                      <w:iCs w:val="0"/>
                      <w:snapToGrid w:val="0"/>
                      <w:color w:val="auto"/>
                      <w:kern w:val="0"/>
                      <w:sz w:val="22"/>
                      <w:szCs w:val="22"/>
                      <w:highlight w:val="none"/>
                      <w:u w:val="none"/>
                      <w:lang w:val="en-US" w:eastAsia="zh-CN" w:bidi="ar"/>
                    </w:rPr>
                    <w:t>产出</w:t>
                  </w:r>
                </w:p>
              </w:tc>
            </w:tr>
            <w:tr w14:paraId="066CA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F2E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原辅材料名称</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286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snapToGrid w:val="0"/>
                      <w:color w:val="auto"/>
                      <w:kern w:val="0"/>
                      <w:sz w:val="21"/>
                      <w:szCs w:val="21"/>
                      <w:highlight w:val="none"/>
                      <w:u w:val="none"/>
                      <w:lang w:val="en-US" w:eastAsia="zh-CN" w:bidi="ar"/>
                    </w:rPr>
                    <w:t>年耗量（t/a）</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DD3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snapToGrid w:val="0"/>
                      <w:color w:val="auto"/>
                      <w:kern w:val="0"/>
                      <w:sz w:val="22"/>
                      <w:szCs w:val="22"/>
                      <w:highlight w:val="none"/>
                      <w:u w:val="none"/>
                      <w:lang w:val="en-US" w:eastAsia="zh-CN" w:bidi="ar"/>
                    </w:rPr>
                    <w:t>名称</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D842">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snapToGrid w:val="0"/>
                      <w:color w:val="auto"/>
                      <w:kern w:val="0"/>
                      <w:sz w:val="22"/>
                      <w:szCs w:val="22"/>
                      <w:highlight w:val="none"/>
                      <w:u w:val="none"/>
                      <w:lang w:val="en-US" w:eastAsia="zh-CN" w:bidi="ar"/>
                    </w:rPr>
                    <w:t>产生量（t/a）</w:t>
                  </w:r>
                </w:p>
              </w:tc>
            </w:tr>
            <w:tr w14:paraId="1EC3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B31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圆钢</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89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1000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AA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金属管件</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A1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3004</w:t>
                  </w:r>
                </w:p>
              </w:tc>
            </w:tr>
            <w:tr w14:paraId="5D00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79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钢管</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70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1000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1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废包装材料</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6E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eastAsia" w:ascii="Times New Roman" w:hAnsi="Times New Roman" w:eastAsia="宋体" w:cs="Times New Roman"/>
                      <w:i w:val="0"/>
                      <w:iCs w:val="0"/>
                      <w:snapToGrid w:val="0"/>
                      <w:color w:val="auto"/>
                      <w:kern w:val="0"/>
                      <w:sz w:val="22"/>
                      <w:szCs w:val="22"/>
                      <w:highlight w:val="none"/>
                      <w:u w:val="none"/>
                      <w:lang w:val="en-US" w:eastAsia="zh-CN" w:bidi="ar"/>
                    </w:rPr>
                    <w:t>1.594</w:t>
                  </w:r>
                </w:p>
              </w:tc>
            </w:tr>
            <w:tr w14:paraId="6DC1E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3A4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各种型材</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2A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400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E7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金属边角料</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18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21</w:t>
                  </w:r>
                </w:p>
              </w:tc>
            </w:tr>
            <w:tr w14:paraId="18877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A5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中厚钢板</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964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300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4B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油漆桶</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56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0.05</w:t>
                  </w:r>
                </w:p>
              </w:tc>
            </w:tr>
            <w:tr w14:paraId="656D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4F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冷轧薄板</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23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300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DF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废漆渣</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68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0.03</w:t>
                  </w:r>
                </w:p>
              </w:tc>
            </w:tr>
            <w:tr w14:paraId="4FB5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CC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油漆</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1C4F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5.5</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72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除尘灰</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3B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10.538</w:t>
                  </w:r>
                </w:p>
              </w:tc>
            </w:tr>
            <w:tr w14:paraId="7F4B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AC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水性漆</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5D4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3</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BE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非甲烷总烃</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61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eastAsia" w:ascii="Times New Roman" w:hAnsi="Times New Roman" w:eastAsia="宋体" w:cs="Times New Roman"/>
                      <w:i w:val="0"/>
                      <w:iCs w:val="0"/>
                      <w:snapToGrid w:val="0"/>
                      <w:color w:val="auto"/>
                      <w:kern w:val="0"/>
                      <w:sz w:val="22"/>
                      <w:szCs w:val="22"/>
                      <w:highlight w:val="none"/>
                      <w:u w:val="none"/>
                      <w:lang w:val="en-US" w:eastAsia="zh-CN" w:bidi="ar"/>
                    </w:rPr>
                    <w:t>0.642</w:t>
                  </w:r>
                </w:p>
              </w:tc>
            </w:tr>
            <w:tr w14:paraId="69D61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52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塑粉</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08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20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29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二甲苯</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E8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eastAsia" w:ascii="Times New Roman" w:hAnsi="Times New Roman" w:eastAsia="宋体" w:cs="Times New Roman"/>
                      <w:i w:val="0"/>
                      <w:iCs w:val="0"/>
                      <w:snapToGrid w:val="0"/>
                      <w:color w:val="auto"/>
                      <w:kern w:val="0"/>
                      <w:sz w:val="22"/>
                      <w:szCs w:val="22"/>
                      <w:highlight w:val="none"/>
                      <w:u w:val="none"/>
                      <w:lang w:val="en-US" w:eastAsia="zh-CN" w:bidi="ar"/>
                    </w:rPr>
                    <w:t>0.114</w:t>
                  </w:r>
                </w:p>
              </w:tc>
            </w:tr>
            <w:tr w14:paraId="3B751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C1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药芯焊丝</w:t>
                  </w:r>
                </w:p>
              </w:tc>
              <w:tc>
                <w:tcPr>
                  <w:tcW w:w="1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67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rPr>
                    <w:t>10</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BB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颗粒物</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02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0.532</w:t>
                  </w:r>
                </w:p>
              </w:tc>
            </w:tr>
            <w:tr w14:paraId="203B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C7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合计</w:t>
                  </w:r>
                </w:p>
              </w:tc>
              <w:tc>
                <w:tcPr>
                  <w:tcW w:w="1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30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3038.5</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0705">
                  <w:pPr>
                    <w:jc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ascii="Times New Roman" w:hAnsi="Times New Roman" w:eastAsia="宋体" w:cs="Times New Roman"/>
                      <w:i w:val="0"/>
                      <w:iCs w:val="0"/>
                      <w:color w:val="auto"/>
                      <w:sz w:val="22"/>
                      <w:szCs w:val="22"/>
                      <w:highlight w:val="none"/>
                      <w:u w:val="none"/>
                      <w:lang w:val="en-US" w:eastAsia="zh-CN"/>
                    </w:rPr>
                    <w:t>/</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50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snapToGrid w:val="0"/>
                      <w:color w:val="auto"/>
                      <w:kern w:val="0"/>
                      <w:sz w:val="22"/>
                      <w:szCs w:val="22"/>
                      <w:highlight w:val="none"/>
                      <w:u w:val="none"/>
                      <w:lang w:val="en-US" w:eastAsia="zh-CN" w:bidi="ar"/>
                    </w:rPr>
                    <w:t>3038.5</w:t>
                  </w:r>
                </w:p>
              </w:tc>
            </w:tr>
          </w:tbl>
          <w:p w14:paraId="44393A51">
            <w:pPr>
              <w:pStyle w:val="38"/>
              <w:keepNext w:val="0"/>
              <w:keepLines w:val="0"/>
              <w:pageBreakBefore w:val="0"/>
              <w:widowControl/>
              <w:kinsoku w:val="0"/>
              <w:wordWrap/>
              <w:overflowPunct/>
              <w:topLinePunct w:val="0"/>
              <w:autoSpaceDE w:val="0"/>
              <w:autoSpaceDN w:val="0"/>
              <w:bidi w:val="0"/>
              <w:adjustRightInd w:val="0"/>
              <w:snapToGrid w:val="0"/>
              <w:spacing w:before="0" w:line="360" w:lineRule="auto"/>
              <w:ind w:left="0" w:leftChars="0" w:firstLine="422" w:firstLineChars="200"/>
              <w:jc w:val="center"/>
              <w:textAlignment w:val="baseline"/>
              <w:rPr>
                <w:rFonts w:hint="default" w:ascii="Times New Roman" w:hAnsi="Times New Roman" w:eastAsia="宋体" w:cs="Times New Roman"/>
                <w:b/>
                <w:bCs/>
                <w:color w:val="auto"/>
                <w:sz w:val="21"/>
                <w:szCs w:val="21"/>
                <w:highlight w:val="none"/>
                <w:lang w:val="en-US" w:eastAsia="zh-CN"/>
              </w:rPr>
            </w:pPr>
          </w:p>
        </w:tc>
      </w:tr>
      <w:tr w14:paraId="10D15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211" w:type="pct"/>
            <w:tcBorders>
              <w:left w:val="single" w:color="000000" w:sz="6" w:space="0"/>
            </w:tcBorders>
            <w:vAlign w:val="center"/>
          </w:tcPr>
          <w:p w14:paraId="4D12F5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position w:val="4"/>
                <w:sz w:val="24"/>
                <w:szCs w:val="24"/>
                <w:highlight w:val="none"/>
              </w:rPr>
              <w:t>与</w:t>
            </w:r>
            <w:r>
              <w:rPr>
                <w:rFonts w:hint="default" w:ascii="Times New Roman" w:hAnsi="Times New Roman" w:eastAsia="宋体" w:cs="Times New Roman"/>
                <w:color w:val="auto"/>
                <w:spacing w:val="2"/>
                <w:position w:val="4"/>
                <w:sz w:val="24"/>
                <w:szCs w:val="24"/>
                <w:highlight w:val="none"/>
              </w:rPr>
              <w:t>项</w:t>
            </w:r>
            <w:r>
              <w:rPr>
                <w:rFonts w:hint="default" w:ascii="Times New Roman" w:hAnsi="Times New Roman" w:eastAsia="宋体" w:cs="Times New Roman"/>
                <w:color w:val="auto"/>
                <w:spacing w:val="-16"/>
                <w:sz w:val="24"/>
                <w:szCs w:val="24"/>
                <w:highlight w:val="none"/>
              </w:rPr>
              <w:t>目</w:t>
            </w:r>
            <w:r>
              <w:rPr>
                <w:rFonts w:hint="default" w:ascii="Times New Roman" w:hAnsi="Times New Roman" w:eastAsia="宋体" w:cs="Times New Roman"/>
                <w:color w:val="auto"/>
                <w:spacing w:val="-15"/>
                <w:sz w:val="24"/>
                <w:szCs w:val="24"/>
                <w:highlight w:val="none"/>
              </w:rPr>
              <w:t>有</w:t>
            </w:r>
            <w:r>
              <w:rPr>
                <w:rFonts w:hint="default" w:ascii="Times New Roman" w:hAnsi="Times New Roman" w:eastAsia="宋体" w:cs="Times New Roman"/>
                <w:color w:val="auto"/>
                <w:spacing w:val="3"/>
                <w:sz w:val="24"/>
                <w:szCs w:val="24"/>
                <w:highlight w:val="none"/>
              </w:rPr>
              <w:t>关的</w:t>
            </w:r>
            <w:r>
              <w:rPr>
                <w:rFonts w:hint="default" w:ascii="Times New Roman" w:hAnsi="Times New Roman" w:eastAsia="宋体" w:cs="Times New Roman"/>
                <w:color w:val="auto"/>
                <w:spacing w:val="2"/>
                <w:sz w:val="24"/>
                <w:szCs w:val="24"/>
                <w:highlight w:val="none"/>
              </w:rPr>
              <w:t>原有</w:t>
            </w:r>
            <w:r>
              <w:rPr>
                <w:rFonts w:hint="default" w:ascii="Times New Roman" w:hAnsi="Times New Roman" w:eastAsia="宋体" w:cs="Times New Roman"/>
                <w:color w:val="auto"/>
                <w:spacing w:val="5"/>
                <w:sz w:val="24"/>
                <w:szCs w:val="24"/>
                <w:highlight w:val="none"/>
              </w:rPr>
              <w:t>环</w:t>
            </w:r>
            <w:r>
              <w:rPr>
                <w:rFonts w:hint="default" w:ascii="Times New Roman" w:hAnsi="Times New Roman" w:eastAsia="宋体" w:cs="Times New Roman"/>
                <w:color w:val="auto"/>
                <w:spacing w:val="4"/>
                <w:sz w:val="24"/>
                <w:szCs w:val="24"/>
                <w:highlight w:val="none"/>
              </w:rPr>
              <w:t>境污</w:t>
            </w:r>
            <w:r>
              <w:rPr>
                <w:rFonts w:hint="default" w:ascii="Times New Roman" w:hAnsi="Times New Roman" w:eastAsia="宋体" w:cs="Times New Roman"/>
                <w:color w:val="auto"/>
                <w:spacing w:val="3"/>
                <w:sz w:val="24"/>
                <w:szCs w:val="24"/>
                <w:highlight w:val="none"/>
              </w:rPr>
              <w:t>染</w:t>
            </w:r>
            <w:r>
              <w:rPr>
                <w:rFonts w:hint="default" w:ascii="Times New Roman" w:hAnsi="Times New Roman" w:eastAsia="宋体" w:cs="Times New Roman"/>
                <w:color w:val="auto"/>
                <w:spacing w:val="-7"/>
                <w:sz w:val="24"/>
                <w:szCs w:val="24"/>
                <w:highlight w:val="none"/>
              </w:rPr>
              <w:t>问题</w:t>
            </w:r>
          </w:p>
        </w:tc>
        <w:tc>
          <w:tcPr>
            <w:tcW w:w="4788" w:type="pct"/>
            <w:tcBorders>
              <w:right w:val="single" w:color="000000" w:sz="6" w:space="0"/>
            </w:tcBorders>
            <w:vAlign w:val="center"/>
          </w:tcPr>
          <w:p w14:paraId="12605250">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10F7AE6D">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5EFFA63B">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093CC3AE">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2BBB8C0D">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0C313B69">
            <w:pPr>
              <w:pStyle w:val="38"/>
              <w:pageBreakBefore w:val="0"/>
              <w:wordWrap/>
              <w:bidi w:val="0"/>
              <w:adjustRightInd w:val="0"/>
              <w:snapToGrid w:val="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u w:val="none"/>
                <w:lang w:val="en-US" w:eastAsia="zh-CN"/>
              </w:rPr>
              <w:t>本项目属于新建项目，2018年投产，属于补做环评，2018年原昌吉市环境保护局</w:t>
            </w:r>
            <w:r>
              <w:rPr>
                <w:rFonts w:hint="eastAsia" w:ascii="Times New Roman" w:hAnsi="Times New Roman" w:eastAsia="宋体" w:cs="Times New Roman"/>
                <w:color w:val="auto"/>
                <w:sz w:val="24"/>
                <w:szCs w:val="24"/>
                <w:highlight w:val="none"/>
                <w:u w:val="none"/>
                <w:lang w:val="en-US" w:eastAsia="zh-CN"/>
              </w:rPr>
              <w:t>对</w:t>
            </w:r>
            <w:r>
              <w:rPr>
                <w:rFonts w:hint="default" w:ascii="Times New Roman" w:hAnsi="Times New Roman" w:eastAsia="宋体" w:cs="Times New Roman"/>
                <w:color w:val="auto"/>
                <w:sz w:val="24"/>
                <w:szCs w:val="24"/>
                <w:highlight w:val="none"/>
                <w:u w:val="none"/>
                <w:lang w:val="en-US" w:eastAsia="zh-CN"/>
              </w:rPr>
              <w:t>本项目进行了处罚，2018年8月6日</w:t>
            </w:r>
            <w:r>
              <w:rPr>
                <w:rFonts w:hint="default" w:ascii="Times New Roman" w:hAnsi="Times New Roman" w:eastAsia="宋体" w:cs="Times New Roman"/>
                <w:color w:val="auto"/>
                <w:sz w:val="24"/>
                <w:szCs w:val="24"/>
                <w:highlight w:val="none"/>
                <w:lang w:eastAsia="zh-CN"/>
              </w:rPr>
              <w:t>新疆东瑞精工管道制造有限公司</w:t>
            </w:r>
            <w:r>
              <w:rPr>
                <w:rFonts w:hint="default" w:ascii="Times New Roman" w:hAnsi="Times New Roman" w:eastAsia="宋体" w:cs="Times New Roman"/>
                <w:color w:val="auto"/>
                <w:sz w:val="24"/>
                <w:szCs w:val="24"/>
                <w:highlight w:val="none"/>
                <w:lang w:val="en-US" w:eastAsia="zh-CN"/>
              </w:rPr>
              <w:t>缴纳罚款，详见附件</w:t>
            </w:r>
            <w:r>
              <w:rPr>
                <w:rFonts w:hint="default" w:ascii="Times New Roman" w:hAnsi="Times New Roman" w:cs="Times New Roman"/>
                <w:color w:val="auto"/>
                <w:sz w:val="24"/>
                <w:szCs w:val="24"/>
                <w:highlight w:val="none"/>
                <w:lang w:val="en-US" w:eastAsia="zh-CN"/>
              </w:rPr>
              <w:t>。</w:t>
            </w:r>
          </w:p>
          <w:p w14:paraId="07AF6AC0">
            <w:pPr>
              <w:pStyle w:val="38"/>
              <w:pageBreakBefore w:val="0"/>
              <w:wordWrap/>
              <w:bidi w:val="0"/>
              <w:adjustRightInd w:val="0"/>
              <w:snapToGrid w:val="0"/>
              <w:rPr>
                <w:rFonts w:hint="eastAsia" w:ascii="Times New Roman" w:hAnsi="Times New Roman" w:eastAsia="宋体" w:cs="Times New Roman"/>
                <w:snapToGrid w:val="0"/>
                <w:color w:val="auto"/>
                <w:kern w:val="0"/>
                <w:sz w:val="24"/>
                <w:szCs w:val="24"/>
                <w:highlight w:val="none"/>
                <w:u w:val="none"/>
                <w:lang w:val="en-US" w:eastAsia="zh-CN"/>
              </w:rPr>
            </w:pPr>
            <w:r>
              <w:rPr>
                <w:rFonts w:hint="eastAsia" w:ascii="Times New Roman" w:hAnsi="Times New Roman" w:cs="Times New Roman"/>
                <w:color w:val="auto"/>
                <w:sz w:val="24"/>
                <w:szCs w:val="24"/>
                <w:highlight w:val="none"/>
                <w:lang w:val="en-US" w:eastAsia="zh-CN"/>
              </w:rPr>
              <w:t>2018年8月新疆东瑞精工管道制造有限公司委托环评单位编制环评报告上报审批，由于本项目环评未批复，故企业处于停产状态。本项目已建设</w:t>
            </w:r>
            <w:r>
              <w:rPr>
                <w:rFonts w:hint="eastAsia" w:ascii="Times New Roman" w:hAnsi="Times New Roman" w:eastAsia="宋体" w:cs="Times New Roman"/>
                <w:snapToGrid w:val="0"/>
                <w:color w:val="auto"/>
                <w:kern w:val="0"/>
                <w:sz w:val="24"/>
                <w:szCs w:val="24"/>
                <w:highlight w:val="none"/>
                <w:u w:val="none"/>
                <w:lang w:val="en-US" w:eastAsia="zh-CN"/>
              </w:rPr>
              <w:t>1号生产车间及车间里布置的焊接、卷制工序，2号生产车间及车间中布置的热风炉、表面处理、刷漆工序，办公区、宿舍、职工餐厅原料储存区等辅助、储运工程。</w:t>
            </w:r>
          </w:p>
          <w:p w14:paraId="654D9534">
            <w:pPr>
              <w:pStyle w:val="38"/>
              <w:pageBreakBefore w:val="0"/>
              <w:wordWrap/>
              <w:bidi w:val="0"/>
              <w:adjustRightInd w:val="0"/>
              <w:snapToGrid w:val="0"/>
              <w:rPr>
                <w:rFonts w:hint="default" w:ascii="Times New Roman" w:hAnsi="Times New Roman" w:cs="Times New Roman"/>
                <w:color w:val="auto"/>
                <w:sz w:val="24"/>
                <w:szCs w:val="24"/>
                <w:highlight w:val="none"/>
                <w:lang w:val="en-US" w:eastAsia="zh-CN"/>
              </w:rPr>
            </w:pPr>
            <w:r>
              <w:rPr>
                <w:rFonts w:hint="eastAsia" w:ascii="Times New Roman" w:hAnsi="Times New Roman" w:eastAsia="宋体" w:cs="Times New Roman"/>
                <w:snapToGrid w:val="0"/>
                <w:color w:val="auto"/>
                <w:kern w:val="0"/>
                <w:sz w:val="24"/>
                <w:szCs w:val="24"/>
                <w:highlight w:val="none"/>
                <w:u w:val="none"/>
                <w:lang w:val="en-US" w:eastAsia="zh-CN"/>
              </w:rPr>
              <w:t>由于本项目长期处于停产状态，故本项目无已建设环保治理设施及排放口，无危废暂存间。未做例行检测。本次环评要求切割、表面处理工序废气经布袋除尘器处理后排放，热风炉天然气燃烧废气经低氮燃气燃烧器处理后排放，刷漆、涂粉工序产生的废气经活性炭吸附脱附+催化燃烧设备处理后排放。满足现行环保要求。</w:t>
            </w:r>
          </w:p>
          <w:p w14:paraId="0A8E355F">
            <w:pPr>
              <w:pStyle w:val="38"/>
              <w:pageBreakBefore w:val="0"/>
              <w:wordWrap/>
              <w:bidi w:val="0"/>
              <w:adjustRightInd w:val="0"/>
              <w:snapToGrid w:val="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2022年1月18日</w:t>
            </w:r>
            <w:r>
              <w:rPr>
                <w:rFonts w:hint="default" w:ascii="Times New Roman" w:hAnsi="Times New Roman" w:eastAsia="宋体" w:cs="Times New Roman"/>
                <w:color w:val="auto"/>
                <w:sz w:val="24"/>
                <w:szCs w:val="24"/>
                <w:highlight w:val="none"/>
                <w:lang w:eastAsia="zh-CN"/>
              </w:rPr>
              <w:t>新疆东瑞精工管道制造有限公司</w:t>
            </w:r>
            <w:r>
              <w:rPr>
                <w:rFonts w:hint="eastAsia" w:ascii="Times New Roman" w:hAnsi="Times New Roman" w:eastAsia="宋体" w:cs="Times New Roman"/>
                <w:color w:val="auto"/>
                <w:sz w:val="24"/>
                <w:szCs w:val="24"/>
                <w:highlight w:val="none"/>
                <w:lang w:val="en-US" w:eastAsia="zh-CN"/>
              </w:rPr>
              <w:t>进行了排污许可证登记，登记编号为91652301MA77UBH67L001X。</w:t>
            </w:r>
          </w:p>
          <w:p w14:paraId="266A43FB">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0A68BD64">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338800DA">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18897EBB">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04C138E6">
            <w:pPr>
              <w:pStyle w:val="38"/>
              <w:pageBreakBefore w:val="0"/>
              <w:wordWrap/>
              <w:bidi w:val="0"/>
              <w:adjustRightInd w:val="0"/>
              <w:snapToGrid w:val="0"/>
              <w:ind w:left="0" w:leftChars="0" w:firstLine="0" w:firstLineChars="0"/>
              <w:rPr>
                <w:rFonts w:hint="default" w:ascii="Times New Roman" w:hAnsi="Times New Roman" w:eastAsia="宋体" w:cs="Times New Roman"/>
                <w:color w:val="auto"/>
                <w:sz w:val="24"/>
                <w:highlight w:val="none"/>
              </w:rPr>
            </w:pPr>
          </w:p>
          <w:p w14:paraId="555D9823">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560542FF">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2B4F6EB5">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67514BBE">
            <w:pPr>
              <w:pStyle w:val="38"/>
              <w:pageBreakBefore w:val="0"/>
              <w:wordWrap/>
              <w:bidi w:val="0"/>
              <w:adjustRightInd w:val="0"/>
              <w:snapToGrid w:val="0"/>
              <w:rPr>
                <w:rFonts w:hint="default" w:ascii="Times New Roman" w:hAnsi="Times New Roman" w:eastAsia="宋体" w:cs="Times New Roman"/>
                <w:color w:val="auto"/>
                <w:sz w:val="24"/>
                <w:highlight w:val="none"/>
              </w:rPr>
            </w:pPr>
          </w:p>
          <w:p w14:paraId="435EE199">
            <w:pPr>
              <w:pStyle w:val="38"/>
              <w:pageBreakBefore w:val="0"/>
              <w:wordWrap/>
              <w:bidi w:val="0"/>
              <w:adjustRightInd w:val="0"/>
              <w:snapToGrid w:val="0"/>
              <w:rPr>
                <w:rFonts w:hint="default" w:ascii="Times New Roman" w:hAnsi="Times New Roman" w:eastAsia="宋体" w:cs="Times New Roman"/>
                <w:color w:val="auto"/>
                <w:sz w:val="24"/>
                <w:highlight w:val="none"/>
              </w:rPr>
            </w:pPr>
          </w:p>
        </w:tc>
      </w:tr>
    </w:tbl>
    <w:p w14:paraId="1792E35A">
      <w:pPr>
        <w:keepNext w:val="0"/>
        <w:keepLines w:val="0"/>
        <w:pageBreakBefore w:val="0"/>
        <w:wordWrap/>
        <w:bidi w:val="0"/>
        <w:adjustRightInd w:val="0"/>
        <w:snapToGrid w:val="0"/>
        <w:rPr>
          <w:rFonts w:hint="default" w:ascii="Times New Roman" w:hAnsi="Times New Roman" w:cs="Times New Roman"/>
          <w:color w:val="auto"/>
          <w:sz w:val="21"/>
          <w:highlight w:val="none"/>
        </w:rPr>
      </w:pPr>
    </w:p>
    <w:p w14:paraId="75825857">
      <w:pPr>
        <w:keepNext w:val="0"/>
        <w:keepLines w:val="0"/>
        <w:pageBreakBefore w:val="0"/>
        <w:wordWrap/>
        <w:bidi w:val="0"/>
        <w:adjustRightInd w:val="0"/>
        <w:snapToGrid w:val="0"/>
        <w:rPr>
          <w:rFonts w:hint="default" w:ascii="Times New Roman" w:hAnsi="Times New Roman" w:cs="Times New Roman"/>
          <w:color w:val="auto"/>
          <w:highlight w:val="none"/>
        </w:rPr>
        <w:sectPr>
          <w:footerReference r:id="rId6" w:type="default"/>
          <w:pgSz w:w="11905" w:h="16838"/>
          <w:pgMar w:top="1440" w:right="1800" w:bottom="1440" w:left="1800"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626796C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pacing w:val="13"/>
          <w:sz w:val="29"/>
          <w:szCs w:val="29"/>
          <w:highlight w:val="none"/>
        </w:rPr>
        <w:t>三</w:t>
      </w:r>
      <w:r>
        <w:rPr>
          <w:rFonts w:hint="default" w:ascii="Times New Roman" w:hAnsi="Times New Roman" w:eastAsia="黑体" w:cs="Times New Roman"/>
          <w:color w:val="auto"/>
          <w:spacing w:val="9"/>
          <w:sz w:val="29"/>
          <w:szCs w:val="29"/>
          <w:highlight w:val="none"/>
        </w:rPr>
        <w:t>、区域环境质量现状、环境保护目标及评价标准</w:t>
      </w:r>
    </w:p>
    <w:p w14:paraId="51325072">
      <w:pPr>
        <w:keepNext w:val="0"/>
        <w:keepLines w:val="0"/>
        <w:pageBreakBefore w:val="0"/>
        <w:wordWrap/>
        <w:bidi w:val="0"/>
        <w:adjustRightInd w:val="0"/>
        <w:snapToGrid w:val="0"/>
        <w:spacing w:line="46" w:lineRule="auto"/>
        <w:rPr>
          <w:rFonts w:hint="default" w:ascii="Times New Roman" w:hAnsi="Times New Roman" w:cs="Times New Roman"/>
          <w:color w:val="auto"/>
          <w:sz w:val="2"/>
          <w:highlight w:val="none"/>
        </w:rPr>
      </w:pPr>
    </w:p>
    <w:tbl>
      <w:tblPr>
        <w:tblStyle w:val="41"/>
        <w:tblW w:w="89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57" w:type="dxa"/>
          <w:bottom w:w="0" w:type="dxa"/>
          <w:right w:w="57" w:type="dxa"/>
        </w:tblCellMar>
      </w:tblPr>
      <w:tblGrid>
        <w:gridCol w:w="422"/>
        <w:gridCol w:w="8572"/>
      </w:tblGrid>
      <w:tr w14:paraId="38733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94" w:hRule="atLeast"/>
          <w:jc w:val="center"/>
        </w:trPr>
        <w:tc>
          <w:tcPr>
            <w:tcW w:w="422" w:type="dxa"/>
            <w:tcBorders>
              <w:left w:val="single" w:color="000000" w:sz="6" w:space="0"/>
            </w:tcBorders>
            <w:vAlign w:val="center"/>
          </w:tcPr>
          <w:p w14:paraId="026D5DE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position w:val="4"/>
                <w:sz w:val="24"/>
                <w:szCs w:val="24"/>
                <w:highlight w:val="none"/>
              </w:rPr>
              <w:t>区域</w:t>
            </w:r>
            <w:r>
              <w:rPr>
                <w:rFonts w:hint="default" w:ascii="Times New Roman" w:hAnsi="Times New Roman" w:eastAsia="宋体" w:cs="Times New Roman"/>
                <w:color w:val="auto"/>
                <w:spacing w:val="5"/>
                <w:sz w:val="24"/>
                <w:szCs w:val="24"/>
                <w:highlight w:val="none"/>
              </w:rPr>
              <w:t>环</w:t>
            </w:r>
            <w:r>
              <w:rPr>
                <w:rFonts w:hint="default" w:ascii="Times New Roman" w:hAnsi="Times New Roman" w:eastAsia="宋体" w:cs="Times New Roman"/>
                <w:color w:val="auto"/>
                <w:spacing w:val="4"/>
                <w:sz w:val="24"/>
                <w:szCs w:val="24"/>
                <w:highlight w:val="none"/>
              </w:rPr>
              <w:t>境质量现</w:t>
            </w:r>
            <w:r>
              <w:rPr>
                <w:rFonts w:hint="default" w:ascii="Times New Roman" w:hAnsi="Times New Roman" w:eastAsia="宋体" w:cs="Times New Roman"/>
                <w:color w:val="auto"/>
                <w:spacing w:val="3"/>
                <w:sz w:val="24"/>
                <w:szCs w:val="24"/>
                <w:highlight w:val="none"/>
              </w:rPr>
              <w:t>状</w:t>
            </w:r>
          </w:p>
        </w:tc>
        <w:tc>
          <w:tcPr>
            <w:tcW w:w="8572" w:type="dxa"/>
            <w:tcBorders>
              <w:right w:val="single" w:color="000000" w:sz="6" w:space="0"/>
            </w:tcBorders>
            <w:vAlign w:val="top"/>
          </w:tcPr>
          <w:p w14:paraId="5A196AA6">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eastAsia="宋体" w:cs="Times New Roman"/>
                <w:b/>
                <w:color w:val="auto"/>
                <w:spacing w:val="0"/>
                <w:position w:val="0"/>
                <w:sz w:val="24"/>
                <w:szCs w:val="24"/>
                <w:highlight w:val="none"/>
              </w:rPr>
            </w:pPr>
            <w:r>
              <w:rPr>
                <w:rFonts w:hint="default" w:ascii="Times New Roman" w:hAnsi="Times New Roman" w:eastAsia="宋体" w:cs="Times New Roman"/>
                <w:b/>
                <w:color w:val="auto"/>
                <w:spacing w:val="0"/>
                <w:position w:val="0"/>
                <w:sz w:val="24"/>
                <w:szCs w:val="24"/>
                <w:highlight w:val="none"/>
                <w:lang w:val="en-US" w:eastAsia="zh-CN"/>
              </w:rPr>
              <w:t>一、</w:t>
            </w:r>
            <w:r>
              <w:rPr>
                <w:rFonts w:hint="default" w:ascii="Times New Roman" w:hAnsi="Times New Roman" w:eastAsia="宋体" w:cs="Times New Roman"/>
                <w:b/>
                <w:color w:val="auto"/>
                <w:spacing w:val="0"/>
                <w:position w:val="0"/>
                <w:sz w:val="24"/>
                <w:szCs w:val="24"/>
                <w:highlight w:val="none"/>
              </w:rPr>
              <w:t>环境空气质量现状调查及评价</w:t>
            </w:r>
          </w:p>
          <w:p w14:paraId="108905E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2" w:firstLineChars="200"/>
              <w:jc w:val="both"/>
              <w:textAlignment w:val="auto"/>
              <w:rPr>
                <w:rFonts w:hint="default" w:ascii="Times New Roman" w:hAnsi="Times New Roman" w:eastAsia="宋体" w:cs="Times New Roman"/>
                <w:b/>
                <w:bCs/>
                <w:color w:val="auto"/>
                <w:spacing w:val="0"/>
                <w:position w:val="0"/>
                <w:sz w:val="24"/>
                <w:szCs w:val="24"/>
                <w:highlight w:val="none"/>
                <w:lang w:eastAsia="zh-CN"/>
              </w:rPr>
            </w:pPr>
            <w:r>
              <w:rPr>
                <w:rFonts w:hint="default" w:ascii="Times New Roman" w:hAnsi="Times New Roman" w:eastAsia="宋体" w:cs="Times New Roman"/>
                <w:b/>
                <w:bCs/>
                <w:color w:val="auto"/>
                <w:spacing w:val="0"/>
                <w:position w:val="0"/>
                <w:sz w:val="24"/>
                <w:szCs w:val="24"/>
                <w:highlight w:val="none"/>
                <w:lang w:val="en-US" w:eastAsia="zh-CN"/>
              </w:rPr>
              <w:t>（一）</w:t>
            </w:r>
            <w:r>
              <w:rPr>
                <w:rFonts w:hint="default" w:ascii="Times New Roman" w:hAnsi="Times New Roman" w:eastAsia="宋体" w:cs="Times New Roman"/>
                <w:b/>
                <w:bCs/>
                <w:color w:val="auto"/>
                <w:spacing w:val="0"/>
                <w:position w:val="0"/>
                <w:sz w:val="24"/>
                <w:szCs w:val="24"/>
                <w:highlight w:val="none"/>
                <w:lang w:eastAsia="zh-CN"/>
              </w:rPr>
              <w:t>概述</w:t>
            </w:r>
          </w:p>
          <w:p w14:paraId="3C992E7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right="0" w:firstLine="480" w:firstLineChars="200"/>
              <w:jc w:val="both"/>
              <w:textAlignment w:val="auto"/>
              <w:rPr>
                <w:rFonts w:hint="default" w:ascii="Times New Roman" w:hAnsi="Times New Roman" w:cs="Times New Roman"/>
                <w:color w:val="auto"/>
                <w:spacing w:val="-1"/>
                <w:sz w:val="24"/>
                <w:szCs w:val="24"/>
                <w:highlight w:val="none"/>
              </w:rPr>
            </w:pPr>
            <w:r>
              <w:rPr>
                <w:rFonts w:hint="default" w:ascii="Times New Roman" w:hAnsi="Times New Roman" w:eastAsia="宋体" w:cs="Times New Roman"/>
                <w:color w:val="auto"/>
                <w:sz w:val="24"/>
                <w:szCs w:val="24"/>
                <w:highlight w:val="none"/>
              </w:rPr>
              <w:t>本项目地处昌吉回族自治州昌吉市境内，根据《环境影响评价技术导则 大气环境》（HJ2.2-2018）要求，基本污染物环境质量现状数据优先采用国家或地方生态环境主管部门公开发布的评价基准年环境质量公告或环境质量报告中的数据或结论。因此根据中国空气质量在线监测分析平台的《2024年逐月及全年昌吉回族自治州环境空气质量报告》</w:t>
            </w:r>
            <w:r>
              <w:rPr>
                <w:rFonts w:hint="default" w:ascii="Times New Roman" w:hAnsi="Times New Roman" w:eastAsia="宋体" w:cs="Times New Roman"/>
                <w:color w:val="auto"/>
                <w:sz w:val="24"/>
                <w:szCs w:val="24"/>
                <w:highlight w:val="none"/>
                <w:lang w:val="en-US" w:eastAsia="zh-CN"/>
              </w:rPr>
              <w:t>中昌吉州</w:t>
            </w:r>
            <w:r>
              <w:rPr>
                <w:rFonts w:hint="default" w:ascii="Times New Roman" w:hAnsi="Times New Roman" w:eastAsia="宋体" w:cs="Times New Roman"/>
                <w:color w:val="auto"/>
                <w:sz w:val="24"/>
                <w:szCs w:val="24"/>
                <w:highlight w:val="none"/>
              </w:rPr>
              <w:t>环境空气中六项基本污染物SO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rPr>
              <w:t>、CO、O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监测结果</w:t>
            </w:r>
            <w:r>
              <w:rPr>
                <w:rFonts w:hint="default" w:ascii="Times New Roman" w:hAnsi="Times New Roman" w:eastAsia="宋体" w:cs="Times New Roman"/>
                <w:color w:val="auto"/>
                <w:spacing w:val="-1"/>
                <w:sz w:val="24"/>
                <w:szCs w:val="24"/>
                <w:highlight w:val="none"/>
              </w:rPr>
              <w:t>。</w:t>
            </w:r>
          </w:p>
          <w:p w14:paraId="37DF40F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right="0" w:firstLine="482" w:firstLineChars="20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（二）</w:t>
            </w:r>
            <w:r>
              <w:rPr>
                <w:rFonts w:hint="default" w:ascii="Times New Roman" w:hAnsi="Times New Roman" w:eastAsia="宋体" w:cs="Times New Roman"/>
                <w:b/>
                <w:bCs/>
                <w:color w:val="auto"/>
                <w:spacing w:val="0"/>
                <w:position w:val="0"/>
                <w:sz w:val="24"/>
                <w:szCs w:val="24"/>
                <w:highlight w:val="none"/>
              </w:rPr>
              <w:t>评价方法</w:t>
            </w:r>
          </w:p>
          <w:p w14:paraId="58EBC044">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基本污染物按照《环境空气质量评价技术规范（试行）》（HJ 663-2013）中各评价项目的年评价指标进行判定。年评价指标中的年均浓度和相应百分位数24h平均或8h平均质量浓度满足</w:t>
            </w:r>
            <w:r>
              <w:rPr>
                <w:rFonts w:hint="default" w:ascii="Times New Roman" w:hAnsi="Times New Roman" w:eastAsia="宋体" w:cs="Times New Roman"/>
                <w:color w:val="auto"/>
                <w:spacing w:val="0"/>
                <w:position w:val="0"/>
                <w:sz w:val="24"/>
                <w:szCs w:val="24"/>
                <w:highlight w:val="none"/>
                <w:lang w:eastAsia="zh-CN"/>
              </w:rPr>
              <w:t>《环境空气质量标准》（</w:t>
            </w:r>
            <w:r>
              <w:rPr>
                <w:rFonts w:hint="default" w:ascii="Times New Roman" w:hAnsi="Times New Roman" w:eastAsia="宋体" w:cs="Times New Roman"/>
                <w:color w:val="auto"/>
                <w:spacing w:val="0"/>
                <w:position w:val="0"/>
                <w:sz w:val="24"/>
                <w:szCs w:val="24"/>
                <w:highlight w:val="none"/>
              </w:rPr>
              <w:t>GB3095-2012</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中浓度限值要求的即为达标。对于超标的污染物，计算其超标倍数。</w:t>
            </w:r>
          </w:p>
          <w:p w14:paraId="29AAA73F">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补充监测的特征污染物TSP采用占标率进行评价，对于超标的污染物计算其超标倍数和超标率，计算公式为：</w:t>
            </w:r>
          </w:p>
          <w:p w14:paraId="58765A6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0" w:firstLineChars="0"/>
              <w:jc w:val="center"/>
              <w:textAlignment w:val="auto"/>
              <w:rPr>
                <w:rFonts w:hint="default" w:ascii="Times New Roman" w:hAnsi="Times New Roman" w:eastAsia="宋体" w:cs="Times New Roman"/>
                <w:color w:val="auto"/>
                <w:spacing w:val="0"/>
                <w:kern w:val="0"/>
                <w:position w:val="0"/>
                <w:sz w:val="24"/>
                <w:szCs w:val="24"/>
                <w:highlight w:val="none"/>
              </w:rPr>
            </w:pPr>
            <w:r>
              <w:rPr>
                <w:rFonts w:hint="default" w:ascii="Times New Roman" w:hAnsi="Times New Roman" w:eastAsia="宋体" w:cs="Times New Roman"/>
                <w:color w:val="auto"/>
                <w:spacing w:val="0"/>
                <w:kern w:val="0"/>
                <w:position w:val="0"/>
                <w:sz w:val="24"/>
                <w:szCs w:val="24"/>
                <w:highlight w:val="none"/>
              </w:rPr>
              <w:object>
                <v:shape id="_x0000_i1025" o:spt="75" type="#_x0000_t75" style="height:34pt;width:78pt;" o:ole="t" filled="f" o:preferrelative="t" stroked="f" coordsize="21600,21600">
                  <v:path/>
                  <v:fill on="f" focussize="0,0"/>
                  <v:stroke on="f"/>
                  <v:imagedata r:id="rId21" o:title=""/>
                  <o:lock v:ext="edit" aspectratio="t"/>
                  <w10:wrap type="none"/>
                  <w10:anchorlock/>
                </v:shape>
                <o:OLEObject Type="Embed" ProgID="Equation.3" ShapeID="_x0000_i1025" DrawAspect="Content" ObjectID="_1468075725" r:id="rId20">
                  <o:LockedField>false</o:LockedField>
                </o:OLEObject>
              </w:object>
            </w:r>
          </w:p>
          <w:p w14:paraId="375327A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2" w:firstLineChars="20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（三）</w:t>
            </w:r>
            <w:r>
              <w:rPr>
                <w:rFonts w:hint="default" w:ascii="Times New Roman" w:hAnsi="Times New Roman" w:eastAsia="宋体" w:cs="Times New Roman"/>
                <w:b/>
                <w:bCs/>
                <w:color w:val="auto"/>
                <w:spacing w:val="0"/>
                <w:position w:val="0"/>
                <w:sz w:val="24"/>
                <w:szCs w:val="24"/>
                <w:highlight w:val="none"/>
              </w:rPr>
              <w:t>评价标准</w:t>
            </w:r>
          </w:p>
          <w:p w14:paraId="6697A740">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本次环境空气质量现状评价采用《环境空气质量标准》（GB3095-2012）二级标准，其标准值见表</w:t>
            </w:r>
            <w:r>
              <w:rPr>
                <w:rFonts w:hint="default" w:ascii="Times New Roman" w:hAnsi="Times New Roman" w:eastAsia="宋体" w:cs="Times New Roman"/>
                <w:color w:val="auto"/>
                <w:spacing w:val="0"/>
                <w:position w:val="0"/>
                <w:sz w:val="24"/>
                <w:szCs w:val="24"/>
                <w:highlight w:val="none"/>
                <w:lang w:val="en-US" w:eastAsia="zh-CN"/>
              </w:rPr>
              <w:t>3-1</w:t>
            </w:r>
            <w:r>
              <w:rPr>
                <w:rFonts w:hint="default" w:ascii="Times New Roman" w:hAnsi="Times New Roman" w:eastAsia="宋体" w:cs="Times New Roman"/>
                <w:color w:val="auto"/>
                <w:spacing w:val="0"/>
                <w:position w:val="0"/>
                <w:sz w:val="24"/>
                <w:szCs w:val="24"/>
                <w:highlight w:val="none"/>
              </w:rPr>
              <w:t>。</w:t>
            </w:r>
          </w:p>
          <w:p w14:paraId="1A21549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b/>
                <w:bCs/>
                <w:color w:val="auto"/>
                <w:spacing w:val="0"/>
                <w:position w:val="0"/>
                <w:sz w:val="21"/>
                <w:szCs w:val="21"/>
                <w:highlight w:val="none"/>
              </w:rPr>
            </w:pPr>
            <w:r>
              <w:rPr>
                <w:rFonts w:hint="default" w:ascii="Times New Roman" w:hAnsi="Times New Roman" w:cs="Times New Roman" w:eastAsiaTheme="minorEastAsia"/>
                <w:b/>
                <w:bCs/>
                <w:color w:val="auto"/>
                <w:spacing w:val="0"/>
                <w:position w:val="0"/>
                <w:sz w:val="21"/>
                <w:szCs w:val="21"/>
                <w:highlight w:val="none"/>
              </w:rPr>
              <w:t>表</w:t>
            </w:r>
            <w:r>
              <w:rPr>
                <w:rFonts w:hint="default" w:ascii="Times New Roman" w:hAnsi="Times New Roman" w:cs="Times New Roman" w:eastAsiaTheme="minorEastAsia"/>
                <w:b/>
                <w:bCs/>
                <w:color w:val="auto"/>
                <w:spacing w:val="0"/>
                <w:position w:val="0"/>
                <w:sz w:val="21"/>
                <w:szCs w:val="21"/>
                <w:highlight w:val="none"/>
                <w:lang w:val="en-US" w:eastAsia="zh-CN"/>
              </w:rPr>
              <w:t xml:space="preserve">3-1 </w:t>
            </w:r>
            <w:r>
              <w:rPr>
                <w:rFonts w:hint="default" w:ascii="Times New Roman" w:hAnsi="Times New Roman" w:cs="Times New Roman" w:eastAsiaTheme="minorEastAsia"/>
                <w:b/>
                <w:bCs/>
                <w:color w:val="auto"/>
                <w:spacing w:val="0"/>
                <w:position w:val="0"/>
                <w:sz w:val="21"/>
                <w:szCs w:val="21"/>
                <w:highlight w:val="none"/>
              </w:rPr>
              <w:t>环境空气质量标准     单位：</w:t>
            </w:r>
            <w:r>
              <w:rPr>
                <w:rFonts w:hint="eastAsia" w:ascii="Times New Roman" w:hAnsi="Times New Roman" w:cs="Times New Roman" w:eastAsiaTheme="minorEastAsia"/>
                <w:b/>
                <w:bCs/>
                <w:color w:val="auto"/>
                <w:spacing w:val="0"/>
                <w:position w:val="0"/>
                <w:sz w:val="21"/>
                <w:szCs w:val="21"/>
                <w:highlight w:val="none"/>
                <w:lang w:eastAsia="zh-CN"/>
              </w:rPr>
              <w:t>μg/m3</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3158"/>
              <w:gridCol w:w="3170"/>
            </w:tblGrid>
            <w:tr w14:paraId="0A4B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tcBorders>
                    <w:tl2br w:val="nil"/>
                    <w:tr2bl w:val="nil"/>
                  </w:tcBorders>
                  <w:noWrap w:val="0"/>
                  <w:vAlign w:val="center"/>
                </w:tcPr>
                <w:p w14:paraId="259ACB2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b/>
                      <w:bCs/>
                      <w:color w:val="auto"/>
                      <w:spacing w:val="0"/>
                      <w:position w:val="0"/>
                      <w:sz w:val="21"/>
                      <w:szCs w:val="21"/>
                      <w:highlight w:val="none"/>
                    </w:rPr>
                  </w:pPr>
                  <w:r>
                    <w:rPr>
                      <w:rFonts w:hint="default" w:ascii="Times New Roman" w:hAnsi="Times New Roman" w:cs="Times New Roman" w:eastAsiaTheme="minorEastAsia"/>
                      <w:b/>
                      <w:bCs/>
                      <w:color w:val="auto"/>
                      <w:spacing w:val="0"/>
                      <w:position w:val="0"/>
                      <w:sz w:val="21"/>
                      <w:szCs w:val="21"/>
                      <w:highlight w:val="none"/>
                    </w:rPr>
                    <w:t>污染物名称</w:t>
                  </w:r>
                </w:p>
              </w:tc>
              <w:tc>
                <w:tcPr>
                  <w:tcW w:w="1869" w:type="pct"/>
                  <w:tcBorders>
                    <w:tl2br w:val="nil"/>
                    <w:tr2bl w:val="nil"/>
                  </w:tcBorders>
                  <w:noWrap w:val="0"/>
                  <w:vAlign w:val="center"/>
                </w:tcPr>
                <w:p w14:paraId="2DB5C5C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b/>
                      <w:bCs/>
                      <w:color w:val="auto"/>
                      <w:spacing w:val="0"/>
                      <w:position w:val="0"/>
                      <w:sz w:val="21"/>
                      <w:szCs w:val="21"/>
                      <w:highlight w:val="none"/>
                    </w:rPr>
                  </w:pPr>
                  <w:r>
                    <w:rPr>
                      <w:rFonts w:hint="default" w:ascii="Times New Roman" w:hAnsi="Times New Roman" w:cs="Times New Roman" w:eastAsiaTheme="minorEastAsia"/>
                      <w:b/>
                      <w:bCs/>
                      <w:color w:val="auto"/>
                      <w:spacing w:val="0"/>
                      <w:position w:val="0"/>
                      <w:sz w:val="21"/>
                      <w:szCs w:val="21"/>
                      <w:highlight w:val="none"/>
                    </w:rPr>
                    <w:t>取值时间</w:t>
                  </w:r>
                </w:p>
              </w:tc>
              <w:tc>
                <w:tcPr>
                  <w:tcW w:w="1876" w:type="pct"/>
                  <w:tcBorders>
                    <w:tl2br w:val="nil"/>
                    <w:tr2bl w:val="nil"/>
                  </w:tcBorders>
                  <w:noWrap w:val="0"/>
                  <w:vAlign w:val="center"/>
                </w:tcPr>
                <w:p w14:paraId="6ADB7E2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b/>
                      <w:bCs/>
                      <w:color w:val="auto"/>
                      <w:spacing w:val="0"/>
                      <w:position w:val="0"/>
                      <w:sz w:val="21"/>
                      <w:szCs w:val="21"/>
                      <w:highlight w:val="none"/>
                    </w:rPr>
                  </w:pPr>
                  <w:r>
                    <w:rPr>
                      <w:rFonts w:hint="default" w:ascii="Times New Roman" w:hAnsi="Times New Roman" w:cs="Times New Roman" w:eastAsiaTheme="minorEastAsia"/>
                      <w:b/>
                      <w:bCs/>
                      <w:color w:val="auto"/>
                      <w:spacing w:val="0"/>
                      <w:position w:val="0"/>
                      <w:sz w:val="21"/>
                      <w:szCs w:val="21"/>
                      <w:highlight w:val="none"/>
                    </w:rPr>
                    <w:t>二级标准浓度限值</w:t>
                  </w:r>
                </w:p>
              </w:tc>
            </w:tr>
            <w:tr w14:paraId="7B9E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restart"/>
                  <w:tcBorders>
                    <w:tl2br w:val="nil"/>
                    <w:tr2bl w:val="nil"/>
                  </w:tcBorders>
                  <w:noWrap w:val="0"/>
                  <w:vAlign w:val="center"/>
                </w:tcPr>
                <w:p w14:paraId="3D612D2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r>
                    <w:rPr>
                      <w:rFonts w:hint="default" w:ascii="Times New Roman" w:hAnsi="Times New Roman" w:cs="Times New Roman" w:eastAsiaTheme="minorEastAsia"/>
                      <w:color w:val="auto"/>
                      <w:spacing w:val="0"/>
                      <w:position w:val="0"/>
                      <w:sz w:val="21"/>
                      <w:szCs w:val="21"/>
                      <w:highlight w:val="none"/>
                    </w:rPr>
                    <w:t>SO</w:t>
                  </w:r>
                  <w:r>
                    <w:rPr>
                      <w:rFonts w:hint="default" w:ascii="Times New Roman" w:hAnsi="Times New Roman" w:cs="Times New Roman" w:eastAsiaTheme="minorEastAsia"/>
                      <w:color w:val="auto"/>
                      <w:spacing w:val="0"/>
                      <w:position w:val="0"/>
                      <w:sz w:val="21"/>
                      <w:szCs w:val="21"/>
                      <w:highlight w:val="none"/>
                      <w:vertAlign w:val="subscript"/>
                    </w:rPr>
                    <w:t>2</w:t>
                  </w:r>
                </w:p>
              </w:tc>
              <w:tc>
                <w:tcPr>
                  <w:tcW w:w="1869" w:type="pct"/>
                  <w:tcBorders>
                    <w:tl2br w:val="nil"/>
                    <w:tr2bl w:val="nil"/>
                  </w:tcBorders>
                  <w:noWrap w:val="0"/>
                  <w:vAlign w:val="center"/>
                </w:tcPr>
                <w:p w14:paraId="69423C6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eastAsia="zh-CN"/>
                    </w:rPr>
                  </w:pPr>
                  <w:r>
                    <w:rPr>
                      <w:rFonts w:hint="default" w:ascii="Times New Roman" w:hAnsi="Times New Roman" w:cs="Times New Roman" w:eastAsiaTheme="minorEastAsia"/>
                      <w:color w:val="auto"/>
                      <w:spacing w:val="0"/>
                      <w:position w:val="0"/>
                      <w:sz w:val="21"/>
                      <w:szCs w:val="21"/>
                      <w:highlight w:val="none"/>
                      <w:lang w:eastAsia="zh-CN"/>
                    </w:rPr>
                    <w:t>年均值</w:t>
                  </w:r>
                </w:p>
              </w:tc>
              <w:tc>
                <w:tcPr>
                  <w:tcW w:w="1876" w:type="pct"/>
                  <w:tcBorders>
                    <w:tl2br w:val="nil"/>
                    <w:tr2bl w:val="nil"/>
                  </w:tcBorders>
                  <w:noWrap w:val="0"/>
                  <w:vAlign w:val="center"/>
                </w:tcPr>
                <w:p w14:paraId="62A3569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60</w:t>
                  </w:r>
                </w:p>
              </w:tc>
            </w:tr>
            <w:tr w14:paraId="1DC6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continue"/>
                  <w:tcBorders>
                    <w:tl2br w:val="nil"/>
                    <w:tr2bl w:val="nil"/>
                  </w:tcBorders>
                  <w:noWrap w:val="0"/>
                  <w:vAlign w:val="center"/>
                </w:tcPr>
                <w:p w14:paraId="2FFE847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p>
              </w:tc>
              <w:tc>
                <w:tcPr>
                  <w:tcW w:w="1869" w:type="pct"/>
                  <w:tcBorders>
                    <w:tl2br w:val="nil"/>
                    <w:tr2bl w:val="nil"/>
                  </w:tcBorders>
                  <w:noWrap w:val="0"/>
                  <w:vAlign w:val="center"/>
                </w:tcPr>
                <w:p w14:paraId="76ADFE7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日均值</w:t>
                  </w:r>
                </w:p>
              </w:tc>
              <w:tc>
                <w:tcPr>
                  <w:tcW w:w="1876" w:type="pct"/>
                  <w:tcBorders>
                    <w:tl2br w:val="nil"/>
                    <w:tr2bl w:val="nil"/>
                  </w:tcBorders>
                  <w:noWrap w:val="0"/>
                  <w:vAlign w:val="center"/>
                </w:tcPr>
                <w:p w14:paraId="20A38F9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150</w:t>
                  </w:r>
                </w:p>
              </w:tc>
            </w:tr>
            <w:tr w14:paraId="68C4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restart"/>
                  <w:tcBorders>
                    <w:tl2br w:val="nil"/>
                    <w:tr2bl w:val="nil"/>
                  </w:tcBorders>
                  <w:noWrap w:val="0"/>
                  <w:vAlign w:val="center"/>
                </w:tcPr>
                <w:p w14:paraId="26723C1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r>
                    <w:rPr>
                      <w:rFonts w:hint="default" w:ascii="Times New Roman" w:hAnsi="Times New Roman" w:cs="Times New Roman" w:eastAsiaTheme="minorEastAsia"/>
                      <w:color w:val="auto"/>
                      <w:spacing w:val="0"/>
                      <w:position w:val="0"/>
                      <w:sz w:val="21"/>
                      <w:szCs w:val="21"/>
                      <w:highlight w:val="none"/>
                    </w:rPr>
                    <w:t>NO</w:t>
                  </w:r>
                  <w:r>
                    <w:rPr>
                      <w:rFonts w:hint="default" w:ascii="Times New Roman" w:hAnsi="Times New Roman" w:cs="Times New Roman" w:eastAsiaTheme="minorEastAsia"/>
                      <w:color w:val="auto"/>
                      <w:spacing w:val="0"/>
                      <w:position w:val="0"/>
                      <w:sz w:val="21"/>
                      <w:szCs w:val="21"/>
                      <w:highlight w:val="none"/>
                      <w:vertAlign w:val="subscript"/>
                    </w:rPr>
                    <w:t>2</w:t>
                  </w:r>
                </w:p>
              </w:tc>
              <w:tc>
                <w:tcPr>
                  <w:tcW w:w="1869" w:type="pct"/>
                  <w:tcBorders>
                    <w:tl2br w:val="nil"/>
                    <w:tr2bl w:val="nil"/>
                  </w:tcBorders>
                  <w:noWrap w:val="0"/>
                  <w:vAlign w:val="center"/>
                </w:tcPr>
                <w:p w14:paraId="25D74A4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r>
                    <w:rPr>
                      <w:rFonts w:hint="default" w:ascii="Times New Roman" w:hAnsi="Times New Roman" w:cs="Times New Roman" w:eastAsiaTheme="minorEastAsia"/>
                      <w:color w:val="auto"/>
                      <w:spacing w:val="0"/>
                      <w:position w:val="0"/>
                      <w:sz w:val="21"/>
                      <w:szCs w:val="21"/>
                      <w:highlight w:val="none"/>
                      <w:lang w:eastAsia="zh-CN"/>
                    </w:rPr>
                    <w:t>年均值</w:t>
                  </w:r>
                </w:p>
              </w:tc>
              <w:tc>
                <w:tcPr>
                  <w:tcW w:w="1876" w:type="pct"/>
                  <w:tcBorders>
                    <w:tl2br w:val="nil"/>
                    <w:tr2bl w:val="nil"/>
                  </w:tcBorders>
                  <w:noWrap w:val="0"/>
                  <w:vAlign w:val="center"/>
                </w:tcPr>
                <w:p w14:paraId="068B4C4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40</w:t>
                  </w:r>
                </w:p>
              </w:tc>
            </w:tr>
            <w:tr w14:paraId="70F7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continue"/>
                  <w:tcBorders>
                    <w:tl2br w:val="nil"/>
                    <w:tr2bl w:val="nil"/>
                  </w:tcBorders>
                  <w:noWrap w:val="0"/>
                  <w:vAlign w:val="center"/>
                </w:tcPr>
                <w:p w14:paraId="46F6732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p>
              </w:tc>
              <w:tc>
                <w:tcPr>
                  <w:tcW w:w="1869" w:type="pct"/>
                  <w:tcBorders>
                    <w:tl2br w:val="nil"/>
                    <w:tr2bl w:val="nil"/>
                  </w:tcBorders>
                  <w:noWrap w:val="0"/>
                  <w:vAlign w:val="center"/>
                </w:tcPr>
                <w:p w14:paraId="0A34C46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日均值</w:t>
                  </w:r>
                </w:p>
              </w:tc>
              <w:tc>
                <w:tcPr>
                  <w:tcW w:w="1876" w:type="pct"/>
                  <w:tcBorders>
                    <w:tl2br w:val="nil"/>
                    <w:tr2bl w:val="nil"/>
                  </w:tcBorders>
                  <w:noWrap w:val="0"/>
                  <w:vAlign w:val="center"/>
                </w:tcPr>
                <w:p w14:paraId="3E71AF6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80</w:t>
                  </w:r>
                </w:p>
              </w:tc>
            </w:tr>
            <w:tr w14:paraId="537E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restart"/>
                  <w:tcBorders>
                    <w:tl2br w:val="nil"/>
                    <w:tr2bl w:val="nil"/>
                  </w:tcBorders>
                  <w:noWrap w:val="0"/>
                  <w:vAlign w:val="center"/>
                </w:tcPr>
                <w:p w14:paraId="4F343B3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rPr>
                    <w:t>PM</w:t>
                  </w:r>
                  <w:r>
                    <w:rPr>
                      <w:rFonts w:hint="default" w:ascii="Times New Roman" w:hAnsi="Times New Roman" w:cs="Times New Roman" w:eastAsiaTheme="minorEastAsia"/>
                      <w:color w:val="auto"/>
                      <w:spacing w:val="0"/>
                      <w:position w:val="0"/>
                      <w:sz w:val="21"/>
                      <w:szCs w:val="21"/>
                      <w:highlight w:val="none"/>
                      <w:vertAlign w:val="subscript"/>
                      <w:lang w:val="en-US" w:eastAsia="zh-CN"/>
                    </w:rPr>
                    <w:t>10</w:t>
                  </w:r>
                </w:p>
              </w:tc>
              <w:tc>
                <w:tcPr>
                  <w:tcW w:w="1869" w:type="pct"/>
                  <w:tcBorders>
                    <w:tl2br w:val="nil"/>
                    <w:tr2bl w:val="nil"/>
                  </w:tcBorders>
                  <w:noWrap w:val="0"/>
                  <w:vAlign w:val="center"/>
                </w:tcPr>
                <w:p w14:paraId="108E59C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r>
                    <w:rPr>
                      <w:rFonts w:hint="default" w:ascii="Times New Roman" w:hAnsi="Times New Roman" w:cs="Times New Roman" w:eastAsiaTheme="minorEastAsia"/>
                      <w:color w:val="auto"/>
                      <w:spacing w:val="0"/>
                      <w:position w:val="0"/>
                      <w:sz w:val="21"/>
                      <w:szCs w:val="21"/>
                      <w:highlight w:val="none"/>
                      <w:lang w:eastAsia="zh-CN"/>
                    </w:rPr>
                    <w:t>年均值</w:t>
                  </w:r>
                </w:p>
              </w:tc>
              <w:tc>
                <w:tcPr>
                  <w:tcW w:w="1876" w:type="pct"/>
                  <w:tcBorders>
                    <w:tl2br w:val="nil"/>
                    <w:tr2bl w:val="nil"/>
                  </w:tcBorders>
                  <w:noWrap w:val="0"/>
                  <w:vAlign w:val="center"/>
                </w:tcPr>
                <w:p w14:paraId="1E34DDF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70</w:t>
                  </w:r>
                </w:p>
              </w:tc>
            </w:tr>
            <w:tr w14:paraId="419A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continue"/>
                  <w:tcBorders>
                    <w:tl2br w:val="nil"/>
                    <w:tr2bl w:val="nil"/>
                  </w:tcBorders>
                  <w:noWrap w:val="0"/>
                  <w:vAlign w:val="center"/>
                </w:tcPr>
                <w:p w14:paraId="17FE732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p>
              </w:tc>
              <w:tc>
                <w:tcPr>
                  <w:tcW w:w="1869" w:type="pct"/>
                  <w:tcBorders>
                    <w:tl2br w:val="nil"/>
                    <w:tr2bl w:val="nil"/>
                  </w:tcBorders>
                  <w:noWrap w:val="0"/>
                  <w:vAlign w:val="center"/>
                </w:tcPr>
                <w:p w14:paraId="32D137B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日均值</w:t>
                  </w:r>
                </w:p>
              </w:tc>
              <w:tc>
                <w:tcPr>
                  <w:tcW w:w="1876" w:type="pct"/>
                  <w:tcBorders>
                    <w:tl2br w:val="nil"/>
                    <w:tr2bl w:val="nil"/>
                  </w:tcBorders>
                  <w:noWrap w:val="0"/>
                  <w:vAlign w:val="center"/>
                </w:tcPr>
                <w:p w14:paraId="12A682B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150</w:t>
                  </w:r>
                </w:p>
              </w:tc>
            </w:tr>
            <w:tr w14:paraId="0BF9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restart"/>
                  <w:tcBorders>
                    <w:tl2br w:val="nil"/>
                    <w:tr2bl w:val="nil"/>
                  </w:tcBorders>
                  <w:noWrap w:val="0"/>
                  <w:vAlign w:val="center"/>
                </w:tcPr>
                <w:p w14:paraId="7AD8897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rPr>
                    <w:t>PM</w:t>
                  </w:r>
                  <w:r>
                    <w:rPr>
                      <w:rFonts w:hint="default" w:ascii="Times New Roman" w:hAnsi="Times New Roman" w:cs="Times New Roman" w:eastAsiaTheme="minorEastAsia"/>
                      <w:color w:val="auto"/>
                      <w:spacing w:val="0"/>
                      <w:position w:val="0"/>
                      <w:sz w:val="21"/>
                      <w:szCs w:val="21"/>
                      <w:highlight w:val="none"/>
                      <w:vertAlign w:val="subscript"/>
                      <w:lang w:val="en-US" w:eastAsia="zh-CN"/>
                    </w:rPr>
                    <w:t>2.5</w:t>
                  </w:r>
                </w:p>
              </w:tc>
              <w:tc>
                <w:tcPr>
                  <w:tcW w:w="1869" w:type="pct"/>
                  <w:tcBorders>
                    <w:tl2br w:val="nil"/>
                    <w:tr2bl w:val="nil"/>
                  </w:tcBorders>
                  <w:noWrap w:val="0"/>
                  <w:vAlign w:val="center"/>
                </w:tcPr>
                <w:p w14:paraId="4C87860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r>
                    <w:rPr>
                      <w:rFonts w:hint="default" w:ascii="Times New Roman" w:hAnsi="Times New Roman" w:cs="Times New Roman" w:eastAsiaTheme="minorEastAsia"/>
                      <w:color w:val="auto"/>
                      <w:spacing w:val="0"/>
                      <w:position w:val="0"/>
                      <w:sz w:val="21"/>
                      <w:szCs w:val="21"/>
                      <w:highlight w:val="none"/>
                      <w:lang w:eastAsia="zh-CN"/>
                    </w:rPr>
                    <w:t>年均值</w:t>
                  </w:r>
                </w:p>
              </w:tc>
              <w:tc>
                <w:tcPr>
                  <w:tcW w:w="1876" w:type="pct"/>
                  <w:tcBorders>
                    <w:tl2br w:val="nil"/>
                    <w:tr2bl w:val="nil"/>
                  </w:tcBorders>
                  <w:noWrap w:val="0"/>
                  <w:vAlign w:val="center"/>
                </w:tcPr>
                <w:p w14:paraId="609C480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35</w:t>
                  </w:r>
                </w:p>
              </w:tc>
            </w:tr>
            <w:tr w14:paraId="0AAF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vMerge w:val="continue"/>
                  <w:tcBorders>
                    <w:tl2br w:val="nil"/>
                    <w:tr2bl w:val="nil"/>
                  </w:tcBorders>
                  <w:noWrap w:val="0"/>
                  <w:vAlign w:val="center"/>
                </w:tcPr>
                <w:p w14:paraId="6DBD82F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rPr>
                  </w:pPr>
                </w:p>
              </w:tc>
              <w:tc>
                <w:tcPr>
                  <w:tcW w:w="1869" w:type="pct"/>
                  <w:tcBorders>
                    <w:tl2br w:val="nil"/>
                    <w:tr2bl w:val="nil"/>
                  </w:tcBorders>
                  <w:noWrap w:val="0"/>
                  <w:vAlign w:val="center"/>
                </w:tcPr>
                <w:p w14:paraId="7581D24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rPr>
                    <w:t>日均值</w:t>
                  </w:r>
                </w:p>
              </w:tc>
              <w:tc>
                <w:tcPr>
                  <w:tcW w:w="1876" w:type="pct"/>
                  <w:tcBorders>
                    <w:tl2br w:val="nil"/>
                    <w:tr2bl w:val="nil"/>
                  </w:tcBorders>
                  <w:noWrap w:val="0"/>
                  <w:vAlign w:val="center"/>
                </w:tcPr>
                <w:p w14:paraId="0505911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bidi="ar-SA"/>
                    </w:rPr>
                  </w:pPr>
                  <w:r>
                    <w:rPr>
                      <w:rFonts w:hint="default" w:ascii="Times New Roman" w:hAnsi="Times New Roman" w:cs="Times New Roman" w:eastAsiaTheme="minorEastAsia"/>
                      <w:color w:val="auto"/>
                      <w:spacing w:val="0"/>
                      <w:position w:val="0"/>
                      <w:sz w:val="21"/>
                      <w:szCs w:val="21"/>
                      <w:highlight w:val="none"/>
                      <w:lang w:val="en-US" w:eastAsia="zh-CN"/>
                    </w:rPr>
                    <w:t>75</w:t>
                  </w:r>
                </w:p>
              </w:tc>
            </w:tr>
            <w:tr w14:paraId="04CF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tcBorders>
                    <w:tl2br w:val="nil"/>
                    <w:tr2bl w:val="nil"/>
                  </w:tcBorders>
                  <w:noWrap w:val="0"/>
                  <w:vAlign w:val="center"/>
                </w:tcPr>
                <w:p w14:paraId="5D28729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CO</w:t>
                  </w:r>
                </w:p>
              </w:tc>
              <w:tc>
                <w:tcPr>
                  <w:tcW w:w="1869" w:type="pct"/>
                  <w:tcBorders>
                    <w:tl2br w:val="nil"/>
                    <w:tr2bl w:val="nil"/>
                  </w:tcBorders>
                  <w:noWrap w:val="0"/>
                  <w:vAlign w:val="center"/>
                </w:tcPr>
                <w:p w14:paraId="3EE600A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eastAsia="zh-CN"/>
                    </w:rPr>
                  </w:pPr>
                  <w:r>
                    <w:rPr>
                      <w:rFonts w:hint="default" w:ascii="Times New Roman" w:hAnsi="Times New Roman" w:cs="Times New Roman" w:eastAsiaTheme="minorEastAsia"/>
                      <w:color w:val="auto"/>
                      <w:spacing w:val="0"/>
                      <w:position w:val="0"/>
                      <w:sz w:val="21"/>
                      <w:szCs w:val="21"/>
                      <w:highlight w:val="none"/>
                      <w:lang w:eastAsia="zh-CN"/>
                    </w:rPr>
                    <w:t>日均值</w:t>
                  </w:r>
                </w:p>
              </w:tc>
              <w:tc>
                <w:tcPr>
                  <w:tcW w:w="1876" w:type="pct"/>
                  <w:tcBorders>
                    <w:tl2br w:val="nil"/>
                    <w:tr2bl w:val="nil"/>
                  </w:tcBorders>
                  <w:noWrap w:val="0"/>
                  <w:vAlign w:val="center"/>
                </w:tcPr>
                <w:p w14:paraId="659281F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4000</w:t>
                  </w:r>
                </w:p>
              </w:tc>
            </w:tr>
            <w:tr w14:paraId="508C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tcBorders>
                    <w:tl2br w:val="nil"/>
                    <w:tr2bl w:val="nil"/>
                  </w:tcBorders>
                  <w:noWrap w:val="0"/>
                  <w:vAlign w:val="center"/>
                </w:tcPr>
                <w:p w14:paraId="6A9F7BC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O</w:t>
                  </w:r>
                  <w:r>
                    <w:rPr>
                      <w:rFonts w:hint="default" w:ascii="Times New Roman" w:hAnsi="Times New Roman" w:cs="Times New Roman" w:eastAsiaTheme="minorEastAsia"/>
                      <w:color w:val="auto"/>
                      <w:spacing w:val="0"/>
                      <w:position w:val="0"/>
                      <w:sz w:val="21"/>
                      <w:szCs w:val="21"/>
                      <w:highlight w:val="none"/>
                      <w:vertAlign w:val="subscript"/>
                      <w:lang w:val="en-US" w:eastAsia="zh-CN"/>
                    </w:rPr>
                    <w:t>3</w:t>
                  </w:r>
                </w:p>
              </w:tc>
              <w:tc>
                <w:tcPr>
                  <w:tcW w:w="1869" w:type="pct"/>
                  <w:tcBorders>
                    <w:tl2br w:val="nil"/>
                    <w:tr2bl w:val="nil"/>
                  </w:tcBorders>
                  <w:noWrap w:val="0"/>
                  <w:vAlign w:val="center"/>
                </w:tcPr>
                <w:p w14:paraId="520A036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日最大8小时均值</w:t>
                  </w:r>
                </w:p>
              </w:tc>
              <w:tc>
                <w:tcPr>
                  <w:tcW w:w="1876" w:type="pct"/>
                  <w:tcBorders>
                    <w:tl2br w:val="nil"/>
                    <w:tr2bl w:val="nil"/>
                  </w:tcBorders>
                  <w:noWrap w:val="0"/>
                  <w:vAlign w:val="center"/>
                </w:tcPr>
                <w:p w14:paraId="678555C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160</w:t>
                  </w:r>
                </w:p>
              </w:tc>
            </w:tr>
            <w:tr w14:paraId="3EAE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3" w:type="pct"/>
                  <w:tcBorders>
                    <w:tl2br w:val="nil"/>
                    <w:tr2bl w:val="nil"/>
                  </w:tcBorders>
                  <w:noWrap w:val="0"/>
                  <w:vAlign w:val="center"/>
                </w:tcPr>
                <w:p w14:paraId="2F76AD0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bCs/>
                      <w:color w:val="auto"/>
                      <w:spacing w:val="0"/>
                      <w:position w:val="0"/>
                      <w:sz w:val="21"/>
                      <w:szCs w:val="21"/>
                      <w:highlight w:val="none"/>
                      <w:lang w:val="en-US" w:eastAsia="zh-CN"/>
                    </w:rPr>
                    <w:t>TSP</w:t>
                  </w:r>
                </w:p>
              </w:tc>
              <w:tc>
                <w:tcPr>
                  <w:tcW w:w="1869" w:type="pct"/>
                  <w:tcBorders>
                    <w:tl2br w:val="nil"/>
                    <w:tr2bl w:val="nil"/>
                  </w:tcBorders>
                  <w:noWrap w:val="0"/>
                  <w:vAlign w:val="center"/>
                </w:tcPr>
                <w:p w14:paraId="30C30FE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eastAsia="zh-CN"/>
                    </w:rPr>
                    <w:t>日均值</w:t>
                  </w:r>
                </w:p>
              </w:tc>
              <w:tc>
                <w:tcPr>
                  <w:tcW w:w="1876" w:type="pct"/>
                  <w:tcBorders>
                    <w:tl2br w:val="nil"/>
                    <w:tr2bl w:val="nil"/>
                  </w:tcBorders>
                  <w:noWrap w:val="0"/>
                  <w:vAlign w:val="center"/>
                </w:tcPr>
                <w:p w14:paraId="1CD07FC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outlineLvl w:val="9"/>
                    <w:rPr>
                      <w:rFonts w:hint="default" w:ascii="Times New Roman" w:hAnsi="Times New Roman" w:cs="Times New Roman" w:eastAsiaTheme="minorEastAsia"/>
                      <w:color w:val="auto"/>
                      <w:spacing w:val="0"/>
                      <w:position w:val="0"/>
                      <w:sz w:val="21"/>
                      <w:szCs w:val="21"/>
                      <w:highlight w:val="none"/>
                      <w:lang w:val="en-US" w:eastAsia="zh-CN"/>
                    </w:rPr>
                  </w:pPr>
                  <w:r>
                    <w:rPr>
                      <w:rFonts w:hint="default" w:ascii="Times New Roman" w:hAnsi="Times New Roman" w:cs="Times New Roman" w:eastAsiaTheme="minorEastAsia"/>
                      <w:color w:val="auto"/>
                      <w:spacing w:val="0"/>
                      <w:position w:val="0"/>
                      <w:sz w:val="21"/>
                      <w:szCs w:val="21"/>
                      <w:highlight w:val="none"/>
                      <w:lang w:val="en-US" w:eastAsia="zh-CN"/>
                    </w:rPr>
                    <w:t>300</w:t>
                  </w:r>
                </w:p>
              </w:tc>
            </w:tr>
          </w:tbl>
          <w:p w14:paraId="1A91F144">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50" w:line="360" w:lineRule="auto"/>
              <w:ind w:leftChars="0" w:right="0" w:firstLine="482" w:firstLineChars="200"/>
              <w:textAlignment w:val="auto"/>
              <w:outlineLvl w:val="9"/>
              <w:rPr>
                <w:rFonts w:hint="default" w:ascii="Times New Roman" w:hAnsi="Times New Roman" w:cs="Times New Roman" w:eastAsiaTheme="minorEastAsia"/>
                <w:b/>
                <w:bCs/>
                <w:color w:val="auto"/>
                <w:spacing w:val="0"/>
                <w:position w:val="0"/>
                <w:sz w:val="24"/>
                <w:szCs w:val="24"/>
                <w:highlight w:val="none"/>
              </w:rPr>
            </w:pPr>
            <w:r>
              <w:rPr>
                <w:rFonts w:hint="default" w:ascii="Times New Roman" w:hAnsi="Times New Roman" w:cs="Times New Roman" w:eastAsiaTheme="minorEastAsia"/>
                <w:b/>
                <w:bCs/>
                <w:color w:val="auto"/>
                <w:spacing w:val="0"/>
                <w:position w:val="0"/>
                <w:sz w:val="24"/>
                <w:szCs w:val="24"/>
                <w:highlight w:val="none"/>
                <w:lang w:val="en-US" w:eastAsia="zh-CN"/>
              </w:rPr>
              <w:t>（四）空气质量达标区判定</w:t>
            </w:r>
          </w:p>
          <w:p w14:paraId="3CA9B0FE">
            <w:pPr>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基本污染物按照《环境空气质量评价技术规范（试行）》（HJ663-2013）</w:t>
            </w:r>
            <w:r>
              <w:rPr>
                <w:rFonts w:hint="default" w:ascii="Times New Roman" w:hAnsi="Times New Roman" w:eastAsia="宋体" w:cs="Times New Roman"/>
                <w:color w:val="auto"/>
                <w:spacing w:val="3"/>
                <w:sz w:val="24"/>
                <w:szCs w:val="24"/>
                <w:highlight w:val="none"/>
              </w:rPr>
              <w:t>中各评价项目的年评价指标进行判定。年评价指标中的年均</w:t>
            </w:r>
            <w:r>
              <w:rPr>
                <w:rFonts w:hint="default" w:ascii="Times New Roman" w:hAnsi="Times New Roman" w:eastAsia="宋体" w:cs="Times New Roman"/>
                <w:color w:val="auto"/>
                <w:spacing w:val="2"/>
                <w:sz w:val="24"/>
                <w:szCs w:val="24"/>
                <w:highlight w:val="none"/>
              </w:rPr>
              <w:t>浓度和相应百分</w:t>
            </w:r>
            <w:r>
              <w:rPr>
                <w:rFonts w:hint="default" w:ascii="Times New Roman" w:hAnsi="Times New Roman" w:eastAsia="宋体" w:cs="Times New Roman"/>
                <w:color w:val="auto"/>
                <w:spacing w:val="8"/>
                <w:sz w:val="24"/>
                <w:szCs w:val="24"/>
                <w:highlight w:val="none"/>
              </w:rPr>
              <w:t>位</w:t>
            </w:r>
            <w:r>
              <w:rPr>
                <w:rFonts w:hint="default" w:ascii="Times New Roman" w:hAnsi="Times New Roman" w:eastAsia="宋体" w:cs="Times New Roman"/>
                <w:color w:val="auto"/>
                <w:sz w:val="24"/>
                <w:szCs w:val="24"/>
                <w:highlight w:val="none"/>
              </w:rPr>
              <w:t>数24h平均或8h平均质量浓度满足GB3095-2012中浓度限值要求的即为达标。对于超标的污染物，计算其超标倍数。</w:t>
            </w:r>
          </w:p>
          <w:p w14:paraId="534EC2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监测结果与评价结果见下表。</w:t>
            </w:r>
          </w:p>
          <w:p w14:paraId="3A249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本项目所在区域空气质量现状评价结果一览表，见</w:t>
            </w:r>
            <w:r>
              <w:rPr>
                <w:rFonts w:hint="default" w:ascii="Times New Roman" w:hAnsi="Times New Roman" w:eastAsia="宋体" w:cs="Times New Roman"/>
                <w:color w:val="auto"/>
                <w:sz w:val="24"/>
                <w:szCs w:val="24"/>
                <w:highlight w:val="none"/>
                <w:lang w:val="en-US" w:eastAsia="zh-CN"/>
              </w:rPr>
              <w:t>3-2</w:t>
            </w:r>
            <w:r>
              <w:rPr>
                <w:rFonts w:hint="default" w:ascii="Times New Roman" w:hAnsi="Times New Roman" w:eastAsia="宋体" w:cs="Times New Roman"/>
                <w:color w:val="auto"/>
                <w:sz w:val="24"/>
                <w:szCs w:val="24"/>
                <w:highlight w:val="none"/>
              </w:rPr>
              <w:t>。</w:t>
            </w:r>
          </w:p>
          <w:p w14:paraId="6ACF00F4">
            <w:pPr>
              <w:pStyle w:val="61"/>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REF _Ref66457959 \h  \* MERGEFORMAT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表 3–</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lang w:val="en-US" w:eastAsia="zh-CN"/>
              </w:rPr>
              <w:t xml:space="preserve">2 </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sz w:val="21"/>
                <w:szCs w:val="21"/>
                <w:highlight w:val="none"/>
              </w:rPr>
              <w:t>区域空气质量现状评价结果一览表</w:t>
            </w:r>
          </w:p>
          <w:tbl>
            <w:tblPr>
              <w:tblStyle w:val="29"/>
              <w:tblW w:w="4907" w:type="pct"/>
              <w:tblInd w:w="0" w:type="dxa"/>
              <w:tblLayout w:type="autofit"/>
              <w:tblCellMar>
                <w:top w:w="0" w:type="dxa"/>
                <w:left w:w="108" w:type="dxa"/>
                <w:bottom w:w="0" w:type="dxa"/>
                <w:right w:w="108" w:type="dxa"/>
              </w:tblCellMar>
            </w:tblPr>
            <w:tblGrid>
              <w:gridCol w:w="1762"/>
              <w:gridCol w:w="2021"/>
              <w:gridCol w:w="1427"/>
              <w:gridCol w:w="1664"/>
              <w:gridCol w:w="1427"/>
            </w:tblGrid>
            <w:tr w14:paraId="1C354507">
              <w:tblPrEx>
                <w:tblCellMar>
                  <w:top w:w="0" w:type="dxa"/>
                  <w:left w:w="108" w:type="dxa"/>
                  <w:bottom w:w="0" w:type="dxa"/>
                  <w:right w:w="108" w:type="dxa"/>
                </w:tblCellMar>
              </w:tblPrEx>
              <w:trPr>
                <w:trHeight w:val="510" w:hRule="atLeast"/>
              </w:trPr>
              <w:tc>
                <w:tcPr>
                  <w:tcW w:w="1061" w:type="pct"/>
                  <w:tcBorders>
                    <w:top w:val="single" w:color="000000" w:sz="4" w:space="0"/>
                    <w:left w:val="single" w:color="000000" w:sz="4" w:space="0"/>
                    <w:bottom w:val="single" w:color="000000" w:sz="4" w:space="0"/>
                    <w:right w:val="single" w:color="000000" w:sz="4" w:space="0"/>
                  </w:tcBorders>
                  <w:noWrap/>
                  <w:vAlign w:val="center"/>
                </w:tcPr>
                <w:p w14:paraId="59F254EA">
                  <w:pPr>
                    <w:pStyle w:val="74"/>
                    <w:bidi w:val="0"/>
                    <w:spacing w:line="240" w:lineRule="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监测因子</w:t>
                  </w:r>
                </w:p>
              </w:tc>
              <w:tc>
                <w:tcPr>
                  <w:tcW w:w="1217" w:type="pct"/>
                  <w:tcBorders>
                    <w:top w:val="single" w:color="000000" w:sz="4" w:space="0"/>
                    <w:left w:val="single" w:color="000000" w:sz="4" w:space="0"/>
                    <w:bottom w:val="single" w:color="000000" w:sz="4" w:space="0"/>
                    <w:right w:val="single" w:color="000000" w:sz="4" w:space="0"/>
                  </w:tcBorders>
                  <w:noWrap/>
                  <w:vAlign w:val="center"/>
                </w:tcPr>
                <w:p w14:paraId="3086A929">
                  <w:pPr>
                    <w:pStyle w:val="74"/>
                    <w:bidi w:val="0"/>
                    <w:spacing w:line="240" w:lineRule="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 xml:space="preserve">  统计方式</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5EA1A4">
                  <w:pPr>
                    <w:pStyle w:val="74"/>
                    <w:bidi w:val="0"/>
                    <w:spacing w:line="24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平均值</w:t>
                  </w:r>
                </w:p>
              </w:tc>
              <w:tc>
                <w:tcPr>
                  <w:tcW w:w="1002" w:type="pct"/>
                  <w:tcBorders>
                    <w:top w:val="single" w:color="000000" w:sz="4" w:space="0"/>
                    <w:left w:val="single" w:color="000000" w:sz="4" w:space="0"/>
                    <w:bottom w:val="single" w:color="000000" w:sz="4" w:space="0"/>
                    <w:right w:val="single" w:color="000000" w:sz="4" w:space="0"/>
                  </w:tcBorders>
                  <w:noWrap w:val="0"/>
                  <w:vAlign w:val="center"/>
                </w:tcPr>
                <w:p w14:paraId="73D320BD">
                  <w:pPr>
                    <w:pStyle w:val="74"/>
                    <w:bidi w:val="0"/>
                    <w:spacing w:line="24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国家标准</w:t>
                  </w:r>
                </w:p>
              </w:tc>
              <w:tc>
                <w:tcPr>
                  <w:tcW w:w="859" w:type="pct"/>
                  <w:tcBorders>
                    <w:top w:val="single" w:color="000000" w:sz="4" w:space="0"/>
                    <w:left w:val="single" w:color="000000" w:sz="4" w:space="0"/>
                    <w:bottom w:val="single" w:color="000000" w:sz="4" w:space="0"/>
                    <w:right w:val="single" w:color="000000" w:sz="4" w:space="0"/>
                  </w:tcBorders>
                  <w:noWrap w:val="0"/>
                  <w:vAlign w:val="center"/>
                </w:tcPr>
                <w:p w14:paraId="117FE24B">
                  <w:pPr>
                    <w:pStyle w:val="74"/>
                    <w:bidi w:val="0"/>
                    <w:spacing w:line="24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年均占标率</w:t>
                  </w:r>
                </w:p>
              </w:tc>
            </w:tr>
            <w:tr w14:paraId="61602A71">
              <w:tblPrEx>
                <w:tblCellMar>
                  <w:top w:w="0" w:type="dxa"/>
                  <w:left w:w="108" w:type="dxa"/>
                  <w:bottom w:w="0" w:type="dxa"/>
                  <w:right w:w="108" w:type="dxa"/>
                </w:tblCellMar>
              </w:tblPrEx>
              <w:trPr>
                <w:trHeight w:val="415"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7E55C2DF">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2.5</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3EB5B2DD">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年平均值</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6EAF035">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52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1877699D">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35</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1B543E8">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1.49 </w:t>
                  </w:r>
                </w:p>
              </w:tc>
            </w:tr>
            <w:tr w14:paraId="3C370314">
              <w:tblPrEx>
                <w:tblCellMar>
                  <w:top w:w="0" w:type="dxa"/>
                  <w:left w:w="108" w:type="dxa"/>
                  <w:bottom w:w="0" w:type="dxa"/>
                  <w:right w:w="108" w:type="dxa"/>
                </w:tblCellMar>
              </w:tblPrEx>
              <w:trPr>
                <w:trHeight w:val="415"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491389A3">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10</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19005989">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年平均值</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EAB0A4">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88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7E4BB670">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70</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A4CF62">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1.25 </w:t>
                  </w:r>
                </w:p>
              </w:tc>
            </w:tr>
            <w:tr w14:paraId="51914B0F">
              <w:tblPrEx>
                <w:tblCellMar>
                  <w:top w:w="0" w:type="dxa"/>
                  <w:left w:w="108" w:type="dxa"/>
                  <w:bottom w:w="0" w:type="dxa"/>
                  <w:right w:w="108" w:type="dxa"/>
                </w:tblCellMar>
              </w:tblPrEx>
              <w:trPr>
                <w:trHeight w:val="810"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39D7431C">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CO</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317F8138">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24小时平均第95百分位数</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CC4C35">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872.69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4F4E641D">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4000</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023D451">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0.22 </w:t>
                  </w:r>
                </w:p>
              </w:tc>
            </w:tr>
            <w:tr w14:paraId="586A3897">
              <w:tblPrEx>
                <w:tblCellMar>
                  <w:top w:w="0" w:type="dxa"/>
                  <w:left w:w="108" w:type="dxa"/>
                  <w:bottom w:w="0" w:type="dxa"/>
                  <w:right w:w="108" w:type="dxa"/>
                </w:tblCellMar>
              </w:tblPrEx>
              <w:trPr>
                <w:trHeight w:val="415"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74EA5F5A">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NO</w:t>
                  </w:r>
                  <w:r>
                    <w:rPr>
                      <w:rFonts w:hint="default" w:ascii="Times New Roman" w:hAnsi="Times New Roman" w:eastAsia="宋体" w:cs="Times New Roman"/>
                      <w:color w:val="auto"/>
                      <w:highlight w:val="none"/>
                      <w:vertAlign w:val="subscript"/>
                    </w:rPr>
                    <w:t>2</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59BD3D93">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年平均值</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0F22774">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32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2574AF5B">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40</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661A8C8">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0.81 </w:t>
                  </w:r>
                </w:p>
              </w:tc>
            </w:tr>
            <w:tr w14:paraId="4C704BE2">
              <w:tblPrEx>
                <w:tblCellMar>
                  <w:top w:w="0" w:type="dxa"/>
                  <w:left w:w="108" w:type="dxa"/>
                  <w:bottom w:w="0" w:type="dxa"/>
                  <w:right w:w="108" w:type="dxa"/>
                </w:tblCellMar>
              </w:tblPrEx>
              <w:trPr>
                <w:trHeight w:val="415"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316A6CE1">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SO</w:t>
                  </w:r>
                  <w:r>
                    <w:rPr>
                      <w:rFonts w:hint="default" w:ascii="Times New Roman" w:hAnsi="Times New Roman" w:eastAsia="宋体" w:cs="Times New Roman"/>
                      <w:color w:val="auto"/>
                      <w:highlight w:val="none"/>
                      <w:vertAlign w:val="subscript"/>
                    </w:rPr>
                    <w:t>2</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233E82CD">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年平均值</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A3B49A">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7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66482B7E">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60</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D722FC">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0.12 </w:t>
                  </w:r>
                </w:p>
              </w:tc>
            </w:tr>
            <w:tr w14:paraId="72D2698D">
              <w:tblPrEx>
                <w:tblCellMar>
                  <w:top w:w="0" w:type="dxa"/>
                  <w:left w:w="108" w:type="dxa"/>
                  <w:bottom w:w="0" w:type="dxa"/>
                  <w:right w:w="108" w:type="dxa"/>
                </w:tblCellMar>
              </w:tblPrEx>
              <w:trPr>
                <w:trHeight w:val="820" w:hRule="atLeast"/>
              </w:trPr>
              <w:tc>
                <w:tcPr>
                  <w:tcW w:w="1061" w:type="pct"/>
                  <w:tcBorders>
                    <w:top w:val="single" w:color="000000" w:sz="4" w:space="0"/>
                    <w:left w:val="single" w:color="000000" w:sz="4" w:space="0"/>
                    <w:bottom w:val="single" w:color="000000" w:sz="4" w:space="0"/>
                    <w:right w:val="single" w:color="000000" w:sz="4" w:space="0"/>
                  </w:tcBorders>
                  <w:noWrap w:val="0"/>
                  <w:vAlign w:val="center"/>
                </w:tcPr>
                <w:p w14:paraId="581FC8F8">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O</w:t>
                  </w:r>
                  <w:r>
                    <w:rPr>
                      <w:rFonts w:hint="default" w:ascii="Times New Roman" w:hAnsi="Times New Roman" w:eastAsia="宋体" w:cs="Times New Roman"/>
                      <w:color w:val="auto"/>
                      <w:highlight w:val="none"/>
                      <w:vertAlign w:val="subscript"/>
                    </w:rPr>
                    <w:t>3</w:t>
                  </w:r>
                </w:p>
              </w:tc>
              <w:tc>
                <w:tcPr>
                  <w:tcW w:w="1217" w:type="pct"/>
                  <w:tcBorders>
                    <w:top w:val="single" w:color="000000" w:sz="4" w:space="0"/>
                    <w:left w:val="single" w:color="000000" w:sz="4" w:space="0"/>
                    <w:bottom w:val="single" w:color="000000" w:sz="4" w:space="0"/>
                    <w:right w:val="single" w:color="000000" w:sz="4" w:space="0"/>
                  </w:tcBorders>
                  <w:noWrap w:val="0"/>
                  <w:vAlign w:val="center"/>
                </w:tcPr>
                <w:p w14:paraId="2BEF2C7B">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最大8小时平均第90百分位数</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CCDCBE2">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88 </w:t>
                  </w:r>
                </w:p>
              </w:tc>
              <w:tc>
                <w:tcPr>
                  <w:tcW w:w="1002" w:type="pct"/>
                  <w:tcBorders>
                    <w:top w:val="single" w:color="000000" w:sz="4" w:space="0"/>
                    <w:left w:val="single" w:color="000000" w:sz="4" w:space="0"/>
                    <w:bottom w:val="single" w:color="000000" w:sz="4" w:space="0"/>
                    <w:right w:val="single" w:color="000000" w:sz="4" w:space="0"/>
                  </w:tcBorders>
                  <w:noWrap/>
                  <w:vAlign w:val="center"/>
                </w:tcPr>
                <w:p w14:paraId="3FB53C9B">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160</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93CF345">
                  <w:pPr>
                    <w:pStyle w:val="74"/>
                    <w:bidi w:val="0"/>
                    <w:spacing w:line="24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0.55 </w:t>
                  </w:r>
                </w:p>
              </w:tc>
            </w:tr>
          </w:tbl>
          <w:p w14:paraId="4DC27D81">
            <w:pPr>
              <w:spacing w:line="360" w:lineRule="auto"/>
              <w:ind w:firstLine="42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注：监测数值中PM</w:t>
            </w:r>
            <w:r>
              <w:rPr>
                <w:rFonts w:hint="default" w:ascii="Times New Roman" w:hAnsi="Times New Roman" w:eastAsia="宋体" w:cs="Times New Roman"/>
                <w:b/>
                <w:bCs/>
                <w:color w:val="auto"/>
                <w:sz w:val="21"/>
                <w:szCs w:val="21"/>
                <w:highlight w:val="none"/>
                <w:vertAlign w:val="subscript"/>
              </w:rPr>
              <w:t>2.5</w:t>
            </w:r>
            <w:r>
              <w:rPr>
                <w:rFonts w:hint="default" w:ascii="Times New Roman" w:hAnsi="Times New Roman" w:eastAsia="宋体" w:cs="Times New Roman"/>
                <w:b/>
                <w:bCs/>
                <w:color w:val="auto"/>
                <w:sz w:val="21"/>
                <w:szCs w:val="21"/>
                <w:highlight w:val="none"/>
              </w:rPr>
              <w:t>、PM</w:t>
            </w:r>
            <w:r>
              <w:rPr>
                <w:rFonts w:hint="default" w:ascii="Times New Roman" w:hAnsi="Times New Roman" w:eastAsia="宋体" w:cs="Times New Roman"/>
                <w:b/>
                <w:bCs/>
                <w:color w:val="auto"/>
                <w:sz w:val="21"/>
                <w:szCs w:val="21"/>
                <w:highlight w:val="none"/>
                <w:vertAlign w:val="subscript"/>
              </w:rPr>
              <w:t>10</w:t>
            </w:r>
            <w:r>
              <w:rPr>
                <w:rFonts w:hint="default" w:ascii="Times New Roman" w:hAnsi="Times New Roman" w:eastAsia="宋体" w:cs="Times New Roman"/>
                <w:b/>
                <w:bCs/>
                <w:color w:val="auto"/>
                <w:sz w:val="21"/>
                <w:szCs w:val="21"/>
                <w:highlight w:val="none"/>
              </w:rPr>
              <w:t>、SO</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、NO</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这四项为浓度均值，CO为24小时平均浓度第95百分位数，O</w:t>
            </w:r>
            <w:r>
              <w:rPr>
                <w:rFonts w:hint="default" w:ascii="Times New Roman" w:hAnsi="Times New Roman" w:eastAsia="宋体" w:cs="Times New Roman"/>
                <w:b/>
                <w:bCs/>
                <w:color w:val="auto"/>
                <w:sz w:val="21"/>
                <w:szCs w:val="21"/>
                <w:highlight w:val="none"/>
                <w:vertAlign w:val="subscript"/>
              </w:rPr>
              <w:t>3</w:t>
            </w:r>
            <w:r>
              <w:rPr>
                <w:rFonts w:hint="default" w:ascii="Times New Roman" w:hAnsi="Times New Roman" w:eastAsia="宋体" w:cs="Times New Roman"/>
                <w:b/>
                <w:bCs/>
                <w:color w:val="auto"/>
                <w:sz w:val="21"/>
                <w:szCs w:val="21"/>
                <w:highlight w:val="none"/>
              </w:rPr>
              <w:t>为日最大8小时平均浓度第90百分位数；二级标准值中PM</w:t>
            </w:r>
            <w:r>
              <w:rPr>
                <w:rFonts w:hint="default" w:ascii="Times New Roman" w:hAnsi="Times New Roman" w:eastAsia="宋体" w:cs="Times New Roman"/>
                <w:b/>
                <w:bCs/>
                <w:color w:val="auto"/>
                <w:sz w:val="21"/>
                <w:szCs w:val="21"/>
                <w:highlight w:val="none"/>
                <w:vertAlign w:val="subscript"/>
              </w:rPr>
              <w:t>2.5</w:t>
            </w:r>
            <w:r>
              <w:rPr>
                <w:rFonts w:hint="default" w:ascii="Times New Roman" w:hAnsi="Times New Roman" w:eastAsia="宋体" w:cs="Times New Roman"/>
                <w:b/>
                <w:bCs/>
                <w:color w:val="auto"/>
                <w:sz w:val="21"/>
                <w:szCs w:val="21"/>
                <w:highlight w:val="none"/>
              </w:rPr>
              <w:t>、PM</w:t>
            </w:r>
            <w:r>
              <w:rPr>
                <w:rFonts w:hint="default" w:ascii="Times New Roman" w:hAnsi="Times New Roman" w:eastAsia="宋体" w:cs="Times New Roman"/>
                <w:b/>
                <w:bCs/>
                <w:color w:val="auto"/>
                <w:sz w:val="21"/>
                <w:szCs w:val="21"/>
                <w:highlight w:val="none"/>
                <w:vertAlign w:val="subscript"/>
              </w:rPr>
              <w:t>10</w:t>
            </w:r>
            <w:r>
              <w:rPr>
                <w:rFonts w:hint="default" w:ascii="Times New Roman" w:hAnsi="Times New Roman" w:eastAsia="宋体" w:cs="Times New Roman"/>
                <w:b/>
                <w:bCs/>
                <w:color w:val="auto"/>
                <w:sz w:val="21"/>
                <w:szCs w:val="21"/>
                <w:highlight w:val="none"/>
              </w:rPr>
              <w:t>、SO</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、NO</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这四项为年均值，CO为24小时平均值，O</w:t>
            </w:r>
            <w:r>
              <w:rPr>
                <w:rFonts w:hint="default" w:ascii="Times New Roman" w:hAnsi="Times New Roman" w:eastAsia="宋体" w:cs="Times New Roman"/>
                <w:b/>
                <w:bCs/>
                <w:color w:val="auto"/>
                <w:sz w:val="21"/>
                <w:szCs w:val="21"/>
                <w:highlight w:val="none"/>
                <w:vertAlign w:val="subscript"/>
              </w:rPr>
              <w:t>3</w:t>
            </w:r>
            <w:r>
              <w:rPr>
                <w:rFonts w:hint="default" w:ascii="Times New Roman" w:hAnsi="Times New Roman" w:eastAsia="宋体" w:cs="Times New Roman"/>
                <w:b/>
                <w:bCs/>
                <w:color w:val="auto"/>
                <w:sz w:val="21"/>
                <w:szCs w:val="21"/>
                <w:highlight w:val="none"/>
              </w:rPr>
              <w:t>为日最大8小时平均值。</w:t>
            </w:r>
          </w:p>
          <w:p w14:paraId="25C79E76">
            <w:pPr>
              <w:keepNext w:val="0"/>
              <w:keepLines w:val="0"/>
              <w:pageBreakBefore w:val="0"/>
              <w:widowControl w:val="0"/>
              <w:kinsoku/>
              <w:wordWrap/>
              <w:overflowPunct/>
              <w:topLinePunct w:val="0"/>
              <w:autoSpaceDE/>
              <w:autoSpaceDN/>
              <w:bidi w:val="0"/>
              <w:adjustRightInd w:val="0"/>
              <w:snapToGrid w:val="0"/>
              <w:spacing w:before="0" w:beforeLines="50" w:line="360" w:lineRule="auto"/>
              <w:ind w:right="0" w:firstLine="480" w:firstLineChars="200"/>
              <w:jc w:val="both"/>
              <w:textAlignment w:val="auto"/>
              <w:rPr>
                <w:rFonts w:hint="default" w:ascii="Times New Roman" w:hAnsi="Times New Roman" w:eastAsia="宋体" w:cs="Times New Roman"/>
                <w:b w:val="0"/>
                <w:bCs w:val="0"/>
                <w:color w:val="auto"/>
                <w:spacing w:val="0"/>
                <w:position w:val="0"/>
                <w:sz w:val="24"/>
                <w:szCs w:val="24"/>
                <w:highlight w:val="none"/>
              </w:rPr>
            </w:pPr>
            <w:r>
              <w:rPr>
                <w:rFonts w:hint="default" w:ascii="Times New Roman" w:hAnsi="Times New Roman" w:eastAsia="宋体" w:cs="Times New Roman"/>
                <w:b w:val="0"/>
                <w:bCs w:val="0"/>
                <w:color w:val="auto"/>
                <w:sz w:val="24"/>
                <w:szCs w:val="24"/>
                <w:highlight w:val="none"/>
              </w:rPr>
              <w:t>由上表可知：2024年项目所在地</w:t>
            </w:r>
            <w:r>
              <w:rPr>
                <w:rFonts w:hint="default" w:ascii="Times New Roman" w:hAnsi="Times New Roman" w:eastAsia="宋体" w:cs="Times New Roman"/>
                <w:b w:val="0"/>
                <w:bCs w:val="0"/>
                <w:color w:val="auto"/>
                <w:kern w:val="0"/>
                <w:sz w:val="24"/>
                <w:szCs w:val="24"/>
                <w:highlight w:val="none"/>
              </w:rPr>
              <w:t>昌吉州</w:t>
            </w:r>
            <w:r>
              <w:rPr>
                <w:rFonts w:hint="default" w:ascii="Times New Roman" w:hAnsi="Times New Roman" w:eastAsia="宋体" w:cs="Times New Roman"/>
                <w:b w:val="0"/>
                <w:bCs w:val="0"/>
                <w:color w:val="auto"/>
                <w:sz w:val="24"/>
                <w:szCs w:val="24"/>
                <w:highlight w:val="none"/>
              </w:rPr>
              <w:t>SO</w:t>
            </w:r>
            <w:r>
              <w:rPr>
                <w:rFonts w:hint="default" w:ascii="Times New Roman" w:hAnsi="Times New Roman" w:eastAsia="宋体" w:cs="Times New Roman"/>
                <w:b w:val="0"/>
                <w:bCs w:val="0"/>
                <w:color w:val="auto"/>
                <w:sz w:val="24"/>
                <w:szCs w:val="24"/>
                <w:highlight w:val="none"/>
                <w:vertAlign w:val="subscript"/>
              </w:rPr>
              <w:t>2</w:t>
            </w:r>
            <w:r>
              <w:rPr>
                <w:rFonts w:hint="default" w:ascii="Times New Roman" w:hAnsi="Times New Roman" w:eastAsia="宋体" w:cs="Times New Roman"/>
                <w:b w:val="0"/>
                <w:bCs w:val="0"/>
                <w:color w:val="auto"/>
                <w:sz w:val="24"/>
                <w:szCs w:val="24"/>
                <w:highlight w:val="none"/>
              </w:rPr>
              <w:t>、NO</w:t>
            </w:r>
            <w:r>
              <w:rPr>
                <w:rFonts w:hint="default" w:ascii="Times New Roman" w:hAnsi="Times New Roman" w:eastAsia="宋体" w:cs="Times New Roman"/>
                <w:b w:val="0"/>
                <w:bCs w:val="0"/>
                <w:color w:val="auto"/>
                <w:sz w:val="24"/>
                <w:szCs w:val="24"/>
                <w:highlight w:val="none"/>
                <w:vertAlign w:val="subscript"/>
              </w:rPr>
              <w:t>2</w:t>
            </w:r>
            <w:r>
              <w:rPr>
                <w:rFonts w:hint="default" w:ascii="Times New Roman" w:hAnsi="Times New Roman" w:eastAsia="宋体" w:cs="Times New Roman"/>
                <w:b w:val="0"/>
                <w:bCs w:val="0"/>
                <w:color w:val="auto"/>
                <w:sz w:val="24"/>
                <w:szCs w:val="24"/>
                <w:highlight w:val="none"/>
              </w:rPr>
              <w:t>年平均浓度及CO、O</w:t>
            </w:r>
            <w:r>
              <w:rPr>
                <w:rFonts w:hint="default" w:ascii="Times New Roman" w:hAnsi="Times New Roman" w:eastAsia="宋体" w:cs="Times New Roman"/>
                <w:b w:val="0"/>
                <w:bCs w:val="0"/>
                <w:color w:val="auto"/>
                <w:sz w:val="24"/>
                <w:szCs w:val="24"/>
                <w:highlight w:val="none"/>
                <w:vertAlign w:val="subscript"/>
              </w:rPr>
              <w:t>3</w:t>
            </w:r>
            <w:r>
              <w:rPr>
                <w:rFonts w:hint="default" w:ascii="Times New Roman" w:hAnsi="Times New Roman" w:eastAsia="宋体" w:cs="Times New Roman"/>
                <w:b w:val="0"/>
                <w:bCs w:val="0"/>
                <w:color w:val="auto"/>
                <w:sz w:val="24"/>
                <w:szCs w:val="24"/>
                <w:highlight w:val="none"/>
              </w:rPr>
              <w:t>日平均浓度均满足《环境空气质量标准》（GB3095-2012）</w:t>
            </w:r>
            <w:r>
              <w:rPr>
                <w:rFonts w:hint="default" w:ascii="Times New Roman" w:hAnsi="Times New Roman" w:eastAsia="宋体" w:cs="Times New Roman"/>
                <w:b w:val="0"/>
                <w:bCs w:val="0"/>
                <w:color w:val="auto"/>
                <w:sz w:val="24"/>
                <w:szCs w:val="24"/>
                <w:highlight w:val="none"/>
                <w:lang w:val="en-US" w:eastAsia="zh-CN"/>
              </w:rPr>
              <w:t>及修改单</w:t>
            </w:r>
            <w:r>
              <w:rPr>
                <w:rFonts w:hint="default" w:ascii="Times New Roman" w:hAnsi="Times New Roman" w:eastAsia="宋体" w:cs="Times New Roman"/>
                <w:b w:val="0"/>
                <w:bCs w:val="0"/>
                <w:color w:val="auto"/>
                <w:sz w:val="24"/>
                <w:szCs w:val="24"/>
                <w:highlight w:val="none"/>
              </w:rPr>
              <w:t>的二级标准要求；PM</w:t>
            </w:r>
            <w:r>
              <w:rPr>
                <w:rFonts w:hint="default" w:ascii="Times New Roman" w:hAnsi="Times New Roman" w:eastAsia="宋体" w:cs="Times New Roman"/>
                <w:b w:val="0"/>
                <w:bCs w:val="0"/>
                <w:color w:val="auto"/>
                <w:sz w:val="24"/>
                <w:szCs w:val="24"/>
                <w:highlight w:val="none"/>
                <w:vertAlign w:val="subscript"/>
              </w:rPr>
              <w:t>2.5</w:t>
            </w:r>
            <w:r>
              <w:rPr>
                <w:rFonts w:hint="default" w:ascii="Times New Roman" w:hAnsi="Times New Roman" w:eastAsia="宋体" w:cs="Times New Roman"/>
                <w:b w:val="0"/>
                <w:bCs w:val="0"/>
                <w:color w:val="auto"/>
                <w:sz w:val="24"/>
                <w:szCs w:val="24"/>
                <w:highlight w:val="none"/>
              </w:rPr>
              <w:t>、PM</w:t>
            </w:r>
            <w:r>
              <w:rPr>
                <w:rFonts w:hint="default" w:ascii="Times New Roman" w:hAnsi="Times New Roman" w:eastAsia="宋体" w:cs="Times New Roman"/>
                <w:b w:val="0"/>
                <w:bCs w:val="0"/>
                <w:color w:val="auto"/>
                <w:sz w:val="24"/>
                <w:szCs w:val="24"/>
                <w:highlight w:val="none"/>
                <w:vertAlign w:val="subscript"/>
              </w:rPr>
              <w:t>10</w:t>
            </w:r>
            <w:r>
              <w:rPr>
                <w:rFonts w:hint="default" w:ascii="Times New Roman" w:hAnsi="Times New Roman" w:eastAsia="宋体" w:cs="Times New Roman"/>
                <w:b w:val="0"/>
                <w:bCs w:val="0"/>
                <w:color w:val="auto"/>
                <w:sz w:val="24"/>
                <w:szCs w:val="24"/>
                <w:highlight w:val="none"/>
              </w:rPr>
              <w:t>年平均浓度超过《环境空气质量标准》（GB3095-2012）</w:t>
            </w:r>
            <w:r>
              <w:rPr>
                <w:rFonts w:hint="default" w:ascii="Times New Roman" w:hAnsi="Times New Roman" w:eastAsia="宋体" w:cs="Times New Roman"/>
                <w:b w:val="0"/>
                <w:bCs w:val="0"/>
                <w:color w:val="auto"/>
                <w:sz w:val="24"/>
                <w:szCs w:val="24"/>
                <w:highlight w:val="none"/>
                <w:lang w:val="en-US" w:eastAsia="zh-CN"/>
              </w:rPr>
              <w:t>及修改单</w:t>
            </w:r>
            <w:r>
              <w:rPr>
                <w:rFonts w:hint="default" w:ascii="Times New Roman" w:hAnsi="Times New Roman" w:eastAsia="宋体" w:cs="Times New Roman"/>
                <w:b w:val="0"/>
                <w:bCs w:val="0"/>
                <w:color w:val="auto"/>
                <w:sz w:val="24"/>
                <w:szCs w:val="24"/>
                <w:highlight w:val="none"/>
              </w:rPr>
              <w:t>的二级标准要求，昌吉州属于不达标区。</w:t>
            </w:r>
          </w:p>
          <w:p w14:paraId="0BB4E07F">
            <w:pPr>
              <w:pStyle w:val="4"/>
              <w:keepNext/>
              <w:keepLines/>
              <w:pageBreakBefore w:val="0"/>
              <w:widowControl w:val="0"/>
              <w:numPr>
                <w:ilvl w:val="0"/>
                <w:numId w:val="0"/>
              </w:numPr>
              <w:kinsoku/>
              <w:wordWrap/>
              <w:overflowPunct/>
              <w:topLinePunct w:val="0"/>
              <w:autoSpaceDE/>
              <w:autoSpaceDN/>
              <w:bidi w:val="0"/>
              <w:adjustRightInd w:val="0"/>
              <w:snapToGrid w:val="0"/>
              <w:spacing w:before="0" w:after="0" w:line="360" w:lineRule="auto"/>
              <w:ind w:right="0"/>
              <w:jc w:val="both"/>
              <w:textAlignment w:val="auto"/>
              <w:outlineLvl w:val="1"/>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（五）特征项目补充调查与评价</w:t>
            </w:r>
          </w:p>
          <w:p w14:paraId="566B49D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本次评价选取TSP、非甲烷总烃、苯、甲苯、二甲苯作为特征因子。</w:t>
            </w:r>
            <w:r>
              <w:rPr>
                <w:rFonts w:hint="default" w:ascii="Times New Roman" w:hAnsi="Times New Roman" w:eastAsia="宋体" w:cs="Times New Roman"/>
                <w:color w:val="auto"/>
                <w:sz w:val="24"/>
                <w:szCs w:val="24"/>
                <w:highlight w:val="none"/>
                <w:lang w:eastAsia="zh-CN"/>
              </w:rPr>
              <w:t>根据</w:t>
            </w:r>
            <w:r>
              <w:rPr>
                <w:rFonts w:hint="default" w:ascii="Times New Roman" w:hAnsi="Times New Roman" w:eastAsia="宋体" w:cs="Times New Roman"/>
                <w:color w:val="auto"/>
                <w:kern w:val="0"/>
                <w:sz w:val="24"/>
                <w:highlight w:val="none"/>
              </w:rPr>
              <w:t>《建设项目环境影响报告表编制技术指南（污染影响类）（试行）》</w:t>
            </w:r>
            <w:r>
              <w:rPr>
                <w:rFonts w:hint="eastAsia" w:ascii="Times New Roman" w:hAnsi="Times New Roman" w:eastAsia="宋体" w:cs="Times New Roman"/>
                <w:color w:val="auto"/>
                <w:sz w:val="24"/>
                <w:szCs w:val="24"/>
                <w:highlight w:val="none"/>
                <w:lang w:eastAsia="zh-CN"/>
              </w:rPr>
              <w:t>。“</w:t>
            </w:r>
            <w:r>
              <w:rPr>
                <w:rFonts w:ascii="宋体" w:hAnsi="宋体" w:eastAsia="宋体" w:cs="宋体"/>
                <w:color w:val="auto"/>
                <w:sz w:val="24"/>
                <w:szCs w:val="24"/>
                <w:highlight w:val="none"/>
              </w:rPr>
              <w:t>引用建设项目周边5千米范围内近3年的现有监测数据，无相关数据的选择当季主导风向下风向1个点位补充不少于3天的监测数据。</w:t>
            </w:r>
            <w:r>
              <w:rPr>
                <w:rFonts w:hint="eastAsia" w:ascii="Times New Roman" w:hAnsi="Times New Roman" w:eastAsia="宋体" w:cs="Times New Roman"/>
                <w:color w:val="auto"/>
                <w:sz w:val="24"/>
                <w:szCs w:val="24"/>
                <w:highlight w:val="none"/>
                <w:lang w:eastAsia="zh-CN"/>
              </w:rPr>
              <w:t>”</w:t>
            </w:r>
          </w:p>
          <w:p w14:paraId="7684FE4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本次</w:t>
            </w:r>
            <w:r>
              <w:rPr>
                <w:rFonts w:hint="eastAsia" w:ascii="Times New Roman" w:hAnsi="Times New Roman" w:eastAsia="宋体" w:cs="Times New Roman"/>
                <w:color w:val="auto"/>
                <w:sz w:val="24"/>
                <w:szCs w:val="24"/>
                <w:highlight w:val="none"/>
                <w:lang w:val="en-US" w:eastAsia="zh-CN"/>
              </w:rPr>
              <w:t>TSP</w:t>
            </w:r>
            <w:r>
              <w:rPr>
                <w:rFonts w:hint="default" w:ascii="Times New Roman" w:hAnsi="Times New Roman" w:eastAsia="宋体" w:cs="Times New Roman"/>
                <w:color w:val="auto"/>
                <w:sz w:val="24"/>
                <w:szCs w:val="24"/>
                <w:highlight w:val="none"/>
              </w:rPr>
              <w:t>现状监测</w:t>
            </w:r>
            <w:r>
              <w:rPr>
                <w:rFonts w:hint="default" w:ascii="Times New Roman" w:hAnsi="Times New Roman" w:eastAsia="宋体" w:cs="Times New Roman"/>
                <w:color w:val="auto"/>
                <w:sz w:val="24"/>
                <w:szCs w:val="24"/>
                <w:highlight w:val="none"/>
                <w:lang w:val="en-US" w:eastAsia="zh-CN"/>
              </w:rPr>
              <w:t>引用</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新疆瀚元塑料制品有限公司包装容器生产项目</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2023年12月14-16日的监测数据，位于建设项目周边5km范围内（位于建设项目西南侧615m）</w:t>
            </w:r>
            <w:r>
              <w:rPr>
                <w:rFonts w:hint="eastAsia" w:ascii="Times New Roman" w:hAnsi="Times New Roman" w:eastAsia="宋体" w:cs="Times New Roman"/>
                <w:color w:val="auto"/>
                <w:sz w:val="24"/>
                <w:szCs w:val="24"/>
                <w:highlight w:val="none"/>
                <w:lang w:val="en-US" w:eastAsia="zh-CN"/>
              </w:rPr>
              <w:t>。</w:t>
            </w:r>
          </w:p>
          <w:p w14:paraId="5B9EF40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本次评价大气现状监测数据VOCs数据来源于《新疆如意交联电缆制造有限公司高低压电线电缆生产项目》于2024年1月12日-1月14日的监测数据，位于本项目区东南侧800m处。因此本项目引用监测数据可行。</w:t>
            </w:r>
          </w:p>
          <w:p w14:paraId="76A12B5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位于本项目下风向处设立监测点，监测苯、甲苯、二甲苯。</w:t>
            </w:r>
          </w:p>
          <w:p w14:paraId="68726F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 监测项目及频率</w:t>
            </w:r>
          </w:p>
          <w:p w14:paraId="484476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检测</w:t>
            </w:r>
            <w:r>
              <w:rPr>
                <w:rFonts w:hint="default" w:ascii="Times New Roman" w:hAnsi="Times New Roman" w:eastAsia="宋体" w:cs="Times New Roman"/>
                <w:color w:val="auto"/>
                <w:sz w:val="24"/>
                <w:szCs w:val="24"/>
                <w:highlight w:val="none"/>
                <w:lang w:val="en-US" w:eastAsia="zh-CN"/>
              </w:rPr>
              <w:t>项目：TSP、</w:t>
            </w:r>
            <w:r>
              <w:rPr>
                <w:rFonts w:hint="eastAsia" w:ascii="Times New Roman" w:hAnsi="Times New Roman" w:eastAsia="宋体" w:cs="Times New Roman"/>
                <w:color w:val="auto"/>
                <w:sz w:val="24"/>
                <w:szCs w:val="24"/>
                <w:highlight w:val="none"/>
                <w:lang w:val="en-US" w:eastAsia="zh-CN"/>
              </w:rPr>
              <w:t>非甲烷总烃</w:t>
            </w:r>
            <w:r>
              <w:rPr>
                <w:rFonts w:hint="default" w:ascii="Times New Roman" w:hAnsi="Times New Roman" w:eastAsia="宋体" w:cs="Times New Roman"/>
                <w:color w:val="auto"/>
                <w:sz w:val="24"/>
                <w:szCs w:val="24"/>
                <w:highlight w:val="none"/>
                <w:lang w:val="en-US" w:eastAsia="zh-CN"/>
              </w:rPr>
              <w:t>、苯、甲苯、二甲苯。</w:t>
            </w:r>
          </w:p>
          <w:p w14:paraId="6DC767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监测频率：项目TSP</w:t>
            </w:r>
            <w:r>
              <w:rPr>
                <w:rFonts w:hint="eastAsia" w:ascii="Times New Roman" w:hAnsi="Times New Roman" w:eastAsia="宋体" w:cs="Times New Roman"/>
                <w:color w:val="auto"/>
                <w:sz w:val="24"/>
                <w:szCs w:val="24"/>
                <w:highlight w:val="none"/>
                <w:lang w:val="en-US" w:eastAsia="zh-CN"/>
              </w:rPr>
              <w:t>现状监测数据</w:t>
            </w:r>
            <w:r>
              <w:rPr>
                <w:rFonts w:hint="default" w:ascii="Times New Roman" w:hAnsi="Times New Roman" w:eastAsia="宋体" w:cs="Times New Roman"/>
                <w:color w:val="auto"/>
                <w:sz w:val="24"/>
                <w:szCs w:val="24"/>
                <w:highlight w:val="none"/>
                <w:lang w:val="en-US" w:eastAsia="zh-CN"/>
              </w:rPr>
              <w:t>引用</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新疆瀚元塑料制品有限公司包装容器生产项目</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2023年12月14-16日的监测数据，位于建设项目周边5km范围内（位于建设项目西南侧615m）</w:t>
            </w:r>
            <w:r>
              <w:rPr>
                <w:rFonts w:hint="eastAsia" w:ascii="Times New Roman" w:hAnsi="Times New Roman" w:eastAsia="宋体" w:cs="Times New Roman"/>
                <w:color w:val="auto"/>
                <w:sz w:val="24"/>
                <w:szCs w:val="24"/>
                <w:highlight w:val="none"/>
                <w:lang w:val="en-US" w:eastAsia="zh-CN"/>
              </w:rPr>
              <w:t>。</w:t>
            </w:r>
          </w:p>
          <w:p w14:paraId="053DB5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非甲烷总烃</w:t>
            </w:r>
            <w:r>
              <w:rPr>
                <w:rFonts w:hint="default" w:ascii="Times New Roman" w:hAnsi="Times New Roman" w:eastAsia="宋体" w:cs="Times New Roman"/>
                <w:color w:val="auto"/>
                <w:sz w:val="24"/>
                <w:szCs w:val="24"/>
                <w:highlight w:val="none"/>
                <w:lang w:val="en-US" w:eastAsia="zh-CN"/>
              </w:rPr>
              <w:t>现状监测数据</w:t>
            </w:r>
            <w:r>
              <w:rPr>
                <w:rFonts w:hint="eastAsia" w:ascii="Times New Roman" w:hAnsi="Times New Roman" w:eastAsia="宋体" w:cs="Times New Roman"/>
                <w:color w:val="auto"/>
                <w:sz w:val="24"/>
                <w:szCs w:val="24"/>
                <w:highlight w:val="none"/>
                <w:lang w:val="en-US" w:eastAsia="zh-CN"/>
              </w:rPr>
              <w:t>引用</w:t>
            </w:r>
            <w:r>
              <w:rPr>
                <w:rFonts w:hint="default" w:ascii="Times New Roman" w:hAnsi="Times New Roman" w:eastAsia="宋体" w:cs="Times New Roman"/>
                <w:color w:val="auto"/>
                <w:sz w:val="24"/>
                <w:szCs w:val="24"/>
                <w:highlight w:val="none"/>
                <w:lang w:val="en-US" w:eastAsia="zh-CN"/>
              </w:rPr>
              <w:t>《新疆如意交联电缆制造有限公司高低压电线电缆生产项目》于2024年1月12日-1月14日的监测数据，位于建设项目周边5km范围内</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位于本项目区东南侧800m处</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p>
          <w:p w14:paraId="63CE2026">
            <w:pPr>
              <w:pStyle w:val="2"/>
              <w:rPr>
                <w:rFonts w:hint="default" w:ascii="Times New Roman" w:hAnsi="Times New Roman" w:cs="Times New Roman"/>
                <w:color w:val="auto"/>
                <w:highlight w:val="none"/>
                <w:lang w:val="en-US" w:eastAsia="zh-CN"/>
              </w:rPr>
            </w:pPr>
            <w:r>
              <w:rPr>
                <w:rFonts w:hint="default" w:ascii="Times New Roman" w:hAnsi="Times New Roman" w:cs="Times New Roman"/>
                <w:b w:val="0"/>
                <w:bCs w:val="0"/>
                <w:snapToGrid w:val="0"/>
                <w:color w:val="auto"/>
                <w:kern w:val="0"/>
                <w:sz w:val="24"/>
                <w:szCs w:val="24"/>
                <w:highlight w:val="none"/>
                <w:lang w:val="en-US" w:eastAsia="zh-CN"/>
              </w:rPr>
              <w:t>项目</w:t>
            </w:r>
            <w:r>
              <w:rPr>
                <w:rFonts w:hint="default" w:ascii="Times New Roman" w:hAnsi="Times New Roman" w:eastAsia="宋体" w:cs="Times New Roman"/>
                <w:b w:val="0"/>
                <w:bCs w:val="0"/>
                <w:snapToGrid w:val="0"/>
                <w:color w:val="auto"/>
                <w:kern w:val="0"/>
                <w:sz w:val="24"/>
                <w:szCs w:val="24"/>
                <w:highlight w:val="none"/>
                <w:lang w:val="en-US" w:eastAsia="zh-CN"/>
              </w:rPr>
              <w:t>苯、甲苯、二甲苯</w:t>
            </w:r>
            <w:r>
              <w:rPr>
                <w:rFonts w:hint="default" w:ascii="Times New Roman" w:hAnsi="Times New Roman" w:cs="Times New Roman"/>
                <w:b w:val="0"/>
                <w:bCs w:val="0"/>
                <w:snapToGrid w:val="0"/>
                <w:color w:val="auto"/>
                <w:kern w:val="0"/>
                <w:sz w:val="24"/>
                <w:szCs w:val="24"/>
                <w:highlight w:val="none"/>
                <w:lang w:val="en-US" w:eastAsia="zh-CN"/>
              </w:rPr>
              <w:t>进行</w:t>
            </w:r>
            <w:r>
              <w:rPr>
                <w:rFonts w:hint="eastAsia" w:ascii="Times New Roman" w:hAnsi="Times New Roman" w:cs="Times New Roman"/>
                <w:b w:val="0"/>
                <w:bCs w:val="0"/>
                <w:snapToGrid w:val="0"/>
                <w:color w:val="auto"/>
                <w:kern w:val="0"/>
                <w:sz w:val="24"/>
                <w:szCs w:val="24"/>
                <w:highlight w:val="none"/>
                <w:lang w:val="en-US" w:eastAsia="zh-CN"/>
              </w:rPr>
              <w:t>现场</w:t>
            </w:r>
            <w:r>
              <w:rPr>
                <w:rFonts w:hint="default" w:ascii="Times New Roman" w:hAnsi="Times New Roman" w:cs="Times New Roman"/>
                <w:b w:val="0"/>
                <w:bCs w:val="0"/>
                <w:snapToGrid w:val="0"/>
                <w:color w:val="auto"/>
                <w:kern w:val="0"/>
                <w:sz w:val="24"/>
                <w:szCs w:val="24"/>
                <w:highlight w:val="none"/>
                <w:lang w:val="en-US" w:eastAsia="zh-CN"/>
              </w:rPr>
              <w:t>监测，监测点位位于西北风下风向，监测时间为2024年</w:t>
            </w:r>
            <w:r>
              <w:rPr>
                <w:rFonts w:hint="eastAsia" w:cs="Times New Roman"/>
                <w:b w:val="0"/>
                <w:bCs w:val="0"/>
                <w:snapToGrid w:val="0"/>
                <w:color w:val="auto"/>
                <w:kern w:val="0"/>
                <w:sz w:val="24"/>
                <w:szCs w:val="24"/>
                <w:highlight w:val="none"/>
                <w:lang w:val="en-US" w:eastAsia="zh-CN"/>
              </w:rPr>
              <w:t>10</w:t>
            </w:r>
            <w:r>
              <w:rPr>
                <w:rFonts w:hint="default" w:ascii="Times New Roman" w:hAnsi="Times New Roman" w:cs="Times New Roman"/>
                <w:b w:val="0"/>
                <w:bCs w:val="0"/>
                <w:snapToGrid w:val="0"/>
                <w:color w:val="auto"/>
                <w:kern w:val="0"/>
                <w:sz w:val="24"/>
                <w:szCs w:val="24"/>
                <w:highlight w:val="none"/>
                <w:lang w:val="en-US" w:eastAsia="zh-CN"/>
              </w:rPr>
              <w:t>月</w:t>
            </w:r>
            <w:r>
              <w:rPr>
                <w:rFonts w:hint="eastAsia" w:cs="Times New Roman"/>
                <w:b w:val="0"/>
                <w:bCs w:val="0"/>
                <w:snapToGrid w:val="0"/>
                <w:color w:val="auto"/>
                <w:kern w:val="0"/>
                <w:sz w:val="24"/>
                <w:szCs w:val="24"/>
                <w:highlight w:val="none"/>
                <w:lang w:val="en-US" w:eastAsia="zh-CN"/>
              </w:rPr>
              <w:t>11日</w:t>
            </w:r>
            <w:r>
              <w:rPr>
                <w:rFonts w:hint="default" w:ascii="Times New Roman" w:hAnsi="Times New Roman" w:cs="Times New Roman"/>
                <w:b w:val="0"/>
                <w:bCs w:val="0"/>
                <w:snapToGrid w:val="0"/>
                <w:color w:val="auto"/>
                <w:kern w:val="0"/>
                <w:sz w:val="24"/>
                <w:szCs w:val="24"/>
                <w:highlight w:val="none"/>
                <w:lang w:val="en-US" w:eastAsia="zh-CN"/>
              </w:rPr>
              <w:t>-</w:t>
            </w:r>
            <w:r>
              <w:rPr>
                <w:rFonts w:hint="eastAsia" w:cs="Times New Roman"/>
                <w:b w:val="0"/>
                <w:bCs w:val="0"/>
                <w:snapToGrid w:val="0"/>
                <w:color w:val="auto"/>
                <w:kern w:val="0"/>
                <w:sz w:val="24"/>
                <w:szCs w:val="24"/>
                <w:highlight w:val="none"/>
                <w:lang w:val="en-US" w:eastAsia="zh-CN"/>
              </w:rPr>
              <w:t>10</w:t>
            </w:r>
            <w:r>
              <w:rPr>
                <w:rFonts w:hint="default" w:ascii="Times New Roman" w:hAnsi="Times New Roman" w:cs="Times New Roman"/>
                <w:b w:val="0"/>
                <w:bCs w:val="0"/>
                <w:snapToGrid w:val="0"/>
                <w:color w:val="auto"/>
                <w:kern w:val="0"/>
                <w:sz w:val="24"/>
                <w:szCs w:val="24"/>
                <w:highlight w:val="none"/>
                <w:lang w:val="en-US" w:eastAsia="zh-CN"/>
              </w:rPr>
              <w:t>月</w:t>
            </w:r>
            <w:r>
              <w:rPr>
                <w:rFonts w:hint="eastAsia" w:cs="Times New Roman"/>
                <w:b w:val="0"/>
                <w:bCs w:val="0"/>
                <w:snapToGrid w:val="0"/>
                <w:color w:val="auto"/>
                <w:kern w:val="0"/>
                <w:sz w:val="24"/>
                <w:szCs w:val="24"/>
                <w:highlight w:val="none"/>
                <w:lang w:val="en-US" w:eastAsia="zh-CN"/>
              </w:rPr>
              <w:t>13</w:t>
            </w:r>
            <w:r>
              <w:rPr>
                <w:rFonts w:hint="default" w:ascii="Times New Roman" w:hAnsi="Times New Roman" w:cs="Times New Roman"/>
                <w:b w:val="0"/>
                <w:bCs w:val="0"/>
                <w:snapToGrid w:val="0"/>
                <w:color w:val="auto"/>
                <w:kern w:val="0"/>
                <w:sz w:val="24"/>
                <w:szCs w:val="24"/>
                <w:highlight w:val="none"/>
                <w:lang w:val="en-US" w:eastAsia="zh-CN"/>
              </w:rPr>
              <w:t>日，为1小时均值。</w:t>
            </w:r>
          </w:p>
          <w:p w14:paraId="3D41F94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监测点位示意图见附图4。</w:t>
            </w:r>
          </w:p>
          <w:p w14:paraId="464747DC">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 评价标准及方法</w:t>
            </w:r>
          </w:p>
          <w:p w14:paraId="62C1F18E">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评价标准：执行《环境空气质量标准》（GB3095-2012）中相关标准限值，总悬浮颗粒物300</w:t>
            </w:r>
            <w:r>
              <w:rPr>
                <w:rFonts w:hint="eastAsia" w:ascii="Times New Roman" w:hAnsi="Times New Roman" w:eastAsia="宋体" w:cs="Times New Roman"/>
                <w:color w:val="auto"/>
                <w:sz w:val="24"/>
                <w:szCs w:val="24"/>
                <w:highlight w:val="none"/>
                <w:lang w:val="en-US" w:eastAsia="zh-CN"/>
              </w:rPr>
              <w:t>μg/m3</w:t>
            </w:r>
            <w:r>
              <w:rPr>
                <w:rFonts w:hint="default" w:ascii="Times New Roman" w:hAnsi="Times New Roman" w:eastAsia="宋体" w:cs="Times New Roman"/>
                <w:color w:val="auto"/>
                <w:sz w:val="24"/>
                <w:szCs w:val="24"/>
                <w:highlight w:val="none"/>
                <w:lang w:val="en-US" w:eastAsia="zh-CN"/>
              </w:rPr>
              <w:t>（24h平均），</w:t>
            </w:r>
            <w:r>
              <w:rPr>
                <w:rFonts w:hint="default" w:ascii="Times New Roman" w:hAnsi="Times New Roman" w:cs="Times New Roman"/>
                <w:bCs/>
                <w:color w:val="auto"/>
                <w:sz w:val="24"/>
                <w:highlight w:val="none"/>
              </w:rPr>
              <w:t>非甲烷总烃浓度</w:t>
            </w:r>
            <w:r>
              <w:rPr>
                <w:rFonts w:hint="default" w:ascii="Times New Roman" w:hAnsi="Times New Roman" w:cs="Times New Roman"/>
                <w:bCs/>
                <w:color w:val="auto"/>
                <w:sz w:val="24"/>
                <w:highlight w:val="none"/>
                <w:lang w:eastAsia="zh-CN"/>
              </w:rPr>
              <w:t>执行</w:t>
            </w:r>
            <w:r>
              <w:rPr>
                <w:rFonts w:hint="default" w:ascii="Times New Roman" w:hAnsi="Times New Roman" w:cs="Times New Roman"/>
                <w:bCs/>
                <w:color w:val="auto"/>
                <w:sz w:val="24"/>
                <w:highlight w:val="none"/>
              </w:rPr>
              <w:t>《大气污染物综合排放标准详解》中环境质量标准</w:t>
            </w:r>
            <w:r>
              <w:rPr>
                <w:rFonts w:hint="default" w:ascii="Times New Roman" w:hAnsi="Times New Roman" w:eastAsia="宋体" w:cs="Times New Roman"/>
                <w:bCs/>
                <w:color w:val="auto"/>
                <w:sz w:val="24"/>
                <w:highlight w:val="none"/>
                <w:lang w:val="en-US" w:eastAsia="zh-CN"/>
              </w:rPr>
              <w:t>非甲烷总烃2.0</w:t>
            </w:r>
            <w:r>
              <w:rPr>
                <w:rFonts w:hint="default" w:ascii="Times New Roman" w:hAnsi="Times New Roman" w:eastAsia="宋体" w:cs="Times New Roman"/>
                <w:color w:val="auto"/>
                <w:kern w:val="0"/>
                <w:sz w:val="21"/>
                <w:szCs w:val="21"/>
                <w:highlight w:val="none"/>
              </w:rPr>
              <w:t>mg/m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cs="Times New Roman"/>
                <w:bCs/>
                <w:color w:val="auto"/>
                <w:sz w:val="24"/>
                <w:highlight w:val="none"/>
              </w:rPr>
              <w:t>限值要求</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非甲烷总烃参考《大气污染物综合排放标准详解》，以2000μg/</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rPr>
              <w:t>作为环境质量标准限值。苯、甲苯、二甲苯浓度按照《环境影响评价技术导则-大气环境》附录 D表D.1其他污染物空气质量浓度参考限值：苯：110μg/</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rPr>
              <w:t>、甲苯200μg/</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rPr>
              <w:t>、二甲苯200μg/</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rPr>
              <w:t>。</w:t>
            </w:r>
          </w:p>
          <w:p w14:paraId="54341968">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③ 现状监测及评价结果</w:t>
            </w:r>
          </w:p>
          <w:p w14:paraId="64AFC544">
            <w:pPr>
              <w:pStyle w:val="12"/>
              <w:keepNext w:val="0"/>
              <w:keepLines w:val="0"/>
              <w:pageBreakBefore w:val="0"/>
              <w:widowControl/>
              <w:kinsoku w:val="0"/>
              <w:wordWrap/>
              <w:overflowPunct/>
              <w:topLinePunct w:val="0"/>
              <w:autoSpaceDE w:val="0"/>
              <w:autoSpaceDN w:val="0"/>
              <w:bidi w:val="0"/>
              <w:adjustRightInd w:val="0"/>
              <w:snapToGrid w:val="0"/>
              <w:spacing w:before="0" w:after="0" w:line="360" w:lineRule="auto"/>
              <w:ind w:right="0"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大气环境质量现状监测及评价结果见表3-4。</w:t>
            </w:r>
          </w:p>
          <w:p w14:paraId="1A036D73">
            <w:pPr>
              <w:pStyle w:val="61"/>
              <w:bidi w:val="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表</w:t>
            </w:r>
            <w:r>
              <w:rPr>
                <w:rFonts w:hint="default" w:ascii="Times New Roman" w:hAnsi="Times New Roman" w:cs="Times New Roman"/>
                <w:color w:val="auto"/>
                <w:sz w:val="21"/>
                <w:szCs w:val="21"/>
                <w:highlight w:val="none"/>
                <w:lang w:val="en-US" w:eastAsia="zh-CN"/>
              </w:rPr>
              <w:t>3-4</w:t>
            </w:r>
            <w:r>
              <w:rPr>
                <w:rFonts w:hint="default" w:ascii="Times New Roman" w:hAnsi="Times New Roman" w:cs="Times New Roman"/>
                <w:color w:val="auto"/>
                <w:sz w:val="21"/>
                <w:szCs w:val="21"/>
                <w:highlight w:val="none"/>
              </w:rPr>
              <w:t xml:space="preserve">    </w:t>
            </w:r>
            <w:r>
              <w:rPr>
                <w:rFonts w:hint="default" w:ascii="Times New Roman" w:hAnsi="Times New Roman" w:cs="Times New Roman"/>
                <w:color w:val="auto"/>
                <w:sz w:val="21"/>
                <w:szCs w:val="21"/>
                <w:highlight w:val="none"/>
                <w:lang w:val="en-US" w:eastAsia="zh-CN"/>
              </w:rPr>
              <w:t>TSP</w:t>
            </w:r>
            <w:r>
              <w:rPr>
                <w:rFonts w:hint="default" w:ascii="Times New Roman" w:hAnsi="Times New Roman" w:cs="Times New Roman"/>
                <w:color w:val="auto"/>
                <w:sz w:val="21"/>
                <w:szCs w:val="21"/>
                <w:highlight w:val="none"/>
              </w:rPr>
              <w:t>现状监测</w:t>
            </w:r>
            <w:r>
              <w:rPr>
                <w:rFonts w:hint="default" w:ascii="Times New Roman" w:hAnsi="Times New Roman" w:cs="Times New Roman"/>
                <w:color w:val="auto"/>
                <w:sz w:val="21"/>
                <w:szCs w:val="21"/>
                <w:highlight w:val="none"/>
                <w:lang w:val="en-US" w:eastAsia="zh-CN"/>
              </w:rPr>
              <w:t>日</w:t>
            </w:r>
            <w:r>
              <w:rPr>
                <w:rFonts w:hint="default" w:ascii="Times New Roman" w:hAnsi="Times New Roman" w:cs="Times New Roman"/>
                <w:color w:val="auto"/>
                <w:sz w:val="21"/>
                <w:szCs w:val="21"/>
                <w:highlight w:val="none"/>
              </w:rPr>
              <w:t>均浓度统计及评价结果</w:t>
            </w:r>
            <w:r>
              <w:rPr>
                <w:rFonts w:hint="default" w:ascii="Times New Roman" w:hAnsi="Times New Roman" w:cs="Times New Roman"/>
                <w:color w:val="auto"/>
                <w:sz w:val="21"/>
                <w:szCs w:val="21"/>
                <w:highlight w:val="none"/>
                <w:lang w:eastAsia="zh-CN"/>
              </w:rPr>
              <w:t>表</w:t>
            </w:r>
          </w:p>
          <w:tbl>
            <w:tblPr>
              <w:tblStyle w:val="3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1166"/>
              <w:gridCol w:w="1712"/>
              <w:gridCol w:w="2295"/>
              <w:gridCol w:w="2135"/>
            </w:tblGrid>
            <w:tr w14:paraId="53E1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noWrap w:val="0"/>
                  <w:vAlign w:val="center"/>
                </w:tcPr>
                <w:p w14:paraId="33882243">
                  <w:pPr>
                    <w:pStyle w:val="62"/>
                    <w:widowControl w:val="0"/>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监测因子</w:t>
                  </w:r>
                </w:p>
              </w:tc>
              <w:tc>
                <w:tcPr>
                  <w:tcW w:w="690" w:type="pct"/>
                  <w:noWrap w:val="0"/>
                  <w:vAlign w:val="center"/>
                </w:tcPr>
                <w:p w14:paraId="62F3DC86">
                  <w:pPr>
                    <w:pStyle w:val="62"/>
                    <w:widowControl w:val="0"/>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监测点位</w:t>
                  </w:r>
                </w:p>
              </w:tc>
              <w:tc>
                <w:tcPr>
                  <w:tcW w:w="1013" w:type="pct"/>
                  <w:noWrap w:val="0"/>
                  <w:vAlign w:val="center"/>
                </w:tcPr>
                <w:p w14:paraId="63A2C58F">
                  <w:pPr>
                    <w:pStyle w:val="62"/>
                    <w:widowControl w:val="0"/>
                    <w:bidi w:val="0"/>
                    <w:rPr>
                      <w:rFonts w:hint="default" w:ascii="Times New Roman" w:hAnsi="Times New Roman" w:cs="Times New Roman"/>
                      <w:b/>
                      <w:bCs/>
                      <w:color w:val="auto"/>
                      <w:sz w:val="21"/>
                      <w:szCs w:val="21"/>
                      <w:highlight w:val="none"/>
                      <w:lang w:val="zh-TW" w:eastAsia="zh-CN"/>
                    </w:rPr>
                  </w:pPr>
                  <w:r>
                    <w:rPr>
                      <w:rFonts w:hint="default" w:ascii="Times New Roman" w:hAnsi="Times New Roman" w:cs="Times New Roman"/>
                      <w:b/>
                      <w:bCs/>
                      <w:color w:val="auto"/>
                      <w:sz w:val="21"/>
                      <w:szCs w:val="21"/>
                      <w:highlight w:val="none"/>
                      <w:lang w:val="en-US" w:eastAsia="zh-CN"/>
                    </w:rPr>
                    <w:t>采样时间</w:t>
                  </w:r>
                </w:p>
              </w:tc>
              <w:tc>
                <w:tcPr>
                  <w:tcW w:w="1358" w:type="pct"/>
                  <w:noWrap w:val="0"/>
                  <w:vAlign w:val="center"/>
                </w:tcPr>
                <w:p w14:paraId="0CC7F20F">
                  <w:pPr>
                    <w:pStyle w:val="62"/>
                    <w:widowControl w:val="0"/>
                    <w:bidi w:val="0"/>
                    <w:rPr>
                      <w:rFonts w:hint="default" w:ascii="Times New Roman" w:hAnsi="Times New Roman" w:cs="Times New Roman"/>
                      <w:b/>
                      <w:bCs/>
                      <w:color w:val="auto"/>
                      <w:sz w:val="21"/>
                      <w:szCs w:val="21"/>
                      <w:highlight w:val="none"/>
                      <w:lang w:val="zh-TW" w:eastAsia="zh-CN"/>
                    </w:rPr>
                  </w:pPr>
                  <w:r>
                    <w:rPr>
                      <w:rFonts w:hint="default" w:ascii="Times New Roman" w:hAnsi="Times New Roman" w:cs="Times New Roman"/>
                      <w:b/>
                      <w:bCs/>
                      <w:color w:val="auto"/>
                      <w:sz w:val="21"/>
                      <w:szCs w:val="21"/>
                      <w:highlight w:val="none"/>
                      <w:lang w:val="en-US" w:eastAsia="zh-CN"/>
                    </w:rPr>
                    <w:t>监测结果mg/m</w:t>
                  </w:r>
                  <w:r>
                    <w:rPr>
                      <w:rFonts w:hint="default" w:ascii="Times New Roman" w:hAnsi="Times New Roman" w:cs="Times New Roman"/>
                      <w:b/>
                      <w:bCs/>
                      <w:color w:val="auto"/>
                      <w:sz w:val="21"/>
                      <w:szCs w:val="21"/>
                      <w:highlight w:val="none"/>
                      <w:vertAlign w:val="superscript"/>
                      <w:lang w:val="en-US" w:eastAsia="zh-CN"/>
                    </w:rPr>
                    <w:t>3</w:t>
                  </w:r>
                </w:p>
              </w:tc>
              <w:tc>
                <w:tcPr>
                  <w:tcW w:w="1263" w:type="pct"/>
                  <w:noWrap w:val="0"/>
                  <w:vAlign w:val="center"/>
                </w:tcPr>
                <w:p w14:paraId="49690EA2">
                  <w:pPr>
                    <w:pStyle w:val="62"/>
                    <w:widowControl w:val="0"/>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最大浓度占标率%</w:t>
                  </w:r>
                </w:p>
              </w:tc>
            </w:tr>
            <w:tr w14:paraId="5830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restart"/>
                  <w:tcBorders>
                    <w:tl2br w:val="nil"/>
                    <w:tr2bl w:val="nil"/>
                  </w:tcBorders>
                  <w:noWrap w:val="0"/>
                  <w:vAlign w:val="center"/>
                </w:tcPr>
                <w:p w14:paraId="0F123243">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TSP</w:t>
                  </w:r>
                </w:p>
              </w:tc>
              <w:tc>
                <w:tcPr>
                  <w:tcW w:w="690" w:type="pct"/>
                  <w:vMerge w:val="restart"/>
                  <w:tcBorders>
                    <w:tl2br w:val="nil"/>
                    <w:tr2bl w:val="nil"/>
                  </w:tcBorders>
                  <w:noWrap w:val="0"/>
                  <w:vAlign w:val="center"/>
                </w:tcPr>
                <w:p w14:paraId="3984E17D">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013" w:type="pct"/>
                  <w:tcBorders>
                    <w:tl2br w:val="nil"/>
                    <w:tr2bl w:val="nil"/>
                  </w:tcBorders>
                  <w:noWrap w:val="0"/>
                  <w:vAlign w:val="center"/>
                </w:tcPr>
                <w:p w14:paraId="3F7678BA">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12月14日</w:t>
                  </w:r>
                </w:p>
              </w:tc>
              <w:tc>
                <w:tcPr>
                  <w:tcW w:w="1358" w:type="pct"/>
                  <w:tcBorders>
                    <w:tl2br w:val="nil"/>
                    <w:tr2bl w:val="nil"/>
                  </w:tcBorders>
                  <w:noWrap w:val="0"/>
                  <w:vAlign w:val="center"/>
                </w:tcPr>
                <w:p w14:paraId="75BA940C">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0.164</w:t>
                  </w:r>
                </w:p>
              </w:tc>
              <w:tc>
                <w:tcPr>
                  <w:tcW w:w="1263" w:type="pct"/>
                  <w:tcBorders>
                    <w:tl2br w:val="nil"/>
                    <w:tr2bl w:val="nil"/>
                  </w:tcBorders>
                  <w:noWrap w:val="0"/>
                  <w:vAlign w:val="center"/>
                </w:tcPr>
                <w:p w14:paraId="3BA463F7">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54.67</w:t>
                  </w:r>
                </w:p>
              </w:tc>
            </w:tr>
            <w:tr w14:paraId="0F06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316D684F">
                  <w:pPr>
                    <w:pStyle w:val="62"/>
                    <w:widowControl w:val="0"/>
                    <w:bidi w:val="0"/>
                    <w:rPr>
                      <w:rFonts w:hint="default" w:ascii="Times New Roman" w:hAnsi="Times New Roman" w:cs="Times New Roman"/>
                      <w:color w:val="auto"/>
                      <w:sz w:val="21"/>
                      <w:szCs w:val="21"/>
                      <w:highlight w:val="none"/>
                      <w:lang w:val="en-US" w:eastAsia="zh-CN"/>
                    </w:rPr>
                  </w:pPr>
                </w:p>
              </w:tc>
              <w:tc>
                <w:tcPr>
                  <w:tcW w:w="690" w:type="pct"/>
                  <w:vMerge w:val="continue"/>
                  <w:tcBorders>
                    <w:tl2br w:val="nil"/>
                    <w:tr2bl w:val="nil"/>
                  </w:tcBorders>
                  <w:noWrap w:val="0"/>
                  <w:vAlign w:val="center"/>
                </w:tcPr>
                <w:p w14:paraId="621199ED">
                  <w:pPr>
                    <w:pStyle w:val="62"/>
                    <w:widowControl w:val="0"/>
                    <w:bidi w:val="0"/>
                    <w:rPr>
                      <w:rFonts w:hint="default" w:ascii="Times New Roman" w:hAnsi="Times New Roman" w:cs="Times New Roman"/>
                      <w:color w:val="auto"/>
                      <w:sz w:val="21"/>
                      <w:szCs w:val="21"/>
                      <w:highlight w:val="none"/>
                      <w:lang w:val="en-US" w:eastAsia="zh-CN"/>
                    </w:rPr>
                  </w:pPr>
                </w:p>
              </w:tc>
              <w:tc>
                <w:tcPr>
                  <w:tcW w:w="1013" w:type="pct"/>
                  <w:tcBorders>
                    <w:tl2br w:val="nil"/>
                    <w:tr2bl w:val="nil"/>
                  </w:tcBorders>
                  <w:noWrap w:val="0"/>
                  <w:vAlign w:val="center"/>
                </w:tcPr>
                <w:p w14:paraId="786FB293">
                  <w:pPr>
                    <w:pStyle w:val="62"/>
                    <w:widowControl w:val="0"/>
                    <w:bidi w:val="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12月15日</w:t>
                  </w:r>
                </w:p>
              </w:tc>
              <w:tc>
                <w:tcPr>
                  <w:tcW w:w="1358" w:type="pct"/>
                  <w:tcBorders>
                    <w:tl2br w:val="nil"/>
                    <w:tr2bl w:val="nil"/>
                  </w:tcBorders>
                  <w:noWrap w:val="0"/>
                  <w:vAlign w:val="center"/>
                </w:tcPr>
                <w:p w14:paraId="7F183323">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0.172</w:t>
                  </w:r>
                </w:p>
              </w:tc>
              <w:tc>
                <w:tcPr>
                  <w:tcW w:w="1263" w:type="pct"/>
                  <w:tcBorders>
                    <w:tl2br w:val="nil"/>
                    <w:tr2bl w:val="nil"/>
                  </w:tcBorders>
                  <w:noWrap w:val="0"/>
                  <w:vAlign w:val="center"/>
                </w:tcPr>
                <w:p w14:paraId="726A4D2F">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57.33</w:t>
                  </w:r>
                </w:p>
              </w:tc>
            </w:tr>
            <w:tr w14:paraId="2183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2306FC50">
                  <w:pPr>
                    <w:pStyle w:val="62"/>
                    <w:widowControl w:val="0"/>
                    <w:bidi w:val="0"/>
                    <w:rPr>
                      <w:rFonts w:hint="default" w:ascii="Times New Roman" w:hAnsi="Times New Roman" w:cs="Times New Roman"/>
                      <w:color w:val="auto"/>
                      <w:sz w:val="21"/>
                      <w:szCs w:val="21"/>
                      <w:highlight w:val="none"/>
                      <w:lang w:val="en-US" w:eastAsia="zh-CN"/>
                    </w:rPr>
                  </w:pPr>
                </w:p>
              </w:tc>
              <w:tc>
                <w:tcPr>
                  <w:tcW w:w="690" w:type="pct"/>
                  <w:vMerge w:val="continue"/>
                  <w:tcBorders>
                    <w:tl2br w:val="nil"/>
                    <w:tr2bl w:val="nil"/>
                  </w:tcBorders>
                  <w:noWrap w:val="0"/>
                  <w:vAlign w:val="center"/>
                </w:tcPr>
                <w:p w14:paraId="0792B372">
                  <w:pPr>
                    <w:pStyle w:val="62"/>
                    <w:widowControl w:val="0"/>
                    <w:bidi w:val="0"/>
                    <w:rPr>
                      <w:rFonts w:hint="default" w:ascii="Times New Roman" w:hAnsi="Times New Roman" w:cs="Times New Roman"/>
                      <w:color w:val="auto"/>
                      <w:sz w:val="21"/>
                      <w:szCs w:val="21"/>
                      <w:highlight w:val="none"/>
                      <w:lang w:val="en-US" w:eastAsia="zh-CN"/>
                    </w:rPr>
                  </w:pPr>
                </w:p>
              </w:tc>
              <w:tc>
                <w:tcPr>
                  <w:tcW w:w="1013" w:type="pct"/>
                  <w:tcBorders>
                    <w:tl2br w:val="nil"/>
                    <w:tr2bl w:val="nil"/>
                  </w:tcBorders>
                  <w:noWrap w:val="0"/>
                  <w:vAlign w:val="center"/>
                </w:tcPr>
                <w:p w14:paraId="4EC6AD40">
                  <w:pPr>
                    <w:pStyle w:val="62"/>
                    <w:widowControl w:val="0"/>
                    <w:bidi w:val="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12月16日</w:t>
                  </w:r>
                </w:p>
              </w:tc>
              <w:tc>
                <w:tcPr>
                  <w:tcW w:w="1358" w:type="pct"/>
                  <w:tcBorders>
                    <w:tl2br w:val="nil"/>
                    <w:tr2bl w:val="nil"/>
                  </w:tcBorders>
                  <w:noWrap w:val="0"/>
                  <w:vAlign w:val="center"/>
                </w:tcPr>
                <w:p w14:paraId="3F67C973">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0.151</w:t>
                  </w:r>
                </w:p>
              </w:tc>
              <w:tc>
                <w:tcPr>
                  <w:tcW w:w="1263" w:type="pct"/>
                  <w:tcBorders>
                    <w:tl2br w:val="nil"/>
                    <w:tr2bl w:val="nil"/>
                  </w:tcBorders>
                  <w:noWrap w:val="0"/>
                  <w:vAlign w:val="center"/>
                </w:tcPr>
                <w:p w14:paraId="2D0E8B65">
                  <w:pPr>
                    <w:pStyle w:val="62"/>
                    <w:widowControl w:val="0"/>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50.33</w:t>
                  </w:r>
                </w:p>
              </w:tc>
            </w:tr>
          </w:tbl>
          <w:p w14:paraId="4EDD391F">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p>
          <w:p w14:paraId="3742D9A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表3-</w:t>
            </w:r>
            <w:r>
              <w:rPr>
                <w:rFonts w:hint="default" w:ascii="Times New Roman" w:hAnsi="Times New Roman" w:eastAsia="宋体" w:cs="Times New Roman"/>
                <w:b/>
                <w:bCs/>
                <w:color w:val="auto"/>
                <w:spacing w:val="0"/>
                <w:w w:val="100"/>
                <w:position w:val="0"/>
                <w:sz w:val="21"/>
                <w:szCs w:val="21"/>
                <w:highlight w:val="none"/>
                <w:lang w:val="en-US" w:eastAsia="zh-CN"/>
              </w:rPr>
              <w:t xml:space="preserve">5 </w:t>
            </w:r>
            <w:r>
              <w:rPr>
                <w:rFonts w:hint="default" w:ascii="Times New Roman" w:hAnsi="Times New Roman" w:eastAsia="宋体" w:cs="Times New Roman"/>
                <w:b/>
                <w:bCs/>
                <w:color w:val="auto"/>
                <w:spacing w:val="0"/>
                <w:w w:val="100"/>
                <w:position w:val="0"/>
                <w:sz w:val="21"/>
                <w:szCs w:val="21"/>
                <w:highlight w:val="none"/>
              </w:rPr>
              <w:t>空气质量监测结果</w:t>
            </w:r>
            <w:r>
              <w:rPr>
                <w:rFonts w:hint="default" w:ascii="Times New Roman" w:hAnsi="Times New Roman" w:cs="Times New Roman"/>
                <w:b/>
                <w:bCs/>
                <w:color w:val="auto"/>
                <w:spacing w:val="0"/>
                <w:w w:val="100"/>
                <w:position w:val="0"/>
                <w:sz w:val="21"/>
                <w:szCs w:val="21"/>
                <w:highlight w:val="none"/>
                <w:lang w:eastAsia="zh-CN"/>
              </w:rPr>
              <w:t>（</w:t>
            </w:r>
            <w:r>
              <w:rPr>
                <w:rFonts w:hint="eastAsia" w:ascii="Times New Roman" w:hAnsi="Times New Roman" w:cs="Times New Roman"/>
                <w:b/>
                <w:bCs/>
                <w:color w:val="auto"/>
                <w:spacing w:val="0"/>
                <w:w w:val="100"/>
                <w:position w:val="0"/>
                <w:sz w:val="21"/>
                <w:szCs w:val="21"/>
                <w:highlight w:val="none"/>
                <w:lang w:val="en-US" w:eastAsia="zh-CN"/>
              </w:rPr>
              <w:t>非甲烷总烃</w:t>
            </w:r>
            <w:r>
              <w:rPr>
                <w:rFonts w:hint="default" w:ascii="Times New Roman" w:hAnsi="Times New Roman" w:cs="Times New Roman"/>
                <w:b/>
                <w:bCs/>
                <w:color w:val="auto"/>
                <w:spacing w:val="0"/>
                <w:w w:val="100"/>
                <w:position w:val="0"/>
                <w:sz w:val="21"/>
                <w:szCs w:val="21"/>
                <w:highlight w:val="none"/>
                <w:lang w:eastAsia="zh-CN"/>
              </w:rPr>
              <w:t>）</w:t>
            </w:r>
          </w:p>
          <w:tbl>
            <w:tblPr>
              <w:tblStyle w:val="29"/>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2004"/>
              <w:gridCol w:w="1526"/>
              <w:gridCol w:w="1953"/>
              <w:gridCol w:w="1953"/>
            </w:tblGrid>
            <w:tr w14:paraId="4950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597" w:type="pct"/>
                  <w:vMerge w:val="restart"/>
                  <w:noWrap w:val="0"/>
                  <w:vAlign w:val="center"/>
                </w:tcPr>
                <w:p w14:paraId="00900861">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采样点</w:t>
                  </w:r>
                </w:p>
              </w:tc>
              <w:tc>
                <w:tcPr>
                  <w:tcW w:w="1186" w:type="pct"/>
                  <w:vMerge w:val="restart"/>
                  <w:noWrap w:val="0"/>
                  <w:vAlign w:val="center"/>
                </w:tcPr>
                <w:p w14:paraId="179B3432">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采样日期</w:t>
                  </w:r>
                </w:p>
              </w:tc>
              <w:tc>
                <w:tcPr>
                  <w:tcW w:w="903" w:type="pct"/>
                  <w:vMerge w:val="restart"/>
                  <w:noWrap w:val="0"/>
                  <w:vAlign w:val="center"/>
                </w:tcPr>
                <w:p w14:paraId="0F782D3E">
                  <w:pPr>
                    <w:pageBreakBefore w:val="0"/>
                    <w:shd w:val="clear"/>
                    <w:bidi w:val="0"/>
                    <w:spacing w:beforeAutospacing="0" w:afterAutospacing="0"/>
                    <w:ind w:left="0" w:leftChars="0" w:right="0" w:rightChars="0"/>
                    <w:jc w:val="center"/>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样品编号</w:t>
                  </w:r>
                </w:p>
              </w:tc>
              <w:tc>
                <w:tcPr>
                  <w:tcW w:w="1156" w:type="pct"/>
                  <w:noWrap w:val="0"/>
                  <w:vAlign w:val="center"/>
                </w:tcPr>
                <w:p w14:paraId="7D8A2857">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检测结果（mg/m</w:t>
                  </w:r>
                  <w:r>
                    <w:rPr>
                      <w:rFonts w:hint="default" w:ascii="Times New Roman" w:hAnsi="Times New Roman" w:cs="Times New Roman"/>
                      <w:b/>
                      <w:bCs/>
                      <w:color w:val="auto"/>
                      <w:spacing w:val="0"/>
                      <w:w w:val="100"/>
                      <w:position w:val="0"/>
                      <w:sz w:val="21"/>
                      <w:szCs w:val="21"/>
                      <w:highlight w:val="none"/>
                      <w:vertAlign w:val="superscript"/>
                    </w:rPr>
                    <w:t>3</w:t>
                  </w:r>
                  <w:r>
                    <w:rPr>
                      <w:rFonts w:hint="default" w:ascii="Times New Roman" w:hAnsi="Times New Roman" w:cs="Times New Roman"/>
                      <w:b/>
                      <w:bCs/>
                      <w:color w:val="auto"/>
                      <w:spacing w:val="0"/>
                      <w:w w:val="100"/>
                      <w:position w:val="0"/>
                      <w:sz w:val="21"/>
                      <w:szCs w:val="21"/>
                      <w:highlight w:val="none"/>
                    </w:rPr>
                    <w:t>）</w:t>
                  </w:r>
                </w:p>
              </w:tc>
              <w:tc>
                <w:tcPr>
                  <w:tcW w:w="1156" w:type="pct"/>
                  <w:vMerge w:val="restart"/>
                  <w:noWrap w:val="0"/>
                  <w:vAlign w:val="center"/>
                </w:tcPr>
                <w:p w14:paraId="449F72B4">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z w:val="21"/>
                      <w:szCs w:val="21"/>
                      <w:highlight w:val="none"/>
                      <w:lang w:val="en-US" w:eastAsia="zh-CN"/>
                    </w:rPr>
                    <w:t>最大浓度占标率%</w:t>
                  </w:r>
                </w:p>
              </w:tc>
            </w:tr>
            <w:tr w14:paraId="1D4B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exact"/>
              </w:trPr>
              <w:tc>
                <w:tcPr>
                  <w:tcW w:w="597" w:type="pct"/>
                  <w:vMerge w:val="continue"/>
                  <w:noWrap w:val="0"/>
                  <w:vAlign w:val="center"/>
                </w:tcPr>
                <w:p w14:paraId="5325D37B">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p>
              </w:tc>
              <w:tc>
                <w:tcPr>
                  <w:tcW w:w="1186" w:type="pct"/>
                  <w:vMerge w:val="continue"/>
                  <w:noWrap w:val="0"/>
                  <w:vAlign w:val="center"/>
                </w:tcPr>
                <w:p w14:paraId="1DE99A55">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p>
              </w:tc>
              <w:tc>
                <w:tcPr>
                  <w:tcW w:w="903" w:type="pct"/>
                  <w:vMerge w:val="continue"/>
                  <w:noWrap w:val="0"/>
                  <w:vAlign w:val="center"/>
                </w:tcPr>
                <w:p w14:paraId="14D5E033">
                  <w:pPr>
                    <w:pageBreakBefore w:val="0"/>
                    <w:shd w:val="clear"/>
                    <w:bidi w:val="0"/>
                    <w:spacing w:beforeAutospacing="0" w:afterAutospacing="0"/>
                    <w:ind w:left="0" w:leftChars="0" w:right="0" w:rightChars="0"/>
                    <w:jc w:val="center"/>
                    <w:rPr>
                      <w:rFonts w:hint="default" w:ascii="Times New Roman" w:hAnsi="Times New Roman" w:cs="Times New Roman"/>
                      <w:b/>
                      <w:bCs/>
                      <w:color w:val="auto"/>
                      <w:spacing w:val="0"/>
                      <w:w w:val="100"/>
                      <w:position w:val="0"/>
                      <w:sz w:val="21"/>
                      <w:szCs w:val="21"/>
                      <w:highlight w:val="none"/>
                    </w:rPr>
                  </w:pPr>
                </w:p>
              </w:tc>
              <w:tc>
                <w:tcPr>
                  <w:tcW w:w="1156" w:type="pct"/>
                  <w:noWrap w:val="0"/>
                  <w:vAlign w:val="center"/>
                </w:tcPr>
                <w:p w14:paraId="66FF14FD">
                  <w:pPr>
                    <w:pStyle w:val="65"/>
                    <w:pageBreakBefore w:val="0"/>
                    <w:shd w:val="clear"/>
                    <w:bidi w:val="0"/>
                    <w:spacing w:beforeAutospacing="0" w:afterAutospacing="0"/>
                    <w:ind w:left="0" w:leftChars="0" w:right="0" w:rightChars="0"/>
                    <w:rPr>
                      <w:rFonts w:hint="default" w:ascii="Times New Roman" w:hAnsi="Times New Roman" w:eastAsia="宋体" w:cs="Times New Roman"/>
                      <w:b/>
                      <w:bCs/>
                      <w:color w:val="auto"/>
                      <w:spacing w:val="0"/>
                      <w:w w:val="100"/>
                      <w:position w:val="0"/>
                      <w:sz w:val="21"/>
                      <w:szCs w:val="21"/>
                      <w:highlight w:val="none"/>
                      <w:lang w:val="en-US" w:eastAsia="zh-CN"/>
                    </w:rPr>
                  </w:pPr>
                  <w:r>
                    <w:rPr>
                      <w:rFonts w:hint="eastAsia" w:ascii="Times New Roman" w:hAnsi="Times New Roman" w:eastAsia="宋体" w:cs="Times New Roman"/>
                      <w:b/>
                      <w:bCs/>
                      <w:color w:val="auto"/>
                      <w:spacing w:val="0"/>
                      <w:w w:val="100"/>
                      <w:position w:val="0"/>
                      <w:sz w:val="21"/>
                      <w:szCs w:val="21"/>
                      <w:highlight w:val="none"/>
                      <w:lang w:val="en-US" w:eastAsia="zh-CN"/>
                    </w:rPr>
                    <w:t>非甲烷总烃</w:t>
                  </w:r>
                </w:p>
              </w:tc>
              <w:tc>
                <w:tcPr>
                  <w:tcW w:w="1156" w:type="pct"/>
                  <w:vMerge w:val="continue"/>
                  <w:noWrap w:val="0"/>
                  <w:vAlign w:val="center"/>
                </w:tcPr>
                <w:p w14:paraId="6C9653D3">
                  <w:pPr>
                    <w:pStyle w:val="65"/>
                    <w:pageBreakBefore w:val="0"/>
                    <w:shd w:val="clear"/>
                    <w:bidi w:val="0"/>
                    <w:spacing w:beforeAutospacing="0" w:afterAutospacing="0"/>
                    <w:ind w:left="0" w:leftChars="0" w:right="0" w:rightChars="0"/>
                    <w:rPr>
                      <w:rFonts w:hint="default" w:ascii="Times New Roman" w:hAnsi="Times New Roman" w:eastAsia="宋体" w:cs="Times New Roman"/>
                      <w:b/>
                      <w:bCs/>
                      <w:color w:val="auto"/>
                      <w:spacing w:val="0"/>
                      <w:w w:val="100"/>
                      <w:position w:val="0"/>
                      <w:sz w:val="21"/>
                      <w:szCs w:val="21"/>
                      <w:highlight w:val="none"/>
                      <w:lang w:val="en-US" w:eastAsia="zh-CN"/>
                    </w:rPr>
                  </w:pPr>
                </w:p>
              </w:tc>
            </w:tr>
            <w:tr w14:paraId="1E43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97" w:type="pct"/>
                  <w:vMerge w:val="restart"/>
                  <w:tcBorders>
                    <w:tl2br w:val="nil"/>
                    <w:tr2bl w:val="nil"/>
                  </w:tcBorders>
                  <w:noWrap w:val="0"/>
                  <w:vAlign w:val="center"/>
                </w:tcPr>
                <w:p w14:paraId="500CFA42">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lang w:eastAsia="zh-CN"/>
                    </w:rPr>
                    <w:t>厂界</w:t>
                  </w:r>
                  <w:r>
                    <w:rPr>
                      <w:rFonts w:hint="default" w:ascii="Times New Roman" w:hAnsi="Times New Roman" w:cs="Times New Roman"/>
                      <w:color w:val="auto"/>
                      <w:spacing w:val="0"/>
                      <w:w w:val="100"/>
                      <w:position w:val="0"/>
                      <w:sz w:val="21"/>
                      <w:szCs w:val="21"/>
                      <w:highlight w:val="none"/>
                    </w:rPr>
                    <w:t>下</w:t>
                  </w:r>
                </w:p>
                <w:p w14:paraId="15CB675E">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风向</w:t>
                  </w:r>
                </w:p>
              </w:tc>
              <w:tc>
                <w:tcPr>
                  <w:tcW w:w="1186" w:type="pct"/>
                  <w:vMerge w:val="restart"/>
                  <w:tcBorders>
                    <w:tl2br w:val="nil"/>
                    <w:tr2bl w:val="nil"/>
                  </w:tcBorders>
                  <w:noWrap w:val="0"/>
                  <w:vAlign w:val="center"/>
                </w:tcPr>
                <w:p w14:paraId="3B931031">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lang w:val="en-US"/>
                    </w:rPr>
                  </w:pPr>
                  <w:r>
                    <w:rPr>
                      <w:rFonts w:hint="default" w:ascii="Times New Roman" w:hAnsi="Times New Roman" w:cs="Times New Roman"/>
                      <w:color w:val="auto"/>
                      <w:spacing w:val="0"/>
                      <w:w w:val="100"/>
                      <w:position w:val="0"/>
                      <w:sz w:val="21"/>
                      <w:szCs w:val="21"/>
                      <w:highlight w:val="none"/>
                      <w:lang w:val="en-US"/>
                    </w:rPr>
                    <w:t>202</w:t>
                  </w:r>
                  <w:r>
                    <w:rPr>
                      <w:rFonts w:hint="default" w:ascii="Times New Roman" w:hAnsi="Times New Roman" w:cs="Times New Roman"/>
                      <w:color w:val="auto"/>
                      <w:spacing w:val="0"/>
                      <w:w w:val="100"/>
                      <w:position w:val="0"/>
                      <w:sz w:val="21"/>
                      <w:szCs w:val="21"/>
                      <w:highlight w:val="none"/>
                      <w:lang w:val="en-US" w:eastAsia="zh-CN"/>
                    </w:rPr>
                    <w:t>3</w:t>
                  </w:r>
                  <w:r>
                    <w:rPr>
                      <w:rFonts w:hint="default" w:ascii="Times New Roman" w:hAnsi="Times New Roman" w:cs="Times New Roman"/>
                      <w:color w:val="auto"/>
                      <w:spacing w:val="0"/>
                      <w:w w:val="100"/>
                      <w:position w:val="0"/>
                      <w:sz w:val="21"/>
                      <w:szCs w:val="21"/>
                      <w:highlight w:val="none"/>
                      <w:lang w:val="en-US"/>
                    </w:rPr>
                    <w:t>年</w:t>
                  </w:r>
                  <w:r>
                    <w:rPr>
                      <w:rFonts w:hint="default" w:ascii="Times New Roman" w:hAnsi="Times New Roman" w:cs="Times New Roman"/>
                      <w:color w:val="auto"/>
                      <w:spacing w:val="0"/>
                      <w:w w:val="100"/>
                      <w:position w:val="0"/>
                      <w:sz w:val="21"/>
                      <w:szCs w:val="21"/>
                      <w:highlight w:val="none"/>
                      <w:lang w:val="en-US" w:eastAsia="zh-CN"/>
                    </w:rPr>
                    <w:t>1</w:t>
                  </w:r>
                  <w:r>
                    <w:rPr>
                      <w:rFonts w:hint="default" w:ascii="Times New Roman" w:hAnsi="Times New Roman" w:cs="Times New Roman"/>
                      <w:color w:val="auto"/>
                      <w:spacing w:val="0"/>
                      <w:w w:val="100"/>
                      <w:position w:val="0"/>
                      <w:sz w:val="21"/>
                      <w:szCs w:val="21"/>
                      <w:highlight w:val="none"/>
                      <w:lang w:val="en-US"/>
                    </w:rPr>
                    <w:t>月</w:t>
                  </w:r>
                  <w:r>
                    <w:rPr>
                      <w:rFonts w:hint="default" w:ascii="Times New Roman" w:hAnsi="Times New Roman" w:cs="Times New Roman"/>
                      <w:color w:val="auto"/>
                      <w:spacing w:val="0"/>
                      <w:w w:val="100"/>
                      <w:position w:val="0"/>
                      <w:sz w:val="21"/>
                      <w:szCs w:val="21"/>
                      <w:highlight w:val="none"/>
                      <w:lang w:val="en-US" w:eastAsia="zh-CN"/>
                    </w:rPr>
                    <w:t>12</w:t>
                  </w:r>
                  <w:r>
                    <w:rPr>
                      <w:rFonts w:hint="default" w:ascii="Times New Roman" w:hAnsi="Times New Roman" w:cs="Times New Roman"/>
                      <w:color w:val="auto"/>
                      <w:spacing w:val="0"/>
                      <w:w w:val="100"/>
                      <w:position w:val="0"/>
                      <w:sz w:val="21"/>
                      <w:szCs w:val="21"/>
                      <w:highlight w:val="none"/>
                      <w:lang w:val="en-US"/>
                    </w:rPr>
                    <w:t>日</w:t>
                  </w:r>
                </w:p>
              </w:tc>
              <w:tc>
                <w:tcPr>
                  <w:tcW w:w="903" w:type="pct"/>
                  <w:tcBorders>
                    <w:tl2br w:val="nil"/>
                    <w:tr2bl w:val="nil"/>
                  </w:tcBorders>
                  <w:noWrap w:val="0"/>
                  <w:vAlign w:val="center"/>
                </w:tcPr>
                <w:p w14:paraId="0FC3A74C">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0055-1-1-1</w:t>
                  </w:r>
                </w:p>
              </w:tc>
              <w:tc>
                <w:tcPr>
                  <w:tcW w:w="1156" w:type="pct"/>
                  <w:tcBorders>
                    <w:tl2br w:val="nil"/>
                    <w:tr2bl w:val="nil"/>
                  </w:tcBorders>
                  <w:noWrap w:val="0"/>
                  <w:vAlign w:val="center"/>
                </w:tcPr>
                <w:p w14:paraId="19A9EFF0">
                  <w:pPr>
                    <w:pageBreakBefore w:val="0"/>
                    <w:widowControl/>
                    <w:shd w:val="clear"/>
                    <w:bidi w:val="0"/>
                    <w:spacing w:beforeAutospacing="0" w:afterAutospacing="0"/>
                    <w:ind w:left="0" w:leftChars="0" w:right="0" w:rightChars="0"/>
                    <w:jc w:val="center"/>
                    <w:textAlignment w:val="center"/>
                    <w:rPr>
                      <w:rFonts w:hint="default" w:ascii="Times New Roman" w:hAnsi="Times New Roman" w:eastAsia="宋体" w:cs="Times New Roman"/>
                      <w:color w:val="auto"/>
                      <w:spacing w:val="0"/>
                      <w:w w:val="100"/>
                      <w:kern w:val="0"/>
                      <w:position w:val="0"/>
                      <w:sz w:val="21"/>
                      <w:szCs w:val="21"/>
                      <w:highlight w:val="none"/>
                      <w:lang w:val="en-US" w:eastAsia="zh-CN" w:bidi="ar"/>
                    </w:rPr>
                  </w:pPr>
                  <w:r>
                    <w:rPr>
                      <w:rFonts w:hint="default" w:ascii="Times New Roman" w:hAnsi="Times New Roman" w:eastAsia="宋体" w:cs="Times New Roman"/>
                      <w:color w:val="auto"/>
                      <w:spacing w:val="0"/>
                      <w:w w:val="100"/>
                      <w:kern w:val="0"/>
                      <w:position w:val="0"/>
                      <w:sz w:val="21"/>
                      <w:szCs w:val="21"/>
                      <w:highlight w:val="none"/>
                      <w:lang w:val="en-US" w:eastAsia="zh-CN" w:bidi="ar"/>
                    </w:rPr>
                    <w:t>1.13</w:t>
                  </w:r>
                </w:p>
              </w:tc>
              <w:tc>
                <w:tcPr>
                  <w:tcW w:w="1156" w:type="pct"/>
                  <w:tcBorders>
                    <w:tl2br w:val="nil"/>
                    <w:tr2bl w:val="nil"/>
                  </w:tcBorders>
                  <w:noWrap w:val="0"/>
                  <w:vAlign w:val="center"/>
                </w:tcPr>
                <w:p w14:paraId="63C5EC7C">
                  <w:pPr>
                    <w:pageBreakBefore w:val="0"/>
                    <w:widowControl/>
                    <w:shd w:val="clear"/>
                    <w:bidi w:val="0"/>
                    <w:spacing w:beforeAutospacing="0" w:afterAutospacing="0"/>
                    <w:ind w:left="0" w:leftChars="0" w:right="0" w:rightChars="0"/>
                    <w:jc w:val="center"/>
                    <w:textAlignment w:val="center"/>
                    <w:rPr>
                      <w:rFonts w:hint="default" w:ascii="Times New Roman" w:hAnsi="Times New Roman" w:eastAsia="宋体" w:cs="Times New Roman"/>
                      <w:color w:val="auto"/>
                      <w:spacing w:val="0"/>
                      <w:w w:val="100"/>
                      <w:kern w:val="0"/>
                      <w:position w:val="0"/>
                      <w:sz w:val="21"/>
                      <w:szCs w:val="21"/>
                      <w:highlight w:val="none"/>
                      <w:lang w:val="en-US" w:eastAsia="zh-CN" w:bidi="ar"/>
                    </w:rPr>
                  </w:pPr>
                  <w:r>
                    <w:rPr>
                      <w:rFonts w:hint="default" w:ascii="Times New Roman" w:hAnsi="Times New Roman" w:eastAsia="宋体" w:cs="Times New Roman"/>
                      <w:color w:val="auto"/>
                      <w:spacing w:val="0"/>
                      <w:w w:val="100"/>
                      <w:kern w:val="0"/>
                      <w:position w:val="0"/>
                      <w:sz w:val="21"/>
                      <w:szCs w:val="21"/>
                      <w:highlight w:val="none"/>
                      <w:lang w:val="en-US" w:eastAsia="zh-CN" w:bidi="ar"/>
                    </w:rPr>
                    <w:t>56.5</w:t>
                  </w:r>
                </w:p>
              </w:tc>
            </w:tr>
            <w:tr w14:paraId="2913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97" w:type="pct"/>
                  <w:vMerge w:val="continue"/>
                  <w:tcBorders>
                    <w:tl2br w:val="nil"/>
                    <w:tr2bl w:val="nil"/>
                  </w:tcBorders>
                  <w:noWrap w:val="0"/>
                  <w:vAlign w:val="center"/>
                </w:tcPr>
                <w:p w14:paraId="0396CEF1">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86" w:type="pct"/>
                  <w:vMerge w:val="continue"/>
                  <w:tcBorders>
                    <w:tl2br w:val="nil"/>
                    <w:tr2bl w:val="nil"/>
                  </w:tcBorders>
                  <w:noWrap w:val="0"/>
                  <w:vAlign w:val="center"/>
                </w:tcPr>
                <w:p w14:paraId="0E7B2E4C">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903" w:type="pct"/>
                  <w:tcBorders>
                    <w:tl2br w:val="nil"/>
                    <w:tr2bl w:val="nil"/>
                  </w:tcBorders>
                  <w:noWrap w:val="0"/>
                  <w:vAlign w:val="center"/>
                </w:tcPr>
                <w:p w14:paraId="3989F9D4">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i w:val="0"/>
                      <w:color w:val="auto"/>
                      <w:kern w:val="0"/>
                      <w:sz w:val="21"/>
                      <w:szCs w:val="21"/>
                      <w:highlight w:val="none"/>
                      <w:u w:val="none"/>
                      <w:lang w:val="en-US" w:eastAsia="zh-CN" w:bidi="ar"/>
                    </w:rPr>
                    <w:t>0055-1-1-2</w:t>
                  </w:r>
                </w:p>
              </w:tc>
              <w:tc>
                <w:tcPr>
                  <w:tcW w:w="1156" w:type="pct"/>
                  <w:tcBorders>
                    <w:tl2br w:val="nil"/>
                    <w:tr2bl w:val="nil"/>
                  </w:tcBorders>
                  <w:noWrap w:val="0"/>
                  <w:vAlign w:val="center"/>
                </w:tcPr>
                <w:p w14:paraId="1B1D3952">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1.13</w:t>
                  </w:r>
                </w:p>
              </w:tc>
              <w:tc>
                <w:tcPr>
                  <w:tcW w:w="1156" w:type="pct"/>
                  <w:tcBorders>
                    <w:tl2br w:val="nil"/>
                    <w:tr2bl w:val="nil"/>
                  </w:tcBorders>
                  <w:noWrap w:val="0"/>
                  <w:vAlign w:val="center"/>
                </w:tcPr>
                <w:p w14:paraId="3FD094F1">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56.5</w:t>
                  </w:r>
                </w:p>
              </w:tc>
            </w:tr>
            <w:tr w14:paraId="732C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97" w:type="pct"/>
                  <w:vMerge w:val="continue"/>
                  <w:tcBorders>
                    <w:tl2br w:val="nil"/>
                    <w:tr2bl w:val="nil"/>
                  </w:tcBorders>
                  <w:noWrap w:val="0"/>
                  <w:vAlign w:val="center"/>
                </w:tcPr>
                <w:p w14:paraId="2687F82C">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186" w:type="pct"/>
                  <w:vMerge w:val="continue"/>
                  <w:tcBorders>
                    <w:tl2br w:val="nil"/>
                    <w:tr2bl w:val="nil"/>
                  </w:tcBorders>
                  <w:noWrap w:val="0"/>
                  <w:vAlign w:val="center"/>
                </w:tcPr>
                <w:p w14:paraId="29EB70F9">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903" w:type="pct"/>
                  <w:tcBorders>
                    <w:tl2br w:val="nil"/>
                    <w:tr2bl w:val="nil"/>
                  </w:tcBorders>
                  <w:noWrap w:val="0"/>
                  <w:vAlign w:val="center"/>
                </w:tcPr>
                <w:p w14:paraId="26E9FA5A">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i w:val="0"/>
                      <w:color w:val="auto"/>
                      <w:kern w:val="0"/>
                      <w:sz w:val="21"/>
                      <w:szCs w:val="21"/>
                      <w:highlight w:val="none"/>
                      <w:u w:val="none"/>
                      <w:lang w:val="en-US" w:eastAsia="zh-CN" w:bidi="ar"/>
                    </w:rPr>
                    <w:t>0055-1-1-3</w:t>
                  </w:r>
                </w:p>
              </w:tc>
              <w:tc>
                <w:tcPr>
                  <w:tcW w:w="1156" w:type="pct"/>
                  <w:tcBorders>
                    <w:tl2br w:val="nil"/>
                    <w:tr2bl w:val="nil"/>
                  </w:tcBorders>
                  <w:noWrap w:val="0"/>
                  <w:vAlign w:val="center"/>
                </w:tcPr>
                <w:p w14:paraId="1E12C3BF">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1.16</w:t>
                  </w:r>
                </w:p>
              </w:tc>
              <w:tc>
                <w:tcPr>
                  <w:tcW w:w="1156" w:type="pct"/>
                  <w:tcBorders>
                    <w:tl2br w:val="nil"/>
                    <w:tr2bl w:val="nil"/>
                  </w:tcBorders>
                  <w:noWrap w:val="0"/>
                  <w:vAlign w:val="center"/>
                </w:tcPr>
                <w:p w14:paraId="3FC9516F">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58</w:t>
                  </w:r>
                </w:p>
              </w:tc>
            </w:tr>
            <w:tr w14:paraId="3F68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97" w:type="pct"/>
                  <w:vMerge w:val="continue"/>
                  <w:tcBorders>
                    <w:tl2br w:val="nil"/>
                    <w:tr2bl w:val="nil"/>
                  </w:tcBorders>
                  <w:noWrap w:val="0"/>
                  <w:vAlign w:val="center"/>
                </w:tcPr>
                <w:p w14:paraId="5F6E4F1A">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186" w:type="pct"/>
                  <w:vMerge w:val="continue"/>
                  <w:tcBorders>
                    <w:tl2br w:val="nil"/>
                    <w:tr2bl w:val="nil"/>
                  </w:tcBorders>
                  <w:noWrap w:val="0"/>
                  <w:vAlign w:val="center"/>
                </w:tcPr>
                <w:p w14:paraId="4535DCDA">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903" w:type="pct"/>
                  <w:tcBorders>
                    <w:tl2br w:val="nil"/>
                    <w:tr2bl w:val="nil"/>
                  </w:tcBorders>
                  <w:noWrap w:val="0"/>
                  <w:vAlign w:val="center"/>
                </w:tcPr>
                <w:p w14:paraId="4947E871">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i w:val="0"/>
                      <w:color w:val="auto"/>
                      <w:kern w:val="0"/>
                      <w:sz w:val="21"/>
                      <w:szCs w:val="21"/>
                      <w:highlight w:val="none"/>
                      <w:u w:val="none"/>
                      <w:lang w:val="en-US" w:eastAsia="zh-CN" w:bidi="ar"/>
                    </w:rPr>
                    <w:t>0055-1-1-4</w:t>
                  </w:r>
                </w:p>
              </w:tc>
              <w:tc>
                <w:tcPr>
                  <w:tcW w:w="1156" w:type="pct"/>
                  <w:tcBorders>
                    <w:tl2br w:val="nil"/>
                    <w:tr2bl w:val="nil"/>
                  </w:tcBorders>
                  <w:noWrap w:val="0"/>
                  <w:vAlign w:val="center"/>
                </w:tcPr>
                <w:p w14:paraId="4BFC60E7">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1.08</w:t>
                  </w:r>
                </w:p>
              </w:tc>
              <w:tc>
                <w:tcPr>
                  <w:tcW w:w="1156" w:type="pct"/>
                  <w:tcBorders>
                    <w:tl2br w:val="nil"/>
                    <w:tr2bl w:val="nil"/>
                  </w:tcBorders>
                  <w:noWrap w:val="0"/>
                  <w:vAlign w:val="center"/>
                </w:tcPr>
                <w:p w14:paraId="5BDEAEC6">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0.54</w:t>
                  </w:r>
                </w:p>
              </w:tc>
            </w:tr>
            <w:tr w14:paraId="6826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597" w:type="pct"/>
                  <w:vMerge w:val="continue"/>
                  <w:tcBorders>
                    <w:tl2br w:val="nil"/>
                    <w:tr2bl w:val="nil"/>
                  </w:tcBorders>
                  <w:noWrap w:val="0"/>
                  <w:vAlign w:val="center"/>
                </w:tcPr>
                <w:p w14:paraId="3CFFC46F">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p>
              </w:tc>
              <w:tc>
                <w:tcPr>
                  <w:tcW w:w="1186" w:type="pct"/>
                  <w:vMerge w:val="restart"/>
                  <w:tcBorders>
                    <w:tl2br w:val="nil"/>
                    <w:tr2bl w:val="nil"/>
                  </w:tcBorders>
                  <w:noWrap w:val="0"/>
                  <w:vAlign w:val="center"/>
                </w:tcPr>
                <w:p w14:paraId="4737ED89">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202</w:t>
                  </w:r>
                  <w:r>
                    <w:rPr>
                      <w:rFonts w:hint="default" w:ascii="Times New Roman" w:hAnsi="Times New Roman" w:cs="Times New Roman"/>
                      <w:color w:val="auto"/>
                      <w:spacing w:val="0"/>
                      <w:w w:val="100"/>
                      <w:position w:val="0"/>
                      <w:sz w:val="21"/>
                      <w:szCs w:val="21"/>
                      <w:highlight w:val="none"/>
                      <w:lang w:val="en-US" w:eastAsia="zh-CN"/>
                    </w:rPr>
                    <w:t>3</w:t>
                  </w:r>
                  <w:r>
                    <w:rPr>
                      <w:rFonts w:hint="default" w:ascii="Times New Roman" w:hAnsi="Times New Roman" w:cs="Times New Roman"/>
                      <w:color w:val="auto"/>
                      <w:spacing w:val="0"/>
                      <w:w w:val="100"/>
                      <w:position w:val="0"/>
                      <w:sz w:val="21"/>
                      <w:szCs w:val="21"/>
                      <w:highlight w:val="none"/>
                    </w:rPr>
                    <w:t>年</w:t>
                  </w:r>
                  <w:r>
                    <w:rPr>
                      <w:rFonts w:hint="default" w:ascii="Times New Roman" w:hAnsi="Times New Roman" w:cs="Times New Roman"/>
                      <w:color w:val="auto"/>
                      <w:spacing w:val="0"/>
                      <w:w w:val="100"/>
                      <w:position w:val="0"/>
                      <w:sz w:val="21"/>
                      <w:szCs w:val="21"/>
                      <w:highlight w:val="none"/>
                      <w:lang w:val="en-US" w:eastAsia="zh-CN"/>
                    </w:rPr>
                    <w:t>1</w:t>
                  </w:r>
                  <w:r>
                    <w:rPr>
                      <w:rFonts w:hint="default" w:ascii="Times New Roman" w:hAnsi="Times New Roman" w:cs="Times New Roman"/>
                      <w:color w:val="auto"/>
                      <w:spacing w:val="0"/>
                      <w:w w:val="100"/>
                      <w:position w:val="0"/>
                      <w:sz w:val="21"/>
                      <w:szCs w:val="21"/>
                      <w:highlight w:val="none"/>
                    </w:rPr>
                    <w:t>月</w:t>
                  </w:r>
                  <w:r>
                    <w:rPr>
                      <w:rFonts w:hint="default" w:ascii="Times New Roman" w:hAnsi="Times New Roman" w:cs="Times New Roman"/>
                      <w:color w:val="auto"/>
                      <w:spacing w:val="0"/>
                      <w:w w:val="100"/>
                      <w:position w:val="0"/>
                      <w:sz w:val="21"/>
                      <w:szCs w:val="21"/>
                      <w:highlight w:val="none"/>
                      <w:lang w:val="en-US" w:eastAsia="zh-CN"/>
                    </w:rPr>
                    <w:t>13</w:t>
                  </w:r>
                  <w:r>
                    <w:rPr>
                      <w:rFonts w:hint="default" w:ascii="Times New Roman" w:hAnsi="Times New Roman" w:cs="Times New Roman"/>
                      <w:color w:val="auto"/>
                      <w:spacing w:val="0"/>
                      <w:w w:val="100"/>
                      <w:position w:val="0"/>
                      <w:sz w:val="21"/>
                      <w:szCs w:val="21"/>
                      <w:highlight w:val="none"/>
                    </w:rPr>
                    <w:t>日</w:t>
                  </w:r>
                </w:p>
              </w:tc>
              <w:tc>
                <w:tcPr>
                  <w:tcW w:w="903" w:type="pct"/>
                  <w:tcBorders>
                    <w:tl2br w:val="nil"/>
                    <w:tr2bl w:val="nil"/>
                  </w:tcBorders>
                  <w:noWrap w:val="0"/>
                  <w:vAlign w:val="center"/>
                </w:tcPr>
                <w:p w14:paraId="210891ED">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0055-1-2-1</w:t>
                  </w:r>
                </w:p>
              </w:tc>
              <w:tc>
                <w:tcPr>
                  <w:tcW w:w="1156" w:type="pct"/>
                  <w:tcBorders>
                    <w:tl2br w:val="nil"/>
                    <w:tr2bl w:val="nil"/>
                  </w:tcBorders>
                  <w:noWrap w:val="0"/>
                  <w:vAlign w:val="center"/>
                </w:tcPr>
                <w:p w14:paraId="58E6FF3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1.00</w:t>
                  </w:r>
                </w:p>
              </w:tc>
              <w:tc>
                <w:tcPr>
                  <w:tcW w:w="1156" w:type="pct"/>
                  <w:tcBorders>
                    <w:tl2br w:val="nil"/>
                    <w:tr2bl w:val="nil"/>
                  </w:tcBorders>
                  <w:noWrap w:val="0"/>
                  <w:vAlign w:val="center"/>
                </w:tcPr>
                <w:p w14:paraId="5EDFACB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r>
            <w:tr w14:paraId="02FE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597" w:type="pct"/>
                  <w:vMerge w:val="continue"/>
                  <w:tcBorders>
                    <w:tl2br w:val="nil"/>
                    <w:tr2bl w:val="nil"/>
                  </w:tcBorders>
                  <w:noWrap w:val="0"/>
                  <w:vAlign w:val="center"/>
                </w:tcPr>
                <w:p w14:paraId="4B5BD94C">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86" w:type="pct"/>
                  <w:vMerge w:val="continue"/>
                  <w:tcBorders>
                    <w:tl2br w:val="nil"/>
                    <w:tr2bl w:val="nil"/>
                  </w:tcBorders>
                  <w:noWrap w:val="0"/>
                  <w:vAlign w:val="center"/>
                </w:tcPr>
                <w:p w14:paraId="1A54D716">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903" w:type="pct"/>
                  <w:tcBorders>
                    <w:tl2br w:val="nil"/>
                    <w:tr2bl w:val="nil"/>
                  </w:tcBorders>
                  <w:noWrap w:val="0"/>
                  <w:vAlign w:val="center"/>
                </w:tcPr>
                <w:p w14:paraId="7391E7FD">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0055-1-2-2</w:t>
                  </w:r>
                </w:p>
              </w:tc>
              <w:tc>
                <w:tcPr>
                  <w:tcW w:w="1156" w:type="pct"/>
                  <w:tcBorders>
                    <w:tl2br w:val="nil"/>
                    <w:tr2bl w:val="nil"/>
                  </w:tcBorders>
                  <w:noWrap w:val="0"/>
                  <w:vAlign w:val="center"/>
                </w:tcPr>
                <w:p w14:paraId="25CBB8D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1.07</w:t>
                  </w:r>
                </w:p>
              </w:tc>
              <w:tc>
                <w:tcPr>
                  <w:tcW w:w="1156" w:type="pct"/>
                  <w:tcBorders>
                    <w:tl2br w:val="nil"/>
                    <w:tr2bl w:val="nil"/>
                  </w:tcBorders>
                  <w:noWrap w:val="0"/>
                  <w:vAlign w:val="center"/>
                </w:tcPr>
                <w:p w14:paraId="4047A09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53.5</w:t>
                  </w:r>
                </w:p>
              </w:tc>
            </w:tr>
            <w:tr w14:paraId="3FFD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597" w:type="pct"/>
                  <w:vMerge w:val="continue"/>
                  <w:tcBorders>
                    <w:tl2br w:val="nil"/>
                    <w:tr2bl w:val="nil"/>
                  </w:tcBorders>
                  <w:noWrap w:val="0"/>
                  <w:vAlign w:val="center"/>
                </w:tcPr>
                <w:p w14:paraId="5FDBA4EA">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86" w:type="pct"/>
                  <w:vMerge w:val="continue"/>
                  <w:tcBorders>
                    <w:tl2br w:val="nil"/>
                    <w:tr2bl w:val="nil"/>
                  </w:tcBorders>
                  <w:noWrap w:val="0"/>
                  <w:vAlign w:val="center"/>
                </w:tcPr>
                <w:p w14:paraId="00583FD9">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903" w:type="pct"/>
                  <w:tcBorders>
                    <w:tl2br w:val="nil"/>
                    <w:tr2bl w:val="nil"/>
                  </w:tcBorders>
                  <w:noWrap w:val="0"/>
                  <w:vAlign w:val="center"/>
                </w:tcPr>
                <w:p w14:paraId="7160BF31">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0055-1-2-3</w:t>
                  </w:r>
                </w:p>
              </w:tc>
              <w:tc>
                <w:tcPr>
                  <w:tcW w:w="1156" w:type="pct"/>
                  <w:tcBorders>
                    <w:tl2br w:val="nil"/>
                    <w:tr2bl w:val="nil"/>
                  </w:tcBorders>
                  <w:noWrap w:val="0"/>
                  <w:vAlign w:val="center"/>
                </w:tcPr>
                <w:p w14:paraId="77BDC65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1.09</w:t>
                  </w:r>
                </w:p>
              </w:tc>
              <w:tc>
                <w:tcPr>
                  <w:tcW w:w="1156" w:type="pct"/>
                  <w:tcBorders>
                    <w:tl2br w:val="nil"/>
                    <w:tr2bl w:val="nil"/>
                  </w:tcBorders>
                  <w:noWrap w:val="0"/>
                  <w:vAlign w:val="center"/>
                </w:tcPr>
                <w:p w14:paraId="359E072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54.5</w:t>
                  </w:r>
                </w:p>
              </w:tc>
            </w:tr>
            <w:tr w14:paraId="3D0C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597" w:type="pct"/>
                  <w:vMerge w:val="continue"/>
                  <w:tcBorders>
                    <w:tl2br w:val="nil"/>
                    <w:tr2bl w:val="nil"/>
                  </w:tcBorders>
                  <w:noWrap w:val="0"/>
                  <w:vAlign w:val="center"/>
                </w:tcPr>
                <w:p w14:paraId="2AC4F3E6">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86" w:type="pct"/>
                  <w:vMerge w:val="continue"/>
                  <w:tcBorders>
                    <w:tl2br w:val="nil"/>
                    <w:tr2bl w:val="nil"/>
                  </w:tcBorders>
                  <w:noWrap w:val="0"/>
                  <w:vAlign w:val="center"/>
                </w:tcPr>
                <w:p w14:paraId="51B4A5F5">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903" w:type="pct"/>
                  <w:tcBorders>
                    <w:tl2br w:val="nil"/>
                    <w:tr2bl w:val="nil"/>
                  </w:tcBorders>
                  <w:noWrap w:val="0"/>
                  <w:vAlign w:val="center"/>
                </w:tcPr>
                <w:p w14:paraId="5F1F3188">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0055-1-2-4</w:t>
                  </w:r>
                </w:p>
              </w:tc>
              <w:tc>
                <w:tcPr>
                  <w:tcW w:w="1156" w:type="pct"/>
                  <w:tcBorders>
                    <w:tl2br w:val="nil"/>
                    <w:tr2bl w:val="nil"/>
                  </w:tcBorders>
                  <w:noWrap w:val="0"/>
                  <w:vAlign w:val="center"/>
                </w:tcPr>
                <w:p w14:paraId="71E8D26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1.08</w:t>
                  </w:r>
                </w:p>
              </w:tc>
              <w:tc>
                <w:tcPr>
                  <w:tcW w:w="1156" w:type="pct"/>
                  <w:tcBorders>
                    <w:tl2br w:val="nil"/>
                    <w:tr2bl w:val="nil"/>
                  </w:tcBorders>
                  <w:noWrap w:val="0"/>
                  <w:vAlign w:val="center"/>
                </w:tcPr>
                <w:p w14:paraId="6FCDBF7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54</w:t>
                  </w:r>
                </w:p>
              </w:tc>
            </w:tr>
            <w:tr w14:paraId="38A9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7" w:type="pct"/>
                  <w:vMerge w:val="continue"/>
                  <w:tcBorders>
                    <w:tl2br w:val="nil"/>
                    <w:tr2bl w:val="nil"/>
                  </w:tcBorders>
                  <w:noWrap w:val="0"/>
                  <w:vAlign w:val="center"/>
                </w:tcPr>
                <w:p w14:paraId="63D28D78">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p>
              </w:tc>
              <w:tc>
                <w:tcPr>
                  <w:tcW w:w="1186" w:type="pct"/>
                  <w:vMerge w:val="restart"/>
                  <w:tcBorders>
                    <w:tl2br w:val="nil"/>
                    <w:tr2bl w:val="nil"/>
                  </w:tcBorders>
                  <w:noWrap w:val="0"/>
                  <w:vAlign w:val="center"/>
                </w:tcPr>
                <w:p w14:paraId="4D3C9DA4">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202</w:t>
                  </w:r>
                  <w:r>
                    <w:rPr>
                      <w:rFonts w:hint="default" w:ascii="Times New Roman" w:hAnsi="Times New Roman" w:cs="Times New Roman"/>
                      <w:color w:val="auto"/>
                      <w:spacing w:val="0"/>
                      <w:w w:val="100"/>
                      <w:position w:val="0"/>
                      <w:sz w:val="21"/>
                      <w:szCs w:val="21"/>
                      <w:highlight w:val="none"/>
                      <w:lang w:val="en-US" w:eastAsia="zh-CN"/>
                    </w:rPr>
                    <w:t>3</w:t>
                  </w:r>
                  <w:r>
                    <w:rPr>
                      <w:rFonts w:hint="default" w:ascii="Times New Roman" w:hAnsi="Times New Roman" w:cs="Times New Roman"/>
                      <w:color w:val="auto"/>
                      <w:spacing w:val="0"/>
                      <w:w w:val="100"/>
                      <w:position w:val="0"/>
                      <w:sz w:val="21"/>
                      <w:szCs w:val="21"/>
                      <w:highlight w:val="none"/>
                    </w:rPr>
                    <w:t>年</w:t>
                  </w:r>
                  <w:r>
                    <w:rPr>
                      <w:rFonts w:hint="default" w:ascii="Times New Roman" w:hAnsi="Times New Roman" w:cs="Times New Roman"/>
                      <w:color w:val="auto"/>
                      <w:spacing w:val="0"/>
                      <w:w w:val="100"/>
                      <w:position w:val="0"/>
                      <w:sz w:val="21"/>
                      <w:szCs w:val="21"/>
                      <w:highlight w:val="none"/>
                      <w:lang w:val="en-US" w:eastAsia="zh-CN"/>
                    </w:rPr>
                    <w:t>1</w:t>
                  </w:r>
                  <w:r>
                    <w:rPr>
                      <w:rFonts w:hint="default" w:ascii="Times New Roman" w:hAnsi="Times New Roman" w:cs="Times New Roman"/>
                      <w:color w:val="auto"/>
                      <w:spacing w:val="0"/>
                      <w:w w:val="100"/>
                      <w:position w:val="0"/>
                      <w:sz w:val="21"/>
                      <w:szCs w:val="21"/>
                      <w:highlight w:val="none"/>
                    </w:rPr>
                    <w:t>月</w:t>
                  </w:r>
                  <w:r>
                    <w:rPr>
                      <w:rFonts w:hint="default" w:ascii="Times New Roman" w:hAnsi="Times New Roman" w:cs="Times New Roman"/>
                      <w:color w:val="auto"/>
                      <w:spacing w:val="0"/>
                      <w:w w:val="100"/>
                      <w:position w:val="0"/>
                      <w:sz w:val="21"/>
                      <w:szCs w:val="21"/>
                      <w:highlight w:val="none"/>
                      <w:lang w:val="en-US" w:eastAsia="zh-CN"/>
                    </w:rPr>
                    <w:t>14</w:t>
                  </w:r>
                  <w:r>
                    <w:rPr>
                      <w:rFonts w:hint="default" w:ascii="Times New Roman" w:hAnsi="Times New Roman" w:cs="Times New Roman"/>
                      <w:color w:val="auto"/>
                      <w:spacing w:val="0"/>
                      <w:w w:val="100"/>
                      <w:position w:val="0"/>
                      <w:sz w:val="21"/>
                      <w:szCs w:val="21"/>
                      <w:highlight w:val="none"/>
                    </w:rPr>
                    <w:t>日</w:t>
                  </w:r>
                </w:p>
              </w:tc>
              <w:tc>
                <w:tcPr>
                  <w:tcW w:w="903" w:type="pct"/>
                  <w:tcBorders>
                    <w:tl2br w:val="nil"/>
                    <w:tr2bl w:val="nil"/>
                  </w:tcBorders>
                  <w:noWrap w:val="0"/>
                  <w:vAlign w:val="center"/>
                </w:tcPr>
                <w:p w14:paraId="7B855CB5">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0055-1-3-1</w:t>
                  </w:r>
                </w:p>
              </w:tc>
              <w:tc>
                <w:tcPr>
                  <w:tcW w:w="1156" w:type="pct"/>
                  <w:tcBorders>
                    <w:tl2br w:val="nil"/>
                    <w:tr2bl w:val="nil"/>
                  </w:tcBorders>
                  <w:noWrap w:val="0"/>
                  <w:vAlign w:val="center"/>
                </w:tcPr>
                <w:p w14:paraId="7D6A93A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1.14</w:t>
                  </w:r>
                </w:p>
              </w:tc>
              <w:tc>
                <w:tcPr>
                  <w:tcW w:w="1156" w:type="pct"/>
                  <w:tcBorders>
                    <w:tl2br w:val="nil"/>
                    <w:tr2bl w:val="nil"/>
                  </w:tcBorders>
                  <w:noWrap w:val="0"/>
                  <w:vAlign w:val="center"/>
                </w:tcPr>
                <w:p w14:paraId="595C12B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57</w:t>
                  </w:r>
                </w:p>
              </w:tc>
            </w:tr>
            <w:tr w14:paraId="46C8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7" w:type="pct"/>
                  <w:vMerge w:val="continue"/>
                  <w:tcBorders>
                    <w:tl2br w:val="nil"/>
                    <w:tr2bl w:val="nil"/>
                  </w:tcBorders>
                  <w:noWrap w:val="0"/>
                  <w:vAlign w:val="center"/>
                </w:tcPr>
                <w:p w14:paraId="11C10B2E">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86" w:type="pct"/>
                  <w:vMerge w:val="continue"/>
                  <w:tcBorders>
                    <w:tl2br w:val="nil"/>
                    <w:tr2bl w:val="nil"/>
                  </w:tcBorders>
                  <w:noWrap w:val="0"/>
                  <w:vAlign w:val="center"/>
                </w:tcPr>
                <w:p w14:paraId="0D79D1AA">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903" w:type="pct"/>
                  <w:tcBorders>
                    <w:tl2br w:val="nil"/>
                    <w:tr2bl w:val="nil"/>
                  </w:tcBorders>
                  <w:noWrap w:val="0"/>
                  <w:vAlign w:val="center"/>
                </w:tcPr>
                <w:p w14:paraId="0B93BF0A">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0055-1-3-2</w:t>
                  </w:r>
                </w:p>
              </w:tc>
              <w:tc>
                <w:tcPr>
                  <w:tcW w:w="1156" w:type="pct"/>
                  <w:tcBorders>
                    <w:tl2br w:val="nil"/>
                    <w:tr2bl w:val="nil"/>
                  </w:tcBorders>
                  <w:noWrap w:val="0"/>
                  <w:vAlign w:val="center"/>
                </w:tcPr>
                <w:p w14:paraId="7AA8AFC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1.01</w:t>
                  </w:r>
                </w:p>
              </w:tc>
              <w:tc>
                <w:tcPr>
                  <w:tcW w:w="1156" w:type="pct"/>
                  <w:tcBorders>
                    <w:tl2br w:val="nil"/>
                    <w:tr2bl w:val="nil"/>
                  </w:tcBorders>
                  <w:noWrap w:val="0"/>
                  <w:vAlign w:val="center"/>
                </w:tcPr>
                <w:p w14:paraId="38A4944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50.5</w:t>
                  </w:r>
                </w:p>
              </w:tc>
            </w:tr>
            <w:tr w14:paraId="01C5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7" w:type="pct"/>
                  <w:vMerge w:val="continue"/>
                  <w:tcBorders>
                    <w:tl2br w:val="nil"/>
                    <w:tr2bl w:val="nil"/>
                  </w:tcBorders>
                  <w:noWrap w:val="0"/>
                  <w:vAlign w:val="center"/>
                </w:tcPr>
                <w:p w14:paraId="0940BC31">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86" w:type="pct"/>
                  <w:vMerge w:val="continue"/>
                  <w:tcBorders>
                    <w:tl2br w:val="nil"/>
                    <w:tr2bl w:val="nil"/>
                  </w:tcBorders>
                  <w:noWrap w:val="0"/>
                  <w:vAlign w:val="center"/>
                </w:tcPr>
                <w:p w14:paraId="2EDA4290">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903" w:type="pct"/>
                  <w:tcBorders>
                    <w:tl2br w:val="nil"/>
                    <w:tr2bl w:val="nil"/>
                  </w:tcBorders>
                  <w:noWrap w:val="0"/>
                  <w:vAlign w:val="center"/>
                </w:tcPr>
                <w:p w14:paraId="60022DA5">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0055-1-3-3</w:t>
                  </w:r>
                </w:p>
              </w:tc>
              <w:tc>
                <w:tcPr>
                  <w:tcW w:w="1156" w:type="pct"/>
                  <w:tcBorders>
                    <w:tl2br w:val="nil"/>
                    <w:tr2bl w:val="nil"/>
                  </w:tcBorders>
                  <w:noWrap w:val="0"/>
                  <w:vAlign w:val="center"/>
                </w:tcPr>
                <w:p w14:paraId="53433B7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1.08</w:t>
                  </w:r>
                </w:p>
              </w:tc>
              <w:tc>
                <w:tcPr>
                  <w:tcW w:w="1156" w:type="pct"/>
                  <w:tcBorders>
                    <w:tl2br w:val="nil"/>
                    <w:tr2bl w:val="nil"/>
                  </w:tcBorders>
                  <w:noWrap w:val="0"/>
                  <w:vAlign w:val="center"/>
                </w:tcPr>
                <w:p w14:paraId="607C56A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54</w:t>
                  </w:r>
                </w:p>
              </w:tc>
            </w:tr>
            <w:tr w14:paraId="758D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7" w:type="pct"/>
                  <w:vMerge w:val="continue"/>
                  <w:tcBorders>
                    <w:tl2br w:val="nil"/>
                    <w:tr2bl w:val="nil"/>
                  </w:tcBorders>
                  <w:noWrap w:val="0"/>
                  <w:vAlign w:val="center"/>
                </w:tcPr>
                <w:p w14:paraId="470CAAA1">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86" w:type="pct"/>
                  <w:vMerge w:val="continue"/>
                  <w:tcBorders>
                    <w:tl2br w:val="nil"/>
                    <w:tr2bl w:val="nil"/>
                  </w:tcBorders>
                  <w:noWrap w:val="0"/>
                  <w:vAlign w:val="center"/>
                </w:tcPr>
                <w:p w14:paraId="76CB975D">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903" w:type="pct"/>
                  <w:tcBorders>
                    <w:tl2br w:val="nil"/>
                    <w:tr2bl w:val="nil"/>
                  </w:tcBorders>
                  <w:noWrap w:val="0"/>
                  <w:vAlign w:val="center"/>
                </w:tcPr>
                <w:p w14:paraId="14B39AEC">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0055-1-3-4</w:t>
                  </w:r>
                </w:p>
              </w:tc>
              <w:tc>
                <w:tcPr>
                  <w:tcW w:w="1156" w:type="pct"/>
                  <w:tcBorders>
                    <w:tl2br w:val="nil"/>
                    <w:tr2bl w:val="nil"/>
                  </w:tcBorders>
                  <w:noWrap w:val="0"/>
                  <w:vAlign w:val="center"/>
                </w:tcPr>
                <w:p w14:paraId="0C17659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1.09</w:t>
                  </w:r>
                </w:p>
              </w:tc>
              <w:tc>
                <w:tcPr>
                  <w:tcW w:w="1156" w:type="pct"/>
                  <w:tcBorders>
                    <w:tl2br w:val="nil"/>
                    <w:tr2bl w:val="nil"/>
                  </w:tcBorders>
                  <w:noWrap w:val="0"/>
                  <w:vAlign w:val="center"/>
                </w:tcPr>
                <w:p w14:paraId="4748D81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54.5</w:t>
                  </w:r>
                </w:p>
              </w:tc>
            </w:tr>
          </w:tbl>
          <w:p w14:paraId="19FF27E9">
            <w:pPr>
              <w:keepNext w:val="0"/>
              <w:keepLines w:val="0"/>
              <w:pageBreakBefore w:val="0"/>
              <w:widowControl w:val="0"/>
              <w:kinsoku/>
              <w:wordWrap/>
              <w:overflowPunct/>
              <w:topLinePunct w:val="0"/>
              <w:autoSpaceDE/>
              <w:autoSpaceDN/>
              <w:bidi w:val="0"/>
              <w:adjustRightInd w:val="0"/>
              <w:snapToGrid w:val="0"/>
              <w:spacing w:before="157" w:beforeLines="50" w:line="240" w:lineRule="auto"/>
              <w:ind w:right="0" w:firstLine="422" w:firstLineChars="200"/>
              <w:jc w:val="center"/>
              <w:textAlignment w:val="auto"/>
              <w:rPr>
                <w:rFonts w:hint="default" w:ascii="Times New Roman" w:hAnsi="Times New Roman" w:cs="Times New Roman"/>
                <w:b/>
                <w:bCs/>
                <w:color w:val="auto"/>
                <w:spacing w:val="0"/>
                <w:w w:val="100"/>
                <w:position w:val="0"/>
                <w:sz w:val="21"/>
                <w:szCs w:val="21"/>
                <w:highlight w:val="none"/>
                <w:lang w:eastAsia="zh-CN"/>
              </w:rPr>
            </w:pPr>
            <w:r>
              <w:rPr>
                <w:rFonts w:hint="default" w:ascii="Times New Roman" w:hAnsi="Times New Roman" w:eastAsia="宋体" w:cs="Times New Roman"/>
                <w:b/>
                <w:bCs/>
                <w:color w:val="auto"/>
                <w:spacing w:val="0"/>
                <w:w w:val="100"/>
                <w:position w:val="0"/>
                <w:sz w:val="21"/>
                <w:szCs w:val="21"/>
                <w:highlight w:val="none"/>
              </w:rPr>
              <w:t>表3-</w:t>
            </w:r>
            <w:r>
              <w:rPr>
                <w:rFonts w:hint="default" w:ascii="Times New Roman" w:hAnsi="Times New Roman" w:eastAsia="宋体" w:cs="Times New Roman"/>
                <w:b/>
                <w:bCs/>
                <w:color w:val="auto"/>
                <w:spacing w:val="0"/>
                <w:w w:val="100"/>
                <w:position w:val="0"/>
                <w:sz w:val="21"/>
                <w:szCs w:val="21"/>
                <w:highlight w:val="none"/>
                <w:lang w:val="en-US" w:eastAsia="zh-CN"/>
              </w:rPr>
              <w:t xml:space="preserve">5 </w:t>
            </w:r>
            <w:r>
              <w:rPr>
                <w:rFonts w:hint="default" w:ascii="Times New Roman" w:hAnsi="Times New Roman" w:eastAsia="宋体" w:cs="Times New Roman"/>
                <w:b/>
                <w:bCs/>
                <w:color w:val="auto"/>
                <w:spacing w:val="0"/>
                <w:w w:val="100"/>
                <w:position w:val="0"/>
                <w:sz w:val="21"/>
                <w:szCs w:val="21"/>
                <w:highlight w:val="none"/>
              </w:rPr>
              <w:t>空气质量监测结果</w:t>
            </w:r>
            <w:r>
              <w:rPr>
                <w:rFonts w:hint="default" w:ascii="Times New Roman" w:hAnsi="Times New Roman" w:cs="Times New Roman"/>
                <w:b/>
                <w:bCs/>
                <w:color w:val="auto"/>
                <w:spacing w:val="0"/>
                <w:w w:val="100"/>
                <w:position w:val="0"/>
                <w:sz w:val="21"/>
                <w:szCs w:val="21"/>
                <w:highlight w:val="none"/>
                <w:lang w:eastAsia="zh-CN"/>
              </w:rPr>
              <w:t>（</w:t>
            </w:r>
            <w:r>
              <w:rPr>
                <w:rFonts w:hint="default" w:ascii="Times New Roman" w:hAnsi="Times New Roman" w:cs="Times New Roman"/>
                <w:b/>
                <w:bCs/>
                <w:color w:val="auto"/>
                <w:spacing w:val="0"/>
                <w:w w:val="100"/>
                <w:position w:val="0"/>
                <w:sz w:val="21"/>
                <w:szCs w:val="21"/>
                <w:highlight w:val="none"/>
                <w:lang w:val="en-US" w:eastAsia="zh-CN"/>
              </w:rPr>
              <w:t>苯、甲苯、二甲苯</w:t>
            </w:r>
            <w:r>
              <w:rPr>
                <w:rFonts w:hint="default" w:ascii="Times New Roman" w:hAnsi="Times New Roman" w:cs="Times New Roman"/>
                <w:b/>
                <w:bCs/>
                <w:color w:val="auto"/>
                <w:spacing w:val="0"/>
                <w:w w:val="100"/>
                <w:position w:val="0"/>
                <w:sz w:val="21"/>
                <w:szCs w:val="21"/>
                <w:highlight w:val="none"/>
                <w:lang w:eastAsia="zh-CN"/>
              </w:rPr>
              <w:t>）</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2330"/>
              <w:gridCol w:w="1982"/>
              <w:gridCol w:w="1213"/>
              <w:gridCol w:w="1621"/>
            </w:tblGrid>
            <w:tr w14:paraId="3CFD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769" w:type="pct"/>
                  <w:vMerge w:val="restart"/>
                  <w:noWrap w:val="0"/>
                  <w:vAlign w:val="center"/>
                </w:tcPr>
                <w:p w14:paraId="22761B6D">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采样点</w:t>
                  </w:r>
                </w:p>
              </w:tc>
              <w:tc>
                <w:tcPr>
                  <w:tcW w:w="1379" w:type="pct"/>
                  <w:vMerge w:val="restart"/>
                  <w:noWrap w:val="0"/>
                  <w:vAlign w:val="center"/>
                </w:tcPr>
                <w:p w14:paraId="678F0EEF">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采样日期</w:t>
                  </w:r>
                </w:p>
              </w:tc>
              <w:tc>
                <w:tcPr>
                  <w:tcW w:w="2850" w:type="pct"/>
                  <w:gridSpan w:val="3"/>
                  <w:noWrap w:val="0"/>
                  <w:vAlign w:val="center"/>
                </w:tcPr>
                <w:p w14:paraId="419DA7E4">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检测结果（mg/m</w:t>
                  </w:r>
                  <w:r>
                    <w:rPr>
                      <w:rFonts w:hint="default" w:ascii="Times New Roman" w:hAnsi="Times New Roman" w:cs="Times New Roman"/>
                      <w:b/>
                      <w:bCs/>
                      <w:color w:val="auto"/>
                      <w:spacing w:val="0"/>
                      <w:w w:val="100"/>
                      <w:position w:val="0"/>
                      <w:sz w:val="21"/>
                      <w:szCs w:val="21"/>
                      <w:highlight w:val="none"/>
                      <w:vertAlign w:val="superscript"/>
                    </w:rPr>
                    <w:t>3</w:t>
                  </w:r>
                  <w:r>
                    <w:rPr>
                      <w:rFonts w:hint="default" w:ascii="Times New Roman" w:hAnsi="Times New Roman" w:cs="Times New Roman"/>
                      <w:b/>
                      <w:bCs/>
                      <w:color w:val="auto"/>
                      <w:spacing w:val="0"/>
                      <w:w w:val="100"/>
                      <w:position w:val="0"/>
                      <w:sz w:val="21"/>
                      <w:szCs w:val="21"/>
                      <w:highlight w:val="none"/>
                    </w:rPr>
                    <w:t>）</w:t>
                  </w:r>
                </w:p>
              </w:tc>
            </w:tr>
            <w:tr w14:paraId="55C5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exact"/>
              </w:trPr>
              <w:tc>
                <w:tcPr>
                  <w:tcW w:w="769" w:type="pct"/>
                  <w:vMerge w:val="continue"/>
                  <w:noWrap w:val="0"/>
                  <w:vAlign w:val="center"/>
                </w:tcPr>
                <w:p w14:paraId="7B3C2B18">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p>
              </w:tc>
              <w:tc>
                <w:tcPr>
                  <w:tcW w:w="1379" w:type="pct"/>
                  <w:vMerge w:val="continue"/>
                  <w:noWrap w:val="0"/>
                  <w:vAlign w:val="center"/>
                </w:tcPr>
                <w:p w14:paraId="1D5E6B61">
                  <w:pPr>
                    <w:pStyle w:val="65"/>
                    <w:pageBreakBefore w:val="0"/>
                    <w:shd w:val="clear"/>
                    <w:bidi w:val="0"/>
                    <w:spacing w:beforeAutospacing="0" w:afterAutospacing="0"/>
                    <w:ind w:left="0" w:leftChars="0" w:right="0" w:rightChars="0"/>
                    <w:rPr>
                      <w:rFonts w:hint="default" w:ascii="Times New Roman" w:hAnsi="Times New Roman" w:cs="Times New Roman"/>
                      <w:b/>
                      <w:bCs/>
                      <w:color w:val="auto"/>
                      <w:spacing w:val="0"/>
                      <w:w w:val="100"/>
                      <w:position w:val="0"/>
                      <w:sz w:val="21"/>
                      <w:szCs w:val="21"/>
                      <w:highlight w:val="none"/>
                    </w:rPr>
                  </w:pPr>
                </w:p>
              </w:tc>
              <w:tc>
                <w:tcPr>
                  <w:tcW w:w="1173" w:type="pct"/>
                  <w:noWrap w:val="0"/>
                  <w:vAlign w:val="center"/>
                </w:tcPr>
                <w:p w14:paraId="5B8DB93D">
                  <w:pPr>
                    <w:pageBreakBefore w:val="0"/>
                    <w:shd w:val="clear"/>
                    <w:bidi w:val="0"/>
                    <w:spacing w:beforeAutospacing="0" w:afterAutospacing="0"/>
                    <w:ind w:left="0" w:leftChars="0" w:right="0" w:rightChars="0"/>
                    <w:jc w:val="center"/>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lang w:val="en-US" w:eastAsia="zh-CN"/>
                    </w:rPr>
                    <w:t>苯</w:t>
                  </w:r>
                </w:p>
              </w:tc>
              <w:tc>
                <w:tcPr>
                  <w:tcW w:w="718" w:type="pct"/>
                  <w:noWrap w:val="0"/>
                  <w:vAlign w:val="center"/>
                </w:tcPr>
                <w:p w14:paraId="4D606D90">
                  <w:pPr>
                    <w:pStyle w:val="65"/>
                    <w:pageBreakBefore w:val="0"/>
                    <w:shd w:val="clear"/>
                    <w:bidi w:val="0"/>
                    <w:spacing w:beforeAutospacing="0" w:afterAutospacing="0"/>
                    <w:ind w:left="0" w:leftChars="0" w:right="0" w:rightChars="0"/>
                    <w:rPr>
                      <w:rFonts w:hint="default" w:ascii="Times New Roman" w:hAnsi="Times New Roman" w:eastAsia="宋体" w:cs="Times New Roman"/>
                      <w:b/>
                      <w:bCs/>
                      <w:color w:val="auto"/>
                      <w:spacing w:val="0"/>
                      <w:w w:val="100"/>
                      <w:position w:val="0"/>
                      <w:sz w:val="21"/>
                      <w:szCs w:val="21"/>
                      <w:highlight w:val="none"/>
                      <w:lang w:val="en-US" w:eastAsia="zh-CN"/>
                    </w:rPr>
                  </w:pPr>
                  <w:r>
                    <w:rPr>
                      <w:rFonts w:hint="default" w:ascii="Times New Roman" w:hAnsi="Times New Roman" w:eastAsia="宋体" w:cs="Times New Roman"/>
                      <w:b/>
                      <w:bCs/>
                      <w:color w:val="auto"/>
                      <w:spacing w:val="0"/>
                      <w:w w:val="100"/>
                      <w:position w:val="0"/>
                      <w:sz w:val="21"/>
                      <w:szCs w:val="21"/>
                      <w:highlight w:val="none"/>
                      <w:lang w:val="en-US" w:eastAsia="zh-CN"/>
                    </w:rPr>
                    <w:t>甲苯</w:t>
                  </w:r>
                </w:p>
              </w:tc>
              <w:tc>
                <w:tcPr>
                  <w:tcW w:w="959" w:type="pct"/>
                  <w:noWrap w:val="0"/>
                  <w:vAlign w:val="center"/>
                </w:tcPr>
                <w:p w14:paraId="46B5F110">
                  <w:pPr>
                    <w:pStyle w:val="65"/>
                    <w:pageBreakBefore w:val="0"/>
                    <w:shd w:val="clear"/>
                    <w:bidi w:val="0"/>
                    <w:spacing w:beforeAutospacing="0" w:afterAutospacing="0"/>
                    <w:ind w:left="0" w:leftChars="0" w:right="0" w:rightChars="0"/>
                    <w:rPr>
                      <w:rFonts w:hint="default" w:ascii="Times New Roman" w:hAnsi="Times New Roman" w:eastAsia="宋体" w:cs="Times New Roman"/>
                      <w:b/>
                      <w:bCs/>
                      <w:color w:val="auto"/>
                      <w:spacing w:val="0"/>
                      <w:w w:val="100"/>
                      <w:position w:val="0"/>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二甲苯</w:t>
                  </w:r>
                </w:p>
              </w:tc>
            </w:tr>
            <w:tr w14:paraId="6830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69" w:type="pct"/>
                  <w:vMerge w:val="restart"/>
                  <w:tcBorders>
                    <w:tl2br w:val="nil"/>
                    <w:tr2bl w:val="nil"/>
                  </w:tcBorders>
                  <w:noWrap w:val="0"/>
                  <w:vAlign w:val="center"/>
                </w:tcPr>
                <w:p w14:paraId="6955BFE1">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lang w:eastAsia="zh-CN"/>
                    </w:rPr>
                    <w:t>厂界</w:t>
                  </w:r>
                  <w:r>
                    <w:rPr>
                      <w:rFonts w:hint="default" w:ascii="Times New Roman" w:hAnsi="Times New Roman" w:cs="Times New Roman"/>
                      <w:color w:val="auto"/>
                      <w:spacing w:val="0"/>
                      <w:w w:val="100"/>
                      <w:position w:val="0"/>
                      <w:sz w:val="21"/>
                      <w:szCs w:val="21"/>
                      <w:highlight w:val="none"/>
                    </w:rPr>
                    <w:t>下</w:t>
                  </w:r>
                </w:p>
                <w:p w14:paraId="63A01CAC">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风向</w:t>
                  </w:r>
                </w:p>
              </w:tc>
              <w:tc>
                <w:tcPr>
                  <w:tcW w:w="1379" w:type="pct"/>
                  <w:vMerge w:val="restart"/>
                  <w:tcBorders>
                    <w:tl2br w:val="nil"/>
                    <w:tr2bl w:val="nil"/>
                  </w:tcBorders>
                  <w:noWrap w:val="0"/>
                  <w:vAlign w:val="center"/>
                </w:tcPr>
                <w:p w14:paraId="0E0EAD8B">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lang w:val="en-US"/>
                    </w:rPr>
                  </w:pPr>
                  <w:r>
                    <w:rPr>
                      <w:rFonts w:hint="default" w:ascii="Times New Roman" w:hAnsi="Times New Roman" w:cs="Times New Roman"/>
                      <w:color w:val="auto"/>
                      <w:spacing w:val="0"/>
                      <w:w w:val="100"/>
                      <w:position w:val="0"/>
                      <w:sz w:val="21"/>
                      <w:szCs w:val="21"/>
                      <w:highlight w:val="none"/>
                      <w:lang w:val="en-US"/>
                    </w:rPr>
                    <w:t>202</w:t>
                  </w:r>
                  <w:r>
                    <w:rPr>
                      <w:rFonts w:hint="eastAsia" w:ascii="Times New Roman" w:hAnsi="Times New Roman" w:eastAsia="宋体" w:cs="Times New Roman"/>
                      <w:color w:val="auto"/>
                      <w:spacing w:val="0"/>
                      <w:w w:val="100"/>
                      <w:position w:val="0"/>
                      <w:sz w:val="21"/>
                      <w:szCs w:val="21"/>
                      <w:highlight w:val="none"/>
                      <w:lang w:val="en-US" w:eastAsia="zh-CN"/>
                    </w:rPr>
                    <w:t>5</w:t>
                  </w:r>
                  <w:r>
                    <w:rPr>
                      <w:rFonts w:hint="default" w:ascii="Times New Roman" w:hAnsi="Times New Roman" w:cs="Times New Roman"/>
                      <w:color w:val="auto"/>
                      <w:spacing w:val="0"/>
                      <w:w w:val="100"/>
                      <w:position w:val="0"/>
                      <w:sz w:val="21"/>
                      <w:szCs w:val="21"/>
                      <w:highlight w:val="none"/>
                      <w:lang w:val="en-US"/>
                    </w:rPr>
                    <w:t>年</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0</w:t>
                  </w:r>
                  <w:r>
                    <w:rPr>
                      <w:rFonts w:hint="default" w:ascii="Times New Roman" w:hAnsi="Times New Roman" w:cs="Times New Roman"/>
                      <w:color w:val="auto"/>
                      <w:spacing w:val="0"/>
                      <w:w w:val="100"/>
                      <w:position w:val="0"/>
                      <w:sz w:val="21"/>
                      <w:szCs w:val="21"/>
                      <w:highlight w:val="none"/>
                      <w:lang w:val="en-US"/>
                    </w:rPr>
                    <w:t>月</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1</w:t>
                  </w:r>
                  <w:r>
                    <w:rPr>
                      <w:rFonts w:hint="default" w:ascii="Times New Roman" w:hAnsi="Times New Roman" w:cs="Times New Roman"/>
                      <w:color w:val="auto"/>
                      <w:spacing w:val="0"/>
                      <w:w w:val="100"/>
                      <w:position w:val="0"/>
                      <w:sz w:val="21"/>
                      <w:szCs w:val="21"/>
                      <w:highlight w:val="none"/>
                      <w:lang w:val="en-US"/>
                    </w:rPr>
                    <w:t>日</w:t>
                  </w:r>
                </w:p>
              </w:tc>
              <w:tc>
                <w:tcPr>
                  <w:tcW w:w="1173" w:type="pct"/>
                  <w:tcBorders>
                    <w:tl2br w:val="nil"/>
                    <w:tr2bl w:val="nil"/>
                  </w:tcBorders>
                  <w:noWrap w:val="0"/>
                  <w:vAlign w:val="center"/>
                </w:tcPr>
                <w:p w14:paraId="25FC570D">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313FF326">
                  <w:pPr>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13C9A0E9">
                  <w:pPr>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6945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69" w:type="pct"/>
                  <w:vMerge w:val="continue"/>
                  <w:tcBorders>
                    <w:tl2br w:val="nil"/>
                    <w:tr2bl w:val="nil"/>
                  </w:tcBorders>
                  <w:noWrap w:val="0"/>
                  <w:vAlign w:val="center"/>
                </w:tcPr>
                <w:p w14:paraId="6474D233">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379" w:type="pct"/>
                  <w:vMerge w:val="continue"/>
                  <w:tcBorders>
                    <w:tl2br w:val="nil"/>
                    <w:tr2bl w:val="nil"/>
                  </w:tcBorders>
                  <w:noWrap w:val="0"/>
                  <w:vAlign w:val="center"/>
                </w:tcPr>
                <w:p w14:paraId="6B818290">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73" w:type="pct"/>
                  <w:tcBorders>
                    <w:tl2br w:val="nil"/>
                    <w:tr2bl w:val="nil"/>
                  </w:tcBorders>
                  <w:noWrap w:val="0"/>
                  <w:vAlign w:val="center"/>
                </w:tcPr>
                <w:p w14:paraId="0CDA25A4">
                  <w:pPr>
                    <w:ind w:firstLine="0" w:firstLine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7A6DCC5E">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0D3CDD4D">
                  <w:pPr>
                    <w:ind w:firstLine="0" w:firstLine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0923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69" w:type="pct"/>
                  <w:vMerge w:val="continue"/>
                  <w:tcBorders>
                    <w:tl2br w:val="nil"/>
                    <w:tr2bl w:val="nil"/>
                  </w:tcBorders>
                  <w:noWrap w:val="0"/>
                  <w:vAlign w:val="center"/>
                </w:tcPr>
                <w:p w14:paraId="1BCAEABB">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379" w:type="pct"/>
                  <w:vMerge w:val="continue"/>
                  <w:tcBorders>
                    <w:tl2br w:val="nil"/>
                    <w:tr2bl w:val="nil"/>
                  </w:tcBorders>
                  <w:noWrap w:val="0"/>
                  <w:vAlign w:val="center"/>
                </w:tcPr>
                <w:p w14:paraId="50136B76">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173" w:type="pct"/>
                  <w:tcBorders>
                    <w:tl2br w:val="nil"/>
                    <w:tr2bl w:val="nil"/>
                  </w:tcBorders>
                  <w:noWrap w:val="0"/>
                  <w:vAlign w:val="center"/>
                </w:tcPr>
                <w:p w14:paraId="07FAF4C1">
                  <w:pPr>
                    <w:ind w:firstLine="0" w:firstLine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3D29395C">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6CC5955F">
                  <w:pPr>
                    <w:ind w:firstLine="0" w:firstLine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37DF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69" w:type="pct"/>
                  <w:vMerge w:val="continue"/>
                  <w:tcBorders>
                    <w:tl2br w:val="nil"/>
                    <w:tr2bl w:val="nil"/>
                  </w:tcBorders>
                  <w:noWrap w:val="0"/>
                  <w:vAlign w:val="center"/>
                </w:tcPr>
                <w:p w14:paraId="61D6227A">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379" w:type="pct"/>
                  <w:vMerge w:val="continue"/>
                  <w:tcBorders>
                    <w:tl2br w:val="nil"/>
                    <w:tr2bl w:val="nil"/>
                  </w:tcBorders>
                  <w:noWrap w:val="0"/>
                  <w:vAlign w:val="center"/>
                </w:tcPr>
                <w:p w14:paraId="5685CEFA">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p>
              </w:tc>
              <w:tc>
                <w:tcPr>
                  <w:tcW w:w="1173" w:type="pct"/>
                  <w:tcBorders>
                    <w:tl2br w:val="nil"/>
                    <w:tr2bl w:val="nil"/>
                  </w:tcBorders>
                  <w:noWrap w:val="0"/>
                  <w:vAlign w:val="center"/>
                </w:tcPr>
                <w:p w14:paraId="6ED22555">
                  <w:pPr>
                    <w:ind w:firstLine="0" w:firstLine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157492FA">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5851F5C4">
                  <w:pPr>
                    <w:ind w:firstLine="0" w:firstLineChars="0"/>
                    <w:jc w:val="center"/>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130C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769" w:type="pct"/>
                  <w:vMerge w:val="continue"/>
                  <w:tcBorders>
                    <w:tl2br w:val="nil"/>
                    <w:tr2bl w:val="nil"/>
                  </w:tcBorders>
                  <w:noWrap w:val="0"/>
                  <w:vAlign w:val="center"/>
                </w:tcPr>
                <w:p w14:paraId="647DF132">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p>
              </w:tc>
              <w:tc>
                <w:tcPr>
                  <w:tcW w:w="1379" w:type="pct"/>
                  <w:vMerge w:val="restart"/>
                  <w:tcBorders>
                    <w:tl2br w:val="nil"/>
                    <w:tr2bl w:val="nil"/>
                  </w:tcBorders>
                  <w:noWrap w:val="0"/>
                  <w:vAlign w:val="center"/>
                </w:tcPr>
                <w:p w14:paraId="299E4385">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202</w:t>
                  </w:r>
                  <w:r>
                    <w:rPr>
                      <w:rFonts w:hint="eastAsia" w:ascii="Times New Roman" w:hAnsi="Times New Roman" w:eastAsia="宋体" w:cs="Times New Roman"/>
                      <w:color w:val="auto"/>
                      <w:spacing w:val="0"/>
                      <w:w w:val="100"/>
                      <w:position w:val="0"/>
                      <w:sz w:val="21"/>
                      <w:szCs w:val="21"/>
                      <w:highlight w:val="none"/>
                      <w:lang w:val="en-US" w:eastAsia="zh-CN"/>
                    </w:rPr>
                    <w:t>5</w:t>
                  </w:r>
                  <w:r>
                    <w:rPr>
                      <w:rFonts w:hint="default" w:ascii="Times New Roman" w:hAnsi="Times New Roman" w:cs="Times New Roman"/>
                      <w:color w:val="auto"/>
                      <w:spacing w:val="0"/>
                      <w:w w:val="100"/>
                      <w:position w:val="0"/>
                      <w:sz w:val="21"/>
                      <w:szCs w:val="21"/>
                      <w:highlight w:val="none"/>
                    </w:rPr>
                    <w:t>年</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0</w:t>
                  </w:r>
                  <w:r>
                    <w:rPr>
                      <w:rFonts w:hint="default" w:ascii="Times New Roman" w:hAnsi="Times New Roman" w:cs="Times New Roman"/>
                      <w:color w:val="auto"/>
                      <w:spacing w:val="0"/>
                      <w:w w:val="100"/>
                      <w:position w:val="0"/>
                      <w:sz w:val="21"/>
                      <w:szCs w:val="21"/>
                      <w:highlight w:val="none"/>
                    </w:rPr>
                    <w:t>月</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2</w:t>
                  </w:r>
                  <w:r>
                    <w:rPr>
                      <w:rFonts w:hint="default" w:ascii="Times New Roman" w:hAnsi="Times New Roman" w:cs="Times New Roman"/>
                      <w:color w:val="auto"/>
                      <w:spacing w:val="0"/>
                      <w:w w:val="100"/>
                      <w:position w:val="0"/>
                      <w:sz w:val="21"/>
                      <w:szCs w:val="21"/>
                      <w:highlight w:val="none"/>
                    </w:rPr>
                    <w:t>日</w:t>
                  </w:r>
                </w:p>
              </w:tc>
              <w:tc>
                <w:tcPr>
                  <w:tcW w:w="1173" w:type="pct"/>
                  <w:tcBorders>
                    <w:tl2br w:val="nil"/>
                    <w:tr2bl w:val="nil"/>
                  </w:tcBorders>
                  <w:noWrap w:val="0"/>
                  <w:vAlign w:val="center"/>
                </w:tcPr>
                <w:p w14:paraId="58ED08A5">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6E05C483">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1A483492">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5E83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769" w:type="pct"/>
                  <w:vMerge w:val="continue"/>
                  <w:tcBorders>
                    <w:tl2br w:val="nil"/>
                    <w:tr2bl w:val="nil"/>
                  </w:tcBorders>
                  <w:noWrap w:val="0"/>
                  <w:vAlign w:val="center"/>
                </w:tcPr>
                <w:p w14:paraId="65B6F941">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379" w:type="pct"/>
                  <w:vMerge w:val="continue"/>
                  <w:tcBorders>
                    <w:tl2br w:val="nil"/>
                    <w:tr2bl w:val="nil"/>
                  </w:tcBorders>
                  <w:noWrap w:val="0"/>
                  <w:vAlign w:val="center"/>
                </w:tcPr>
                <w:p w14:paraId="0D7D5A49">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73" w:type="pct"/>
                  <w:tcBorders>
                    <w:tl2br w:val="nil"/>
                    <w:tr2bl w:val="nil"/>
                  </w:tcBorders>
                  <w:noWrap w:val="0"/>
                  <w:vAlign w:val="center"/>
                </w:tcPr>
                <w:p w14:paraId="05D467FC">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57A5E100">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61D3145F">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287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769" w:type="pct"/>
                  <w:vMerge w:val="continue"/>
                  <w:tcBorders>
                    <w:tl2br w:val="nil"/>
                    <w:tr2bl w:val="nil"/>
                  </w:tcBorders>
                  <w:noWrap w:val="0"/>
                  <w:vAlign w:val="center"/>
                </w:tcPr>
                <w:p w14:paraId="4881147B">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379" w:type="pct"/>
                  <w:vMerge w:val="continue"/>
                  <w:tcBorders>
                    <w:tl2br w:val="nil"/>
                    <w:tr2bl w:val="nil"/>
                  </w:tcBorders>
                  <w:noWrap w:val="0"/>
                  <w:vAlign w:val="center"/>
                </w:tcPr>
                <w:p w14:paraId="44B7C800">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73" w:type="pct"/>
                  <w:tcBorders>
                    <w:tl2br w:val="nil"/>
                    <w:tr2bl w:val="nil"/>
                  </w:tcBorders>
                  <w:noWrap w:val="0"/>
                  <w:vAlign w:val="center"/>
                </w:tcPr>
                <w:p w14:paraId="6BCD728F">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566C8C16">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3F61D030">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1407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769" w:type="pct"/>
                  <w:vMerge w:val="continue"/>
                  <w:tcBorders>
                    <w:tl2br w:val="nil"/>
                    <w:tr2bl w:val="nil"/>
                  </w:tcBorders>
                  <w:noWrap w:val="0"/>
                  <w:vAlign w:val="center"/>
                </w:tcPr>
                <w:p w14:paraId="61CAE2D3">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379" w:type="pct"/>
                  <w:vMerge w:val="continue"/>
                  <w:tcBorders>
                    <w:tl2br w:val="nil"/>
                    <w:tr2bl w:val="nil"/>
                  </w:tcBorders>
                  <w:noWrap w:val="0"/>
                  <w:vAlign w:val="center"/>
                </w:tcPr>
                <w:p w14:paraId="4D52DB10">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73" w:type="pct"/>
                  <w:tcBorders>
                    <w:tl2br w:val="nil"/>
                    <w:tr2bl w:val="nil"/>
                  </w:tcBorders>
                  <w:noWrap w:val="0"/>
                  <w:vAlign w:val="center"/>
                </w:tcPr>
                <w:p w14:paraId="01B03941">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5D8FA4EA">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50061C4D">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16E7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769" w:type="pct"/>
                  <w:vMerge w:val="continue"/>
                  <w:tcBorders>
                    <w:tl2br w:val="nil"/>
                    <w:tr2bl w:val="nil"/>
                  </w:tcBorders>
                  <w:noWrap w:val="0"/>
                  <w:vAlign w:val="center"/>
                </w:tcPr>
                <w:p w14:paraId="10E1CACF">
                  <w:pPr>
                    <w:pStyle w:val="65"/>
                    <w:pageBreakBefore w:val="0"/>
                    <w:shd w:val="clear"/>
                    <w:bidi w:val="0"/>
                    <w:spacing w:beforeAutospacing="0" w:afterAutospacing="0"/>
                    <w:ind w:left="0" w:leftChars="0" w:right="0" w:rightChars="0"/>
                    <w:rPr>
                      <w:rFonts w:hint="default" w:ascii="Times New Roman" w:hAnsi="Times New Roman" w:cs="Times New Roman"/>
                      <w:color w:val="auto"/>
                      <w:spacing w:val="0"/>
                      <w:w w:val="100"/>
                      <w:position w:val="0"/>
                      <w:sz w:val="21"/>
                      <w:szCs w:val="21"/>
                      <w:highlight w:val="none"/>
                    </w:rPr>
                  </w:pPr>
                </w:p>
              </w:tc>
              <w:tc>
                <w:tcPr>
                  <w:tcW w:w="1379" w:type="pct"/>
                  <w:vMerge w:val="restart"/>
                  <w:tcBorders>
                    <w:tl2br w:val="nil"/>
                    <w:tr2bl w:val="nil"/>
                  </w:tcBorders>
                  <w:noWrap w:val="0"/>
                  <w:vAlign w:val="center"/>
                </w:tcPr>
                <w:p w14:paraId="5B19D4E8">
                  <w:pPr>
                    <w:pageBreakBefore w:val="0"/>
                    <w:shd w:val="clear"/>
                    <w:bidi w:val="0"/>
                    <w:spacing w:beforeAutospacing="0" w:afterAutospacing="0"/>
                    <w:ind w:left="0" w:leftChars="0" w:right="0" w:rightChars="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202</w:t>
                  </w:r>
                  <w:r>
                    <w:rPr>
                      <w:rFonts w:hint="eastAsia" w:ascii="Times New Roman" w:hAnsi="Times New Roman" w:eastAsia="宋体" w:cs="Times New Roman"/>
                      <w:color w:val="auto"/>
                      <w:spacing w:val="0"/>
                      <w:w w:val="100"/>
                      <w:position w:val="0"/>
                      <w:sz w:val="21"/>
                      <w:szCs w:val="21"/>
                      <w:highlight w:val="none"/>
                      <w:lang w:val="en-US" w:eastAsia="zh-CN"/>
                    </w:rPr>
                    <w:t>5</w:t>
                  </w:r>
                  <w:r>
                    <w:rPr>
                      <w:rFonts w:hint="default" w:ascii="Times New Roman" w:hAnsi="Times New Roman" w:cs="Times New Roman"/>
                      <w:color w:val="auto"/>
                      <w:spacing w:val="0"/>
                      <w:w w:val="100"/>
                      <w:position w:val="0"/>
                      <w:sz w:val="21"/>
                      <w:szCs w:val="21"/>
                      <w:highlight w:val="none"/>
                    </w:rPr>
                    <w:t>年</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0</w:t>
                  </w:r>
                  <w:r>
                    <w:rPr>
                      <w:rFonts w:hint="default" w:ascii="Times New Roman" w:hAnsi="Times New Roman" w:cs="Times New Roman"/>
                      <w:color w:val="auto"/>
                      <w:spacing w:val="0"/>
                      <w:w w:val="100"/>
                      <w:position w:val="0"/>
                      <w:sz w:val="21"/>
                      <w:szCs w:val="21"/>
                      <w:highlight w:val="none"/>
                    </w:rPr>
                    <w:t>月</w:t>
                  </w:r>
                  <w:r>
                    <w:rPr>
                      <w:rFonts w:hint="default" w:ascii="Times New Roman" w:hAnsi="Times New Roman" w:cs="Times New Roman"/>
                      <w:color w:val="auto"/>
                      <w:spacing w:val="0"/>
                      <w:w w:val="100"/>
                      <w:position w:val="0"/>
                      <w:sz w:val="21"/>
                      <w:szCs w:val="21"/>
                      <w:highlight w:val="none"/>
                      <w:lang w:val="en-US" w:eastAsia="zh-CN"/>
                    </w:rPr>
                    <w:t>1</w:t>
                  </w:r>
                  <w:r>
                    <w:rPr>
                      <w:rFonts w:hint="eastAsia" w:ascii="Times New Roman" w:hAnsi="Times New Roman" w:cs="Times New Roman"/>
                      <w:color w:val="auto"/>
                      <w:spacing w:val="0"/>
                      <w:w w:val="100"/>
                      <w:position w:val="0"/>
                      <w:sz w:val="21"/>
                      <w:szCs w:val="21"/>
                      <w:highlight w:val="none"/>
                      <w:lang w:val="en-US" w:eastAsia="zh-CN"/>
                    </w:rPr>
                    <w:t>3</w:t>
                  </w:r>
                  <w:r>
                    <w:rPr>
                      <w:rFonts w:hint="default" w:ascii="Times New Roman" w:hAnsi="Times New Roman" w:cs="Times New Roman"/>
                      <w:color w:val="auto"/>
                      <w:spacing w:val="0"/>
                      <w:w w:val="100"/>
                      <w:position w:val="0"/>
                      <w:sz w:val="21"/>
                      <w:szCs w:val="21"/>
                      <w:highlight w:val="none"/>
                    </w:rPr>
                    <w:t>日</w:t>
                  </w:r>
                </w:p>
              </w:tc>
              <w:tc>
                <w:tcPr>
                  <w:tcW w:w="1173" w:type="pct"/>
                  <w:tcBorders>
                    <w:tl2br w:val="nil"/>
                    <w:tr2bl w:val="nil"/>
                  </w:tcBorders>
                  <w:noWrap w:val="0"/>
                  <w:vAlign w:val="center"/>
                </w:tcPr>
                <w:p w14:paraId="0F55B1EB">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15ECA057">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08852B4B">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56E8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769" w:type="pct"/>
                  <w:vMerge w:val="continue"/>
                  <w:tcBorders>
                    <w:tl2br w:val="nil"/>
                    <w:tr2bl w:val="nil"/>
                  </w:tcBorders>
                  <w:noWrap w:val="0"/>
                  <w:vAlign w:val="center"/>
                </w:tcPr>
                <w:p w14:paraId="790A11B5">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379" w:type="pct"/>
                  <w:vMerge w:val="continue"/>
                  <w:tcBorders>
                    <w:tl2br w:val="nil"/>
                    <w:tr2bl w:val="nil"/>
                  </w:tcBorders>
                  <w:noWrap w:val="0"/>
                  <w:vAlign w:val="center"/>
                </w:tcPr>
                <w:p w14:paraId="6E40A68F">
                  <w:pPr>
                    <w:pageBreakBefore w:val="0"/>
                    <w:shd w:val="clear"/>
                    <w:bidi w:val="0"/>
                    <w:spacing w:beforeAutospacing="0" w:afterAutospacing="0"/>
                    <w:ind w:left="0" w:leftChars="0" w:right="0" w:rightChars="0"/>
                    <w:jc w:val="center"/>
                    <w:rPr>
                      <w:rFonts w:hint="default" w:ascii="Times New Roman" w:hAnsi="Times New Roman" w:cs="Times New Roman"/>
                      <w:color w:val="auto"/>
                      <w:highlight w:val="none"/>
                    </w:rPr>
                  </w:pPr>
                </w:p>
              </w:tc>
              <w:tc>
                <w:tcPr>
                  <w:tcW w:w="1173" w:type="pct"/>
                  <w:tcBorders>
                    <w:tl2br w:val="nil"/>
                    <w:tr2bl w:val="nil"/>
                  </w:tcBorders>
                  <w:noWrap w:val="0"/>
                  <w:vAlign w:val="center"/>
                </w:tcPr>
                <w:p w14:paraId="2C6C890F">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0615232C">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1D97FC48">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0796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769" w:type="pct"/>
                  <w:vMerge w:val="continue"/>
                  <w:tcBorders>
                    <w:tl2br w:val="nil"/>
                    <w:tr2bl w:val="nil"/>
                  </w:tcBorders>
                  <w:noWrap w:val="0"/>
                  <w:vAlign w:val="center"/>
                </w:tcPr>
                <w:p w14:paraId="0CBE06DC">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379" w:type="pct"/>
                  <w:vMerge w:val="continue"/>
                  <w:tcBorders>
                    <w:tl2br w:val="nil"/>
                    <w:tr2bl w:val="nil"/>
                  </w:tcBorders>
                  <w:noWrap w:val="0"/>
                  <w:vAlign w:val="center"/>
                </w:tcPr>
                <w:p w14:paraId="4A9591FF">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73" w:type="pct"/>
                  <w:tcBorders>
                    <w:tl2br w:val="nil"/>
                    <w:tr2bl w:val="nil"/>
                  </w:tcBorders>
                  <w:noWrap w:val="0"/>
                  <w:vAlign w:val="center"/>
                </w:tcPr>
                <w:p w14:paraId="1D3F2F2D">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30D94BAC">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1AD9C535">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r w14:paraId="18FA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769" w:type="pct"/>
                  <w:vMerge w:val="continue"/>
                  <w:tcBorders>
                    <w:tl2br w:val="nil"/>
                    <w:tr2bl w:val="nil"/>
                  </w:tcBorders>
                  <w:noWrap w:val="0"/>
                  <w:vAlign w:val="center"/>
                </w:tcPr>
                <w:p w14:paraId="325F6092">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379" w:type="pct"/>
                  <w:vMerge w:val="continue"/>
                  <w:tcBorders>
                    <w:tl2br w:val="nil"/>
                    <w:tr2bl w:val="nil"/>
                  </w:tcBorders>
                  <w:noWrap w:val="0"/>
                  <w:vAlign w:val="center"/>
                </w:tcPr>
                <w:p w14:paraId="4AB380D9">
                  <w:pPr>
                    <w:pageBreakBefore w:val="0"/>
                    <w:shd w:val="clear"/>
                    <w:bidi w:val="0"/>
                    <w:spacing w:beforeAutospacing="0" w:afterAutospacing="0"/>
                    <w:ind w:left="0" w:leftChars="0" w:right="0" w:rightChars="0"/>
                    <w:jc w:val="center"/>
                    <w:rPr>
                      <w:rFonts w:hint="default" w:ascii="Times New Roman" w:hAnsi="Times New Roman" w:eastAsia="宋体" w:cs="Times New Roman"/>
                      <w:color w:val="auto"/>
                      <w:spacing w:val="0"/>
                      <w:w w:val="100"/>
                      <w:position w:val="0"/>
                      <w:sz w:val="21"/>
                      <w:szCs w:val="21"/>
                      <w:highlight w:val="none"/>
                      <w:lang w:val="en-US" w:eastAsia="zh-CN"/>
                    </w:rPr>
                  </w:pPr>
                </w:p>
              </w:tc>
              <w:tc>
                <w:tcPr>
                  <w:tcW w:w="1173" w:type="pct"/>
                  <w:tcBorders>
                    <w:tl2br w:val="nil"/>
                    <w:tr2bl w:val="nil"/>
                  </w:tcBorders>
                  <w:noWrap w:val="0"/>
                  <w:vAlign w:val="center"/>
                </w:tcPr>
                <w:p w14:paraId="73BE93D6">
                  <w:pPr>
                    <w:ind w:firstLine="0" w:firstLineChars="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718" w:type="pct"/>
                  <w:tcBorders>
                    <w:tl2br w:val="nil"/>
                    <w:tr2bl w:val="nil"/>
                  </w:tcBorders>
                  <w:noWrap w:val="0"/>
                  <w:vAlign w:val="center"/>
                </w:tcPr>
                <w:p w14:paraId="34E84521">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c>
                <w:tcPr>
                  <w:tcW w:w="959" w:type="pct"/>
                  <w:tcBorders>
                    <w:tl2br w:val="nil"/>
                    <w:tr2bl w:val="nil"/>
                  </w:tcBorders>
                  <w:noWrap w:val="0"/>
                  <w:vAlign w:val="center"/>
                </w:tcPr>
                <w:p w14:paraId="6C20D22E">
                  <w:pPr>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i w:val="0"/>
                      <w:color w:val="auto"/>
                      <w:sz w:val="21"/>
                      <w:szCs w:val="21"/>
                      <w:highlight w:val="none"/>
                      <w:lang w:val="en-US" w:eastAsia="zh-CN"/>
                    </w:rPr>
                    <w:t>1.5</w:t>
                  </w:r>
                  <w:r>
                    <w:rPr>
                      <w:rFonts w:hint="default" w:ascii="Arial" w:hAnsi="Arial" w:eastAsia="宋体" w:cs="Arial"/>
                      <w:b w:val="0"/>
                      <w:i w:val="0"/>
                      <w:color w:val="auto"/>
                      <w:sz w:val="21"/>
                      <w:szCs w:val="21"/>
                      <w:highlight w:val="none"/>
                      <w:lang w:val="en-US" w:eastAsia="zh-CN"/>
                    </w:rPr>
                    <w:t>×</w:t>
                  </w:r>
                  <w:r>
                    <w:rPr>
                      <w:rFonts w:hint="default" w:ascii="Times New Roman" w:hAnsi="Times New Roman" w:eastAsia="宋体" w:cs="Times New Roman"/>
                      <w:b w:val="0"/>
                      <w:i w:val="0"/>
                      <w:color w:val="auto"/>
                      <w:sz w:val="21"/>
                      <w:szCs w:val="21"/>
                      <w:highlight w:val="none"/>
                      <w:lang w:val="en-US" w:eastAsia="zh-CN"/>
                    </w:rPr>
                    <w:t>10</w:t>
                  </w:r>
                  <w:r>
                    <w:rPr>
                      <w:rFonts w:hint="eastAsia" w:ascii="Times New Roman" w:hAnsi="Times New Roman" w:eastAsia="宋体" w:cs="Times New Roman"/>
                      <w:b w:val="0"/>
                      <w:i w:val="0"/>
                      <w:color w:val="auto"/>
                      <w:sz w:val="21"/>
                      <w:szCs w:val="21"/>
                      <w:highlight w:val="none"/>
                      <w:vertAlign w:val="superscript"/>
                      <w:lang w:val="en-US" w:eastAsia="zh-CN"/>
                    </w:rPr>
                    <w:t>-3</w:t>
                  </w:r>
                  <w:r>
                    <w:rPr>
                      <w:rFonts w:hint="eastAsia" w:ascii="Times New Roman" w:hAnsi="Times New Roman" w:eastAsia="宋体" w:cs="Times New Roman"/>
                      <w:b w:val="0"/>
                      <w:i w:val="0"/>
                      <w:color w:val="auto"/>
                      <w:sz w:val="21"/>
                      <w:szCs w:val="21"/>
                      <w:highlight w:val="none"/>
                      <w:vertAlign w:val="baseline"/>
                      <w:lang w:val="en-US" w:eastAsia="zh-CN"/>
                    </w:rPr>
                    <w:t>L</w:t>
                  </w:r>
                </w:p>
              </w:tc>
            </w:tr>
          </w:tbl>
          <w:p w14:paraId="30DB4490">
            <w:pPr>
              <w:keepNext w:val="0"/>
              <w:keepLines w:val="0"/>
              <w:pageBreakBefore w:val="0"/>
              <w:wordWrap/>
              <w:overflowPunct/>
              <w:topLinePunct w:val="0"/>
              <w:bidi w:val="0"/>
              <w:adjustRightInd w:val="0"/>
              <w:snapToGrid w:val="0"/>
              <w:spacing w:line="360" w:lineRule="auto"/>
              <w:ind w:firstLine="480" w:firstLineChars="200"/>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z w:val="24"/>
                <w:szCs w:val="24"/>
                <w:highlight w:val="none"/>
                <w:lang w:eastAsia="zh-CN"/>
              </w:rPr>
              <w:t>根据表</w:t>
            </w:r>
            <w:r>
              <w:rPr>
                <w:rFonts w:hint="default" w:ascii="Times New Roman" w:hAnsi="Times New Roman" w:eastAsia="宋体" w:cs="Times New Roman"/>
                <w:color w:val="auto"/>
                <w:sz w:val="24"/>
                <w:szCs w:val="24"/>
                <w:highlight w:val="none"/>
                <w:lang w:val="en-US" w:eastAsia="zh-CN"/>
              </w:rPr>
              <w:t>3-3、3-4、3-5评价结果可知：</w:t>
            </w:r>
            <w:r>
              <w:rPr>
                <w:rFonts w:hint="default" w:ascii="Times New Roman" w:hAnsi="Times New Roman" w:eastAsia="宋体" w:cs="Times New Roman"/>
                <w:color w:val="auto"/>
                <w:sz w:val="24"/>
                <w:szCs w:val="24"/>
                <w:highlight w:val="none"/>
              </w:rPr>
              <w:t>项目所在</w:t>
            </w:r>
            <w:r>
              <w:rPr>
                <w:rFonts w:hint="default" w:ascii="Times New Roman" w:hAnsi="Times New Roman" w:eastAsia="宋体" w:cs="Times New Roman"/>
                <w:color w:val="auto"/>
                <w:sz w:val="24"/>
                <w:szCs w:val="24"/>
                <w:highlight w:val="none"/>
                <w:lang w:eastAsia="zh-CN"/>
              </w:rPr>
              <w:t>区域</w:t>
            </w:r>
            <w:r>
              <w:rPr>
                <w:rFonts w:hint="default" w:ascii="Times New Roman" w:hAnsi="Times New Roman" w:eastAsia="宋体" w:cs="Times New Roman"/>
                <w:color w:val="auto"/>
                <w:sz w:val="24"/>
                <w:szCs w:val="24"/>
                <w:highlight w:val="none"/>
              </w:rPr>
              <w:t>大气环境中</w:t>
            </w:r>
            <w:r>
              <w:rPr>
                <w:rFonts w:hint="default" w:ascii="Times New Roman" w:hAnsi="Times New Roman" w:eastAsia="宋体" w:cs="Times New Roman"/>
                <w:color w:val="auto"/>
                <w:sz w:val="24"/>
                <w:szCs w:val="24"/>
                <w:highlight w:val="none"/>
                <w:lang w:val="en-US" w:eastAsia="zh-CN"/>
              </w:rPr>
              <w:t>总悬浮颗粒物24h浓度，满足《环境空气质量标准》（GB3095-2012）二级标准，</w:t>
            </w:r>
            <w:r>
              <w:rPr>
                <w:rFonts w:hint="default" w:ascii="Times New Roman" w:hAnsi="Times New Roman" w:eastAsia="宋体" w:cs="Times New Roman"/>
                <w:bCs/>
                <w:color w:val="auto"/>
                <w:sz w:val="24"/>
                <w:szCs w:val="24"/>
                <w:highlight w:val="none"/>
              </w:rPr>
              <w:t>非甲烷总烃浓度</w:t>
            </w:r>
            <w:r>
              <w:rPr>
                <w:rFonts w:hint="default" w:ascii="Times New Roman" w:hAnsi="Times New Roman" w:eastAsia="宋体" w:cs="Times New Roman"/>
                <w:bCs/>
                <w:color w:val="auto"/>
                <w:sz w:val="24"/>
                <w:szCs w:val="24"/>
                <w:highlight w:val="none"/>
                <w:lang w:eastAsia="zh-CN"/>
              </w:rPr>
              <w:t>符合</w:t>
            </w:r>
            <w:r>
              <w:rPr>
                <w:rFonts w:hint="default" w:ascii="Times New Roman" w:hAnsi="Times New Roman" w:eastAsia="宋体" w:cs="Times New Roman"/>
                <w:bCs/>
                <w:color w:val="auto"/>
                <w:sz w:val="24"/>
                <w:szCs w:val="24"/>
                <w:highlight w:val="none"/>
              </w:rPr>
              <w:t>《大气污染物综合排放标准详解》中环境质量标准浓度限值要求</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color w:val="auto"/>
                <w:sz w:val="24"/>
                <w:szCs w:val="24"/>
                <w:highlight w:val="none"/>
              </w:rPr>
              <w:t>苯、甲苯、二甲苯浓度满足《环境影响评价技术导则-大气环境》附录 D 要求，因此评价区域内的空气质量环境现状良好。</w:t>
            </w:r>
          </w:p>
          <w:p w14:paraId="5891E51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b/>
                <w:color w:val="auto"/>
                <w:spacing w:val="0"/>
                <w:position w:val="0"/>
                <w:sz w:val="24"/>
                <w:szCs w:val="24"/>
                <w:highlight w:val="none"/>
              </w:rPr>
            </w:pPr>
            <w:r>
              <w:rPr>
                <w:rFonts w:hint="default" w:ascii="Times New Roman" w:hAnsi="Times New Roman" w:cs="Times New Roman" w:eastAsiaTheme="minorEastAsia"/>
                <w:b/>
                <w:color w:val="auto"/>
                <w:spacing w:val="0"/>
                <w:position w:val="0"/>
                <w:sz w:val="24"/>
                <w:szCs w:val="24"/>
                <w:highlight w:val="none"/>
                <w:lang w:val="en-US" w:eastAsia="zh-CN"/>
              </w:rPr>
              <w:t>二、地表水</w:t>
            </w:r>
            <w:r>
              <w:rPr>
                <w:rFonts w:hint="default" w:ascii="Times New Roman" w:hAnsi="Times New Roman" w:cs="Times New Roman" w:eastAsiaTheme="minorEastAsia"/>
                <w:b/>
                <w:color w:val="auto"/>
                <w:spacing w:val="0"/>
                <w:position w:val="0"/>
                <w:sz w:val="24"/>
                <w:szCs w:val="24"/>
                <w:highlight w:val="none"/>
              </w:rPr>
              <w:t>环境现状调查及评价</w:t>
            </w:r>
          </w:p>
          <w:p w14:paraId="4F2906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bCs/>
                <w:color w:val="auto"/>
                <w:spacing w:val="0"/>
                <w:position w:val="0"/>
                <w:sz w:val="24"/>
                <w:szCs w:val="24"/>
                <w:highlight w:val="none"/>
                <w:lang w:bidi="ar"/>
              </w:rPr>
            </w:pPr>
            <w:bookmarkStart w:id="1" w:name="_Toc122767240"/>
            <w:bookmarkStart w:id="2" w:name="_Toc123617253"/>
            <w:bookmarkStart w:id="3" w:name="_Toc121558111"/>
            <w:bookmarkStart w:id="4" w:name="_Toc203981548"/>
            <w:r>
              <w:rPr>
                <w:rFonts w:hint="default" w:ascii="Times New Roman" w:hAnsi="Times New Roman" w:cs="Times New Roman" w:eastAsiaTheme="minorEastAsia"/>
                <w:bCs/>
                <w:color w:val="auto"/>
                <w:spacing w:val="0"/>
                <w:position w:val="0"/>
                <w:sz w:val="24"/>
                <w:szCs w:val="24"/>
                <w:highlight w:val="none"/>
                <w:lang w:bidi="ar"/>
              </w:rPr>
              <w:t>根据《建设项目环境影响报告表编制技术指南（污染影响类）（试行）》要求“引用与建设项目距离近的有效数据，包括近3年的规划环境影响评价的监测数据，所在流域控制单元内国家、地方控制断面监测数据，生态</w:t>
            </w:r>
            <w:r>
              <w:rPr>
                <w:rFonts w:hint="default" w:ascii="Times New Roman" w:hAnsi="Times New Roman" w:cs="Times New Roman" w:eastAsiaTheme="minorEastAsia"/>
                <w:bCs/>
                <w:color w:val="auto"/>
                <w:spacing w:val="0"/>
                <w:position w:val="0"/>
                <w:sz w:val="24"/>
                <w:szCs w:val="24"/>
                <w:highlight w:val="none"/>
                <w:lang w:eastAsia="zh-CN" w:bidi="ar"/>
              </w:rPr>
              <w:t>环境</w:t>
            </w:r>
            <w:r>
              <w:rPr>
                <w:rFonts w:hint="default" w:ascii="Times New Roman" w:hAnsi="Times New Roman" w:cs="Times New Roman" w:eastAsiaTheme="minorEastAsia"/>
                <w:bCs/>
                <w:color w:val="auto"/>
                <w:spacing w:val="0"/>
                <w:position w:val="0"/>
                <w:sz w:val="24"/>
                <w:szCs w:val="24"/>
                <w:highlight w:val="none"/>
                <w:lang w:bidi="ar"/>
              </w:rPr>
              <w:t>主管部门发布的水环境质量数据或地表水达标情况的结论”。</w:t>
            </w:r>
          </w:p>
          <w:p w14:paraId="114537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bCs/>
                <w:color w:val="auto"/>
                <w:spacing w:val="0"/>
                <w:position w:val="0"/>
                <w:sz w:val="24"/>
                <w:szCs w:val="24"/>
                <w:highlight w:val="none"/>
                <w:lang w:eastAsia="zh-CN" w:bidi="ar"/>
              </w:rPr>
            </w:pPr>
            <w:r>
              <w:rPr>
                <w:rFonts w:hint="eastAsia" w:ascii="Times New Roman" w:hAnsi="Times New Roman" w:cs="Times New Roman" w:eastAsiaTheme="minorEastAsia"/>
                <w:bCs/>
                <w:color w:val="auto"/>
                <w:spacing w:val="0"/>
                <w:position w:val="0"/>
                <w:sz w:val="24"/>
                <w:szCs w:val="24"/>
                <w:highlight w:val="none"/>
                <w:lang w:val="en-US" w:eastAsia="zh-CN" w:bidi="ar"/>
              </w:rPr>
              <w:t>本项目区周边无地表水，距离最近的地表水为头屯河，</w:t>
            </w:r>
            <w:r>
              <w:rPr>
                <w:rFonts w:hint="default" w:ascii="Times New Roman" w:hAnsi="Times New Roman" w:cs="Times New Roman" w:eastAsiaTheme="minorEastAsia"/>
                <w:bCs/>
                <w:color w:val="auto"/>
                <w:spacing w:val="0"/>
                <w:position w:val="0"/>
                <w:sz w:val="24"/>
                <w:szCs w:val="24"/>
                <w:highlight w:val="none"/>
                <w:lang w:eastAsia="zh-CN" w:bidi="ar"/>
              </w:rPr>
              <w:t>根据昌吉州生态环境局发布《</w:t>
            </w:r>
            <w:r>
              <w:rPr>
                <w:rFonts w:hint="eastAsia" w:ascii="Times New Roman" w:hAnsi="Times New Roman" w:cs="Times New Roman" w:eastAsiaTheme="minorEastAsia"/>
                <w:bCs/>
                <w:color w:val="auto"/>
                <w:spacing w:val="0"/>
                <w:position w:val="0"/>
                <w:sz w:val="24"/>
                <w:szCs w:val="24"/>
                <w:highlight w:val="none"/>
                <w:lang w:val="en-US" w:eastAsia="zh-CN" w:bidi="ar"/>
              </w:rPr>
              <w:t>2025年8月水环境质量情况</w:t>
            </w:r>
            <w:r>
              <w:rPr>
                <w:rFonts w:hint="default" w:ascii="Times New Roman" w:hAnsi="Times New Roman" w:cs="Times New Roman" w:eastAsiaTheme="minorEastAsia"/>
                <w:bCs/>
                <w:color w:val="auto"/>
                <w:spacing w:val="0"/>
                <w:position w:val="0"/>
                <w:sz w:val="24"/>
                <w:szCs w:val="24"/>
                <w:highlight w:val="none"/>
                <w:lang w:eastAsia="zh-CN" w:bidi="ar"/>
              </w:rPr>
              <w:t>》，</w:t>
            </w:r>
            <w:r>
              <w:rPr>
                <w:rFonts w:hint="eastAsia" w:ascii="Times New Roman" w:hAnsi="Times New Roman" w:cs="Times New Roman" w:eastAsiaTheme="minorEastAsia"/>
                <w:bCs/>
                <w:color w:val="auto"/>
                <w:spacing w:val="0"/>
                <w:position w:val="0"/>
                <w:sz w:val="24"/>
                <w:szCs w:val="24"/>
                <w:highlight w:val="none"/>
                <w:lang w:val="en-US" w:eastAsia="zh-CN" w:bidi="ar"/>
              </w:rPr>
              <w:t>头屯河</w:t>
            </w:r>
            <w:r>
              <w:rPr>
                <w:rFonts w:hint="default" w:ascii="Times New Roman" w:hAnsi="Times New Roman" w:cs="Times New Roman" w:eastAsiaTheme="minorEastAsia"/>
                <w:bCs/>
                <w:color w:val="auto"/>
                <w:spacing w:val="0"/>
                <w:position w:val="0"/>
                <w:sz w:val="24"/>
                <w:szCs w:val="24"/>
                <w:highlight w:val="none"/>
                <w:lang w:eastAsia="zh-CN" w:bidi="ar"/>
              </w:rPr>
              <w:t>八钢（硫磺沟）</w:t>
            </w:r>
            <w:r>
              <w:rPr>
                <w:rFonts w:hint="eastAsia" w:ascii="Times New Roman" w:hAnsi="Times New Roman" w:cs="Times New Roman" w:eastAsiaTheme="minorEastAsia"/>
                <w:bCs/>
                <w:color w:val="auto"/>
                <w:spacing w:val="0"/>
                <w:position w:val="0"/>
                <w:sz w:val="24"/>
                <w:szCs w:val="24"/>
                <w:highlight w:val="none"/>
                <w:lang w:val="en-US" w:eastAsia="zh-CN" w:bidi="ar"/>
              </w:rPr>
              <w:t>断面水质类别达到Ⅱ类标准</w:t>
            </w:r>
            <w:r>
              <w:rPr>
                <w:rFonts w:hint="default" w:ascii="Times New Roman" w:hAnsi="Times New Roman" w:cs="Times New Roman" w:eastAsiaTheme="minorEastAsia"/>
                <w:bCs/>
                <w:color w:val="auto"/>
                <w:spacing w:val="0"/>
                <w:position w:val="0"/>
                <w:sz w:val="24"/>
                <w:szCs w:val="24"/>
                <w:highlight w:val="none"/>
                <w:lang w:eastAsia="zh-CN" w:bidi="ar"/>
              </w:rPr>
              <w:t>。</w:t>
            </w:r>
          </w:p>
          <w:p w14:paraId="6148C5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bCs/>
                <w:color w:val="auto"/>
                <w:spacing w:val="0"/>
                <w:position w:val="0"/>
                <w:sz w:val="24"/>
                <w:szCs w:val="24"/>
                <w:highlight w:val="none"/>
                <w:lang w:bidi="ar"/>
              </w:rPr>
            </w:pPr>
            <w:r>
              <w:rPr>
                <w:rFonts w:hint="default" w:ascii="Times New Roman" w:hAnsi="Times New Roman" w:cs="Times New Roman" w:eastAsiaTheme="minorEastAsia"/>
                <w:bCs/>
                <w:color w:val="auto"/>
                <w:spacing w:val="0"/>
                <w:position w:val="0"/>
                <w:sz w:val="24"/>
                <w:szCs w:val="24"/>
                <w:highlight w:val="none"/>
                <w:lang w:bidi="ar"/>
              </w:rPr>
              <w:t>本项目与地表水体</w:t>
            </w:r>
            <w:r>
              <w:rPr>
                <w:rFonts w:hint="default" w:ascii="Times New Roman" w:hAnsi="Times New Roman" w:cs="Times New Roman" w:eastAsiaTheme="minorEastAsia"/>
                <w:bCs/>
                <w:color w:val="auto"/>
                <w:spacing w:val="0"/>
                <w:position w:val="0"/>
                <w:sz w:val="24"/>
                <w:szCs w:val="24"/>
                <w:highlight w:val="none"/>
                <w:lang w:val="en-US" w:eastAsia="zh-CN" w:bidi="ar"/>
              </w:rPr>
              <w:t>不发生水力联系</w:t>
            </w:r>
            <w:r>
              <w:rPr>
                <w:rFonts w:hint="default" w:ascii="Times New Roman" w:hAnsi="Times New Roman" w:cs="Times New Roman" w:eastAsiaTheme="minorEastAsia"/>
                <w:bCs/>
                <w:color w:val="auto"/>
                <w:spacing w:val="0"/>
                <w:position w:val="0"/>
                <w:sz w:val="24"/>
                <w:szCs w:val="24"/>
                <w:highlight w:val="none"/>
                <w:lang w:bidi="ar"/>
              </w:rPr>
              <w:t>，既不从地表水体取水，也不向其中排水。根据《环境影响评价技术导则 地表水环境》（HJ2.3-2018），本项目地表水环境评价等级为三级B，项目区厂界外1km范围内无地表水环境保护目标。</w:t>
            </w:r>
          </w:p>
          <w:bookmarkEnd w:id="1"/>
          <w:bookmarkEnd w:id="2"/>
          <w:bookmarkEnd w:id="3"/>
          <w:bookmarkEnd w:id="4"/>
          <w:p w14:paraId="1DE8B08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rPr>
            </w:pPr>
            <w:r>
              <w:rPr>
                <w:rFonts w:hint="default" w:ascii="Times New Roman" w:hAnsi="Times New Roman" w:eastAsia="宋体" w:cs="Times New Roman"/>
                <w:b/>
                <w:bCs/>
                <w:color w:val="auto"/>
                <w:spacing w:val="0"/>
                <w:kern w:val="0"/>
                <w:position w:val="0"/>
                <w:sz w:val="24"/>
                <w:szCs w:val="24"/>
                <w:highlight w:val="none"/>
                <w:lang w:val="en-US" w:eastAsia="zh-CN"/>
              </w:rPr>
              <w:t>三、声环境质量现状监测及评价</w:t>
            </w:r>
          </w:p>
          <w:p w14:paraId="4EBB8D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szCs w:val="24"/>
                <w:highlight w:val="none"/>
                <w:lang w:val="en-US" w:eastAsia="zh-CN"/>
              </w:rPr>
            </w:pPr>
            <w:r>
              <w:rPr>
                <w:rFonts w:hint="default" w:ascii="Times New Roman" w:hAnsi="Times New Roman" w:eastAsia="宋体" w:cs="Times New Roman"/>
                <w:color w:val="auto"/>
                <w:kern w:val="0"/>
                <w:sz w:val="24"/>
                <w:highlight w:val="none"/>
              </w:rPr>
              <w:t>依据《建设项目环境影响报告表编制技术指南（污染影响类）（试行）》</w:t>
            </w:r>
            <w:r>
              <w:rPr>
                <w:rFonts w:hint="default" w:ascii="Times New Roman" w:hAnsi="Times New Roman" w:eastAsia="宋体" w:cs="Times New Roman"/>
                <w:color w:val="auto"/>
                <w:kern w:val="0"/>
                <w:sz w:val="24"/>
                <w:highlight w:val="none"/>
                <w:lang w:eastAsia="zh-CN"/>
              </w:rPr>
              <w:t>：厂界外周边50米范围内存在声环境保护目标的建设项目，应监测保护目标声环境质量现状并评价达标情况，本项目</w:t>
            </w:r>
            <w:r>
              <w:rPr>
                <w:rFonts w:hint="default" w:ascii="Times New Roman" w:hAnsi="Times New Roman" w:eastAsia="宋体" w:cs="Times New Roman"/>
                <w:color w:val="auto"/>
                <w:kern w:val="0"/>
                <w:sz w:val="24"/>
                <w:highlight w:val="none"/>
                <w:lang w:val="en-US" w:eastAsia="zh-CN"/>
              </w:rPr>
              <w:t>50米范围内无声环境保护目标，因此</w:t>
            </w:r>
            <w:r>
              <w:rPr>
                <w:rFonts w:hint="eastAsia" w:ascii="Times New Roman" w:hAnsi="Times New Roman" w:eastAsia="宋体" w:cs="Times New Roman"/>
                <w:color w:val="auto"/>
                <w:kern w:val="0"/>
                <w:sz w:val="24"/>
                <w:highlight w:val="none"/>
                <w:lang w:val="en-US" w:eastAsia="zh-CN"/>
              </w:rPr>
              <w:t>不作声</w:t>
            </w:r>
            <w:r>
              <w:rPr>
                <w:rFonts w:hint="default" w:ascii="Times New Roman" w:hAnsi="Times New Roman" w:eastAsia="宋体" w:cs="Times New Roman"/>
                <w:color w:val="auto"/>
                <w:kern w:val="0"/>
                <w:sz w:val="24"/>
                <w:highlight w:val="none"/>
                <w:lang w:val="en-US" w:eastAsia="zh-CN"/>
              </w:rPr>
              <w:t>环境质量现状调查。</w:t>
            </w:r>
          </w:p>
          <w:p w14:paraId="063EDD3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eastAsiaTheme="minorEastAsia"/>
                <w:b/>
                <w:bCs/>
                <w:color w:val="auto"/>
                <w:spacing w:val="0"/>
                <w:kern w:val="0"/>
                <w:position w:val="0"/>
                <w:sz w:val="24"/>
                <w:szCs w:val="24"/>
                <w:highlight w:val="none"/>
                <w:lang w:val="en-US" w:eastAsia="zh-CN"/>
              </w:rPr>
            </w:pPr>
            <w:r>
              <w:rPr>
                <w:rFonts w:hint="default" w:ascii="Times New Roman" w:hAnsi="Times New Roman" w:cs="Times New Roman" w:eastAsiaTheme="minorEastAsia"/>
                <w:b/>
                <w:bCs/>
                <w:color w:val="auto"/>
                <w:spacing w:val="0"/>
                <w:kern w:val="0"/>
                <w:position w:val="0"/>
                <w:sz w:val="24"/>
                <w:szCs w:val="24"/>
                <w:highlight w:val="none"/>
                <w:lang w:val="en-US" w:eastAsia="zh-CN"/>
              </w:rPr>
              <w:t>四、生态环境质量现状监测及评价</w:t>
            </w:r>
          </w:p>
          <w:p w14:paraId="47F88456">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before="0" w:after="0" w:line="360" w:lineRule="auto"/>
              <w:ind w:right="0" w:rightChars="0"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依据《建设项目环境影响报告表编制技术指南（污染影响类）（试行）》：产业园区外建设项目新增用地且用地范围内含有生态环境保护目标时，应进行生态现状调查。本项目位于新疆昌吉州</w:t>
            </w:r>
            <w:r>
              <w:rPr>
                <w:rFonts w:hint="default" w:ascii="Times New Roman" w:hAnsi="Times New Roman" w:eastAsia="Helvetica" w:cs="Times New Roman"/>
                <w:i w:val="0"/>
                <w:iCs w:val="0"/>
                <w:caps w:val="0"/>
                <w:color w:val="auto"/>
                <w:spacing w:val="0"/>
                <w:sz w:val="24"/>
                <w:szCs w:val="24"/>
                <w:highlight w:val="none"/>
                <w:shd w:val="clear" w:fill="FFFFFF"/>
              </w:rPr>
              <w:t>昌吉市三工镇</w:t>
            </w:r>
            <w:r>
              <w:rPr>
                <w:rFonts w:hint="default" w:ascii="Times New Roman" w:hAnsi="Times New Roman" w:eastAsia="宋体" w:cs="Times New Roman"/>
                <w:color w:val="auto"/>
                <w:sz w:val="24"/>
                <w:szCs w:val="24"/>
                <w:highlight w:val="none"/>
                <w:lang w:val="en-US" w:eastAsia="zh-CN"/>
              </w:rPr>
              <w:t>空港合作区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纬</w:t>
            </w:r>
            <w:r>
              <w:rPr>
                <w:rFonts w:hint="default" w:ascii="Times New Roman" w:hAnsi="Times New Roman" w:eastAsia="Helvetica" w:cs="Times New Roman"/>
                <w:i w:val="0"/>
                <w:iCs w:val="0"/>
                <w:caps w:val="0"/>
                <w:color w:val="auto"/>
                <w:spacing w:val="0"/>
                <w:sz w:val="24"/>
                <w:szCs w:val="24"/>
                <w:highlight w:val="none"/>
                <w:shd w:val="clear" w:fill="FFFFFF"/>
              </w:rPr>
              <w:t>三路</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北侧</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pacing w:val="-3"/>
                <w:kern w:val="0"/>
                <w:sz w:val="24"/>
                <w:szCs w:val="24"/>
                <w:highlight w:val="none"/>
                <w:lang w:val="en-US" w:eastAsia="zh-CN" w:bidi="ar-SA"/>
              </w:rPr>
              <w:t>用地范围内无生态环境保护目标，因此本环评不再开展生态现状调查</w:t>
            </w:r>
            <w:r>
              <w:rPr>
                <w:rFonts w:hint="default" w:ascii="Times New Roman" w:hAnsi="Times New Roman" w:eastAsia="宋体" w:cs="Times New Roman"/>
                <w:color w:val="auto"/>
                <w:sz w:val="24"/>
                <w:szCs w:val="24"/>
                <w:highlight w:val="none"/>
                <w:lang w:val="en-US" w:eastAsia="zh-CN"/>
              </w:rPr>
              <w:t>。</w:t>
            </w:r>
          </w:p>
          <w:p w14:paraId="6598C6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eastAsiaTheme="minorEastAsia"/>
                <w:b/>
                <w:bCs/>
                <w:color w:val="auto"/>
                <w:spacing w:val="0"/>
                <w:kern w:val="0"/>
                <w:position w:val="0"/>
                <w:sz w:val="24"/>
                <w:szCs w:val="24"/>
                <w:highlight w:val="none"/>
                <w:lang w:val="en-US" w:eastAsia="zh-CN"/>
              </w:rPr>
            </w:pPr>
            <w:r>
              <w:rPr>
                <w:rFonts w:hint="default" w:ascii="Times New Roman" w:hAnsi="Times New Roman" w:cs="Times New Roman" w:eastAsiaTheme="minorEastAsia"/>
                <w:b/>
                <w:bCs/>
                <w:color w:val="auto"/>
                <w:spacing w:val="0"/>
                <w:kern w:val="0"/>
                <w:position w:val="0"/>
                <w:sz w:val="24"/>
                <w:szCs w:val="24"/>
                <w:highlight w:val="none"/>
                <w:lang w:val="en-US" w:eastAsia="zh-CN"/>
              </w:rPr>
              <w:t>五、地下水、土壤环境质量现状</w:t>
            </w:r>
          </w:p>
          <w:p w14:paraId="12EA6F7C">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before="0" w:after="0" w:line="360" w:lineRule="auto"/>
              <w:ind w:right="0" w:rightChars="0"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highlight w:val="none"/>
              </w:rPr>
              <w:t>依据《建设项目环境影响报告表编制技术指南（污染影响类）（试行）》</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szCs w:val="24"/>
                <w:highlight w:val="none"/>
                <w:lang w:val="en-US" w:eastAsia="zh-CN"/>
              </w:rPr>
              <w:t>原则上不开展环境质量现状调查。建设项目存在土壤、地下水环境污染途径的，应结合污染源、保护目标分布情况开展现状调查以留作背景值。本项目用地范围内均进行了硬化，不存在土壤、地下水环境污染途径，本项目不涉及重金属及持久性挥发性有机污染物的排放，可以不进行土壤、地下水环境质量现状监测。</w:t>
            </w:r>
          </w:p>
          <w:p w14:paraId="3E431AF5">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before="0" w:after="0" w:line="360" w:lineRule="auto"/>
              <w:ind w:right="0" w:rightChars="0"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p>
          <w:p w14:paraId="5841E0B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highlight w:val="none"/>
              </w:rPr>
            </w:pPr>
          </w:p>
        </w:tc>
      </w:tr>
      <w:tr w14:paraId="09F86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404" w:hRule="atLeast"/>
          <w:jc w:val="center"/>
        </w:trPr>
        <w:tc>
          <w:tcPr>
            <w:tcW w:w="422" w:type="dxa"/>
            <w:tcBorders>
              <w:left w:val="single" w:color="000000" w:sz="6" w:space="0"/>
            </w:tcBorders>
            <w:vAlign w:val="center"/>
          </w:tcPr>
          <w:p w14:paraId="42CCAE2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position w:val="4"/>
                <w:sz w:val="24"/>
                <w:szCs w:val="24"/>
                <w:highlight w:val="none"/>
              </w:rPr>
              <w:t>环</w:t>
            </w:r>
            <w:r>
              <w:rPr>
                <w:rFonts w:hint="default" w:ascii="Times New Roman" w:hAnsi="Times New Roman" w:eastAsia="宋体" w:cs="Times New Roman"/>
                <w:color w:val="auto"/>
                <w:spacing w:val="4"/>
                <w:position w:val="4"/>
                <w:sz w:val="24"/>
                <w:szCs w:val="24"/>
                <w:highlight w:val="none"/>
              </w:rPr>
              <w:t>境</w:t>
            </w:r>
            <w:r>
              <w:rPr>
                <w:rFonts w:hint="default" w:ascii="Times New Roman" w:hAnsi="Times New Roman" w:eastAsia="宋体" w:cs="Times New Roman"/>
                <w:color w:val="auto"/>
                <w:spacing w:val="4"/>
                <w:sz w:val="24"/>
                <w:szCs w:val="24"/>
                <w:highlight w:val="none"/>
              </w:rPr>
              <w:t>保护</w:t>
            </w:r>
            <w:r>
              <w:rPr>
                <w:rFonts w:hint="default" w:ascii="Times New Roman" w:hAnsi="Times New Roman" w:eastAsia="宋体" w:cs="Times New Roman"/>
                <w:color w:val="auto"/>
                <w:spacing w:val="-16"/>
                <w:sz w:val="24"/>
                <w:szCs w:val="24"/>
                <w:highlight w:val="none"/>
              </w:rPr>
              <w:t>目</w:t>
            </w:r>
            <w:r>
              <w:rPr>
                <w:rFonts w:hint="default" w:ascii="Times New Roman" w:hAnsi="Times New Roman" w:eastAsia="宋体" w:cs="Times New Roman"/>
                <w:color w:val="auto"/>
                <w:spacing w:val="-15"/>
                <w:sz w:val="24"/>
                <w:szCs w:val="24"/>
                <w:highlight w:val="none"/>
              </w:rPr>
              <w:t>标</w:t>
            </w:r>
          </w:p>
        </w:tc>
        <w:tc>
          <w:tcPr>
            <w:tcW w:w="8572" w:type="dxa"/>
            <w:tcBorders>
              <w:right w:val="single" w:color="000000" w:sz="6" w:space="0"/>
            </w:tcBorders>
            <w:vAlign w:val="top"/>
          </w:tcPr>
          <w:p w14:paraId="2006EE6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eastAsiaTheme="minorEastAsia"/>
                <w:color w:val="auto"/>
                <w:spacing w:val="0"/>
                <w:position w:val="0"/>
                <w:sz w:val="24"/>
                <w:szCs w:val="24"/>
                <w:highlight w:val="none"/>
                <w:u w:val="none"/>
                <w:lang w:val="en-US" w:eastAsia="zh-CN"/>
              </w:rPr>
            </w:pPr>
            <w:r>
              <w:rPr>
                <w:rFonts w:hint="default" w:ascii="Times New Roman" w:hAnsi="Times New Roman" w:cs="Times New Roman" w:eastAsiaTheme="minorEastAsia"/>
                <w:b/>
                <w:bCs/>
                <w:color w:val="auto"/>
                <w:spacing w:val="0"/>
                <w:kern w:val="0"/>
                <w:position w:val="0"/>
                <w:sz w:val="24"/>
                <w:szCs w:val="24"/>
                <w:highlight w:val="none"/>
                <w:lang w:val="en-US" w:eastAsia="zh-CN"/>
              </w:rPr>
              <w:t>大气环境：</w:t>
            </w:r>
            <w:r>
              <w:rPr>
                <w:rFonts w:hint="default" w:ascii="Times New Roman" w:hAnsi="Times New Roman" w:cs="Times New Roman" w:eastAsiaTheme="minorEastAsia"/>
                <w:b w:val="0"/>
                <w:bCs w:val="0"/>
                <w:color w:val="auto"/>
                <w:spacing w:val="0"/>
                <w:kern w:val="0"/>
                <w:position w:val="0"/>
                <w:sz w:val="24"/>
                <w:szCs w:val="24"/>
                <w:highlight w:val="none"/>
                <w:lang w:val="en-US" w:eastAsia="zh-CN"/>
              </w:rPr>
              <w:t>本项目厂界外500m范围内无自然保护区、风景名胜区、居住区、文化区和农村地区中人群较集中的区域等环境敏感区。</w:t>
            </w:r>
          </w:p>
          <w:p w14:paraId="5148C7E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eastAsiaTheme="minorEastAsia"/>
                <w:color w:val="auto"/>
                <w:spacing w:val="0"/>
                <w:kern w:val="0"/>
                <w:position w:val="0"/>
                <w:sz w:val="24"/>
                <w:szCs w:val="24"/>
                <w:highlight w:val="none"/>
                <w:lang w:val="en-US" w:eastAsia="zh-CN"/>
              </w:rPr>
            </w:pPr>
            <w:r>
              <w:rPr>
                <w:rFonts w:hint="default" w:ascii="Times New Roman" w:hAnsi="Times New Roman" w:cs="Times New Roman" w:eastAsiaTheme="minorEastAsia"/>
                <w:b/>
                <w:bCs/>
                <w:color w:val="auto"/>
                <w:spacing w:val="0"/>
                <w:kern w:val="0"/>
                <w:position w:val="0"/>
                <w:sz w:val="24"/>
                <w:szCs w:val="24"/>
                <w:highlight w:val="none"/>
                <w:lang w:val="en-US" w:eastAsia="zh-CN"/>
              </w:rPr>
              <w:t>声环境：</w:t>
            </w:r>
            <w:r>
              <w:rPr>
                <w:rFonts w:hint="default" w:ascii="Times New Roman" w:hAnsi="Times New Roman" w:cs="Times New Roman" w:eastAsiaTheme="minorEastAsia"/>
                <w:color w:val="auto"/>
                <w:spacing w:val="0"/>
                <w:position w:val="0"/>
                <w:sz w:val="24"/>
                <w:szCs w:val="24"/>
                <w:highlight w:val="none"/>
              </w:rPr>
              <w:t>项目区</w:t>
            </w:r>
            <w:r>
              <w:rPr>
                <w:rFonts w:hint="default" w:ascii="Times New Roman" w:hAnsi="Times New Roman" w:cs="Times New Roman" w:eastAsiaTheme="minorEastAsia"/>
                <w:color w:val="auto"/>
                <w:spacing w:val="0"/>
                <w:position w:val="0"/>
                <w:sz w:val="24"/>
                <w:szCs w:val="24"/>
                <w:highlight w:val="none"/>
                <w:lang w:eastAsia="zh-CN"/>
              </w:rPr>
              <w:t>厂界外</w:t>
            </w:r>
            <w:r>
              <w:rPr>
                <w:rFonts w:hint="default" w:ascii="Times New Roman" w:hAnsi="Times New Roman" w:cs="Times New Roman" w:eastAsiaTheme="minorEastAsia"/>
                <w:color w:val="auto"/>
                <w:spacing w:val="0"/>
                <w:position w:val="0"/>
                <w:sz w:val="24"/>
                <w:szCs w:val="24"/>
                <w:highlight w:val="none"/>
                <w:lang w:val="en-US" w:eastAsia="zh-CN"/>
              </w:rPr>
              <w:t>50m范围内</w:t>
            </w:r>
            <w:r>
              <w:rPr>
                <w:rFonts w:hint="default" w:ascii="Times New Roman" w:hAnsi="Times New Roman" w:cs="Times New Roman" w:eastAsiaTheme="minorEastAsia"/>
                <w:color w:val="auto"/>
                <w:spacing w:val="0"/>
                <w:position w:val="0"/>
                <w:sz w:val="24"/>
                <w:szCs w:val="24"/>
                <w:highlight w:val="none"/>
              </w:rPr>
              <w:t>无以居住、医疗卫生、文化教育、科研、行政办公等为主要功能的区域</w:t>
            </w:r>
            <w:r>
              <w:rPr>
                <w:rFonts w:hint="default" w:ascii="Times New Roman" w:hAnsi="Times New Roman" w:cs="Times New Roman" w:eastAsiaTheme="minorEastAsia"/>
                <w:color w:val="auto"/>
                <w:spacing w:val="0"/>
                <w:position w:val="0"/>
                <w:sz w:val="24"/>
                <w:szCs w:val="24"/>
                <w:highlight w:val="none"/>
                <w:lang w:eastAsia="zh-CN"/>
              </w:rPr>
              <w:t>保护</w:t>
            </w:r>
            <w:r>
              <w:rPr>
                <w:rFonts w:hint="default" w:ascii="Times New Roman" w:hAnsi="Times New Roman" w:cs="Times New Roman" w:eastAsiaTheme="minorEastAsia"/>
                <w:color w:val="auto"/>
                <w:spacing w:val="0"/>
                <w:position w:val="0"/>
                <w:sz w:val="24"/>
                <w:szCs w:val="24"/>
                <w:highlight w:val="none"/>
              </w:rPr>
              <w:t>目标分布</w:t>
            </w:r>
            <w:r>
              <w:rPr>
                <w:rFonts w:hint="default" w:ascii="Times New Roman" w:hAnsi="Times New Roman" w:cs="Times New Roman" w:eastAsiaTheme="minorEastAsia"/>
                <w:color w:val="auto"/>
                <w:spacing w:val="0"/>
                <w:position w:val="0"/>
                <w:sz w:val="24"/>
                <w:szCs w:val="24"/>
                <w:highlight w:val="none"/>
                <w:lang w:eastAsia="zh-CN"/>
              </w:rPr>
              <w:t>。</w:t>
            </w:r>
          </w:p>
          <w:p w14:paraId="1A3BE13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eastAsiaTheme="minorEastAsia"/>
                <w:color w:val="auto"/>
                <w:spacing w:val="0"/>
                <w:position w:val="0"/>
                <w:sz w:val="24"/>
                <w:szCs w:val="24"/>
                <w:highlight w:val="none"/>
                <w:lang w:val="en-US" w:eastAsia="zh-CN"/>
              </w:rPr>
            </w:pPr>
            <w:r>
              <w:rPr>
                <w:rFonts w:hint="default" w:ascii="Times New Roman" w:hAnsi="Times New Roman" w:cs="Times New Roman" w:eastAsiaTheme="minorEastAsia"/>
                <w:b/>
                <w:bCs/>
                <w:color w:val="auto"/>
                <w:spacing w:val="0"/>
                <w:kern w:val="0"/>
                <w:position w:val="0"/>
                <w:sz w:val="24"/>
                <w:szCs w:val="24"/>
                <w:highlight w:val="none"/>
                <w:lang w:val="en-US" w:eastAsia="zh-CN"/>
              </w:rPr>
              <w:t>地下水环境：</w:t>
            </w:r>
            <w:r>
              <w:rPr>
                <w:rFonts w:hint="default" w:ascii="Times New Roman" w:hAnsi="Times New Roman" w:cs="Times New Roman" w:eastAsiaTheme="minorEastAsia"/>
                <w:color w:val="auto"/>
                <w:spacing w:val="0"/>
                <w:position w:val="0"/>
                <w:sz w:val="24"/>
                <w:szCs w:val="24"/>
                <w:highlight w:val="none"/>
              </w:rPr>
              <w:t>项目区厂界外500米范围内</w:t>
            </w:r>
            <w:r>
              <w:rPr>
                <w:rFonts w:hint="default" w:ascii="Times New Roman" w:hAnsi="Times New Roman" w:cs="Times New Roman" w:eastAsiaTheme="minorEastAsia"/>
                <w:color w:val="auto"/>
                <w:spacing w:val="0"/>
                <w:position w:val="0"/>
                <w:sz w:val="24"/>
                <w:szCs w:val="24"/>
                <w:highlight w:val="none"/>
                <w:lang w:eastAsia="zh-CN"/>
              </w:rPr>
              <w:t>无</w:t>
            </w:r>
            <w:r>
              <w:rPr>
                <w:rFonts w:hint="default" w:ascii="Times New Roman" w:hAnsi="Times New Roman" w:cs="Times New Roman" w:eastAsiaTheme="minorEastAsia"/>
                <w:color w:val="auto"/>
                <w:spacing w:val="0"/>
                <w:position w:val="0"/>
                <w:sz w:val="24"/>
                <w:szCs w:val="24"/>
                <w:highlight w:val="none"/>
              </w:rPr>
              <w:t>地下水集中式饮用水水源和热水、矿泉水、温泉等特殊地下水资源</w:t>
            </w:r>
            <w:r>
              <w:rPr>
                <w:rFonts w:hint="default" w:ascii="Times New Roman" w:hAnsi="Times New Roman" w:cs="Times New Roman" w:eastAsiaTheme="minorEastAsia"/>
                <w:color w:val="auto"/>
                <w:spacing w:val="0"/>
                <w:position w:val="0"/>
                <w:sz w:val="24"/>
                <w:szCs w:val="24"/>
                <w:highlight w:val="none"/>
                <w:lang w:eastAsia="zh-CN"/>
              </w:rPr>
              <w:t>，本项目确保所在区域的水环境不改变其现有使用功能</w:t>
            </w:r>
            <w:r>
              <w:rPr>
                <w:rFonts w:hint="default" w:ascii="Times New Roman" w:hAnsi="Times New Roman" w:cs="Times New Roman" w:eastAsiaTheme="minorEastAsia"/>
                <w:color w:val="auto"/>
                <w:spacing w:val="0"/>
                <w:position w:val="0"/>
                <w:sz w:val="24"/>
                <w:szCs w:val="24"/>
                <w:highlight w:val="none"/>
                <w:lang w:val="en-US" w:eastAsia="zh-CN"/>
              </w:rPr>
              <w:t>；</w:t>
            </w:r>
          </w:p>
          <w:p w14:paraId="6D09F24A">
            <w:pPr>
              <w:pStyle w:val="38"/>
              <w:keepNext w:val="0"/>
              <w:keepLines w:val="0"/>
              <w:pageBreakBefore w:val="0"/>
              <w:widowControl/>
              <w:kinsoku w:val="0"/>
              <w:wordWrap/>
              <w:overflowPunct/>
              <w:topLinePunct w:val="0"/>
              <w:autoSpaceDE w:val="0"/>
              <w:autoSpaceDN w:val="0"/>
              <w:bidi w:val="0"/>
              <w:adjustRightInd w:val="0"/>
              <w:snapToGrid w:val="0"/>
              <w:spacing w:before="0" w:beforeLines="0" w:line="360" w:lineRule="auto"/>
              <w:jc w:val="both"/>
              <w:textAlignment w:val="baseline"/>
              <w:rPr>
                <w:rFonts w:hint="default" w:ascii="Times New Roman" w:hAnsi="Times New Roman" w:cs="Times New Roman"/>
                <w:color w:val="auto"/>
                <w:highlight w:val="none"/>
              </w:rPr>
            </w:pPr>
            <w:r>
              <w:rPr>
                <w:rFonts w:hint="default" w:ascii="Times New Roman" w:hAnsi="Times New Roman" w:eastAsia="宋体" w:cs="Times New Roman"/>
                <w:b/>
                <w:bCs/>
                <w:color w:val="auto"/>
                <w:spacing w:val="0"/>
                <w:kern w:val="0"/>
                <w:position w:val="0"/>
                <w:sz w:val="24"/>
                <w:szCs w:val="24"/>
                <w:highlight w:val="none"/>
                <w:lang w:val="en-US" w:eastAsia="zh-CN"/>
              </w:rPr>
              <w:t>生态环境：</w:t>
            </w:r>
            <w:r>
              <w:rPr>
                <w:rFonts w:hint="default" w:ascii="Times New Roman" w:hAnsi="Times New Roman" w:eastAsia="宋体" w:cs="Times New Roman"/>
                <w:color w:val="auto"/>
                <w:spacing w:val="0"/>
                <w:kern w:val="0"/>
                <w:position w:val="0"/>
                <w:sz w:val="24"/>
                <w:szCs w:val="24"/>
                <w:highlight w:val="none"/>
                <w:lang w:eastAsia="zh-CN"/>
              </w:rPr>
              <w:t>本项目</w:t>
            </w:r>
            <w:r>
              <w:rPr>
                <w:rFonts w:hint="default" w:ascii="Times New Roman" w:hAnsi="Times New Roman" w:eastAsia="宋体" w:cs="Times New Roman"/>
                <w:color w:val="auto"/>
                <w:spacing w:val="0"/>
                <w:kern w:val="0"/>
                <w:position w:val="0"/>
                <w:sz w:val="24"/>
                <w:szCs w:val="24"/>
                <w:highlight w:val="none"/>
              </w:rPr>
              <w:t>位于</w:t>
            </w:r>
            <w:r>
              <w:rPr>
                <w:rFonts w:hint="default" w:ascii="Times New Roman" w:hAnsi="Times New Roman" w:eastAsia="宋体" w:cs="Times New Roman"/>
                <w:color w:val="auto"/>
                <w:sz w:val="24"/>
                <w:szCs w:val="24"/>
                <w:highlight w:val="none"/>
                <w:lang w:val="en-US" w:eastAsia="zh-CN"/>
              </w:rPr>
              <w:t>新疆昌吉州</w:t>
            </w:r>
            <w:r>
              <w:rPr>
                <w:rFonts w:hint="default" w:ascii="Times New Roman" w:hAnsi="Times New Roman" w:eastAsia="Helvetica" w:cs="Times New Roman"/>
                <w:i w:val="0"/>
                <w:iCs w:val="0"/>
                <w:caps w:val="0"/>
                <w:color w:val="auto"/>
                <w:spacing w:val="0"/>
                <w:sz w:val="24"/>
                <w:szCs w:val="24"/>
                <w:highlight w:val="none"/>
                <w:shd w:val="clear" w:fill="FFFFFF"/>
              </w:rPr>
              <w:t>昌吉市三工镇</w:t>
            </w:r>
            <w:r>
              <w:rPr>
                <w:rFonts w:hint="default" w:ascii="Times New Roman" w:hAnsi="Times New Roman" w:eastAsia="宋体" w:cs="Times New Roman"/>
                <w:color w:val="auto"/>
                <w:sz w:val="24"/>
                <w:szCs w:val="24"/>
                <w:highlight w:val="none"/>
                <w:lang w:val="en-US" w:eastAsia="zh-CN"/>
              </w:rPr>
              <w:t>空港合作区</w:t>
            </w:r>
            <w:r>
              <w:rPr>
                <w:rFonts w:hint="default" w:ascii="Times New Roman" w:hAnsi="Times New Roman" w:eastAsia="Helvetica" w:cs="Times New Roman"/>
                <w:i w:val="0"/>
                <w:iCs w:val="0"/>
                <w:caps w:val="0"/>
                <w:color w:val="auto"/>
                <w:spacing w:val="0"/>
                <w:sz w:val="24"/>
                <w:szCs w:val="24"/>
                <w:highlight w:val="none"/>
                <w:shd w:val="clear" w:fill="FFFFFF"/>
              </w:rPr>
              <w:t>纬三路</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北侧</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kern w:val="0"/>
                <w:position w:val="0"/>
                <w:sz w:val="24"/>
                <w:szCs w:val="24"/>
                <w:highlight w:val="none"/>
                <w:lang w:eastAsia="zh-CN"/>
              </w:rPr>
              <w:t>用地范围内</w:t>
            </w:r>
            <w:r>
              <w:rPr>
                <w:rFonts w:hint="default" w:ascii="Times New Roman" w:hAnsi="Times New Roman" w:eastAsia="宋体" w:cs="Times New Roman"/>
                <w:color w:val="auto"/>
                <w:highlight w:val="none"/>
                <w:lang w:val="en-US" w:eastAsia="zh-CN"/>
              </w:rPr>
              <w:t>生态环境保护目标详见表3-6</w:t>
            </w:r>
            <w:r>
              <w:rPr>
                <w:rFonts w:hint="default" w:ascii="Times New Roman" w:hAnsi="Times New Roman" w:eastAsia="宋体" w:cs="Times New Roman"/>
                <w:color w:val="auto"/>
                <w:spacing w:val="0"/>
                <w:kern w:val="0"/>
                <w:position w:val="0"/>
                <w:sz w:val="24"/>
                <w:szCs w:val="24"/>
                <w:highlight w:val="none"/>
                <w:lang w:eastAsia="zh-CN"/>
              </w:rPr>
              <w:t>。</w:t>
            </w:r>
          </w:p>
          <w:p w14:paraId="4660DD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z w:val="21"/>
                <w:szCs w:val="21"/>
                <w:highlight w:val="none"/>
              </w:rPr>
              <w:t>表</w:t>
            </w:r>
            <w:r>
              <w:rPr>
                <w:rFonts w:hint="default" w:ascii="Times New Roman" w:hAnsi="Times New Roman" w:cs="Times New Roman" w:eastAsiaTheme="minorEastAsia"/>
                <w:b/>
                <w:bCs/>
                <w:color w:val="auto"/>
                <w:sz w:val="21"/>
                <w:szCs w:val="21"/>
                <w:highlight w:val="none"/>
                <w:lang w:val="en-US" w:eastAsia="zh-CN"/>
              </w:rPr>
              <w:t>3-6</w:t>
            </w:r>
            <w:r>
              <w:rPr>
                <w:rFonts w:hint="default" w:ascii="Times New Roman" w:hAnsi="Times New Roman" w:cs="Times New Roman" w:eastAsiaTheme="minorEastAsia"/>
                <w:b/>
                <w:bCs/>
                <w:color w:val="auto"/>
                <w:sz w:val="21"/>
                <w:szCs w:val="21"/>
                <w:highlight w:val="none"/>
              </w:rPr>
              <w:t xml:space="preserve">  环境保护目标</w:t>
            </w:r>
            <w:r>
              <w:rPr>
                <w:rFonts w:hint="default" w:ascii="Times New Roman" w:hAnsi="Times New Roman" w:cs="Times New Roman" w:eastAsiaTheme="minorEastAsia"/>
                <w:b/>
                <w:bCs/>
                <w:color w:val="auto"/>
                <w:sz w:val="21"/>
                <w:szCs w:val="21"/>
                <w:highlight w:val="none"/>
                <w:lang w:val="en-US" w:eastAsia="zh-CN"/>
              </w:rPr>
              <w:t>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5"/>
              <w:gridCol w:w="1528"/>
              <w:gridCol w:w="1783"/>
              <w:gridCol w:w="830"/>
              <w:gridCol w:w="1105"/>
              <w:gridCol w:w="2614"/>
            </w:tblGrid>
            <w:tr w14:paraId="405B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46" w:type="pct"/>
                  <w:tcBorders>
                    <w:tl2br w:val="nil"/>
                    <w:tr2bl w:val="nil"/>
                  </w:tcBorders>
                  <w:noWrap w:val="0"/>
                  <w:vAlign w:val="center"/>
                </w:tcPr>
                <w:p w14:paraId="342850C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904" w:type="pct"/>
                  <w:tcBorders>
                    <w:tl2br w:val="nil"/>
                    <w:tr2bl w:val="nil"/>
                  </w:tcBorders>
                  <w:noWrap w:val="0"/>
                  <w:vAlign w:val="center"/>
                </w:tcPr>
                <w:p w14:paraId="7D81B5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保护目标名称</w:t>
                  </w:r>
                </w:p>
              </w:tc>
              <w:tc>
                <w:tcPr>
                  <w:tcW w:w="1055" w:type="pct"/>
                  <w:tcBorders>
                    <w:tl2br w:val="nil"/>
                    <w:tr2bl w:val="nil"/>
                  </w:tcBorders>
                  <w:noWrap w:val="0"/>
                  <w:vAlign w:val="center"/>
                </w:tcPr>
                <w:p w14:paraId="0F81C4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位置</w:t>
                  </w:r>
                </w:p>
              </w:tc>
              <w:tc>
                <w:tcPr>
                  <w:tcW w:w="491" w:type="pct"/>
                  <w:tcBorders>
                    <w:tl2br w:val="nil"/>
                    <w:tr2bl w:val="nil"/>
                  </w:tcBorders>
                  <w:noWrap w:val="0"/>
                  <w:vAlign w:val="center"/>
                </w:tcPr>
                <w:p w14:paraId="25758C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人口</w:t>
                  </w:r>
                </w:p>
              </w:tc>
              <w:tc>
                <w:tcPr>
                  <w:tcW w:w="654" w:type="pct"/>
                  <w:tcBorders>
                    <w:tl2br w:val="nil"/>
                    <w:tr2bl w:val="nil"/>
                  </w:tcBorders>
                  <w:noWrap w:val="0"/>
                  <w:vAlign w:val="center"/>
                </w:tcPr>
                <w:p w14:paraId="5C5807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保护对象</w:t>
                  </w:r>
                </w:p>
              </w:tc>
              <w:tc>
                <w:tcPr>
                  <w:tcW w:w="1547" w:type="pct"/>
                  <w:tcBorders>
                    <w:tl2br w:val="nil"/>
                    <w:tr2bl w:val="nil"/>
                  </w:tcBorders>
                  <w:noWrap w:val="0"/>
                  <w:vAlign w:val="center"/>
                </w:tcPr>
                <w:p w14:paraId="5E338F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环境功能及控制目标</w:t>
                  </w:r>
                </w:p>
              </w:tc>
            </w:tr>
            <w:tr w14:paraId="6B8A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6" w:type="pct"/>
                  <w:tcBorders>
                    <w:tl2br w:val="nil"/>
                    <w:tr2bl w:val="nil"/>
                  </w:tcBorders>
                  <w:noWrap w:val="0"/>
                  <w:vAlign w:val="center"/>
                </w:tcPr>
                <w:p w14:paraId="46A993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w:t>
                  </w:r>
                </w:p>
                <w:p w14:paraId="6B67F4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w:t>
                  </w:r>
                </w:p>
              </w:tc>
              <w:tc>
                <w:tcPr>
                  <w:tcW w:w="904" w:type="pct"/>
                  <w:tcBorders>
                    <w:tl2br w:val="nil"/>
                    <w:tr2bl w:val="nil"/>
                  </w:tcBorders>
                  <w:noWrap w:val="0"/>
                  <w:vAlign w:val="center"/>
                </w:tcPr>
                <w:p w14:paraId="00F2DF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基本农田</w:t>
                  </w:r>
                </w:p>
              </w:tc>
              <w:tc>
                <w:tcPr>
                  <w:tcW w:w="1055" w:type="pct"/>
                  <w:tcBorders>
                    <w:tl2br w:val="nil"/>
                    <w:tr2bl w:val="nil"/>
                  </w:tcBorders>
                  <w:noWrap w:val="0"/>
                  <w:vAlign w:val="center"/>
                </w:tcPr>
                <w:p w14:paraId="3394D2B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w:t>
                  </w:r>
                  <w:r>
                    <w:rPr>
                      <w:rFonts w:hint="eastAsia" w:ascii="Times New Roman" w:hAnsi="Times New Roman" w:eastAsia="宋体" w:cs="Times New Roman"/>
                      <w:color w:val="auto"/>
                      <w:sz w:val="21"/>
                      <w:szCs w:val="21"/>
                      <w:highlight w:val="none"/>
                      <w:lang w:val="en-US" w:eastAsia="zh-CN"/>
                    </w:rPr>
                    <w:t>西</w:t>
                  </w:r>
                  <w:r>
                    <w:rPr>
                      <w:rFonts w:hint="default" w:ascii="Times New Roman" w:hAnsi="Times New Roman" w:eastAsia="宋体" w:cs="Times New Roman"/>
                      <w:color w:val="auto"/>
                      <w:sz w:val="21"/>
                      <w:szCs w:val="21"/>
                      <w:highlight w:val="none"/>
                      <w:lang w:val="en-US" w:eastAsia="zh-CN"/>
                    </w:rPr>
                    <w:t>侧100m</w:t>
                  </w:r>
                </w:p>
              </w:tc>
              <w:tc>
                <w:tcPr>
                  <w:tcW w:w="491" w:type="pct"/>
                  <w:tcBorders>
                    <w:tl2br w:val="nil"/>
                    <w:tr2bl w:val="nil"/>
                  </w:tcBorders>
                  <w:noWrap w:val="0"/>
                  <w:vAlign w:val="center"/>
                </w:tcPr>
                <w:p w14:paraId="0956AC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54" w:type="pct"/>
                  <w:tcBorders>
                    <w:tl2br w:val="nil"/>
                    <w:tr2bl w:val="nil"/>
                  </w:tcBorders>
                  <w:noWrap w:val="0"/>
                  <w:vAlign w:val="center"/>
                </w:tcPr>
                <w:p w14:paraId="7670DC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农作物</w:t>
                  </w:r>
                </w:p>
              </w:tc>
              <w:tc>
                <w:tcPr>
                  <w:tcW w:w="1547" w:type="pct"/>
                  <w:tcBorders>
                    <w:tl2br w:val="nil"/>
                    <w:tr2bl w:val="nil"/>
                  </w:tcBorders>
                  <w:noWrap w:val="0"/>
                  <w:vAlign w:val="center"/>
                </w:tcPr>
                <w:p w14:paraId="39C015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保护工程区域的景观生态体系及生物资源，维护工程地区的生态完整性，使因工程建设造成的自然景观和植被破坏得以尽快恢复</w:t>
                  </w:r>
                </w:p>
              </w:tc>
            </w:tr>
          </w:tbl>
          <w:p w14:paraId="61B3C482">
            <w:pPr>
              <w:pStyle w:val="38"/>
              <w:keepNext w:val="0"/>
              <w:keepLines w:val="0"/>
              <w:pageBreakBefore w:val="0"/>
              <w:widowControl/>
              <w:kinsoku w:val="0"/>
              <w:wordWrap/>
              <w:overflowPunct/>
              <w:topLinePunct w:val="0"/>
              <w:autoSpaceDE w:val="0"/>
              <w:autoSpaceDN w:val="0"/>
              <w:bidi w:val="0"/>
              <w:adjustRightInd w:val="0"/>
              <w:snapToGrid w:val="0"/>
              <w:spacing w:before="0" w:beforeLines="0" w:line="360" w:lineRule="auto"/>
              <w:jc w:val="both"/>
              <w:textAlignment w:val="baseline"/>
              <w:rPr>
                <w:rFonts w:hint="default" w:ascii="Times New Roman" w:hAnsi="Times New Roman" w:cs="Times New Roman"/>
                <w:color w:val="auto"/>
                <w:highlight w:val="none"/>
                <w:lang w:eastAsia="zh-CN"/>
              </w:rPr>
            </w:pPr>
          </w:p>
          <w:p w14:paraId="05A978EF">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color w:val="auto"/>
                <w:sz w:val="24"/>
                <w:szCs w:val="24"/>
                <w:highlight w:val="none"/>
              </w:rPr>
            </w:pPr>
          </w:p>
        </w:tc>
      </w:tr>
      <w:tr w14:paraId="5C4EF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916" w:hRule="atLeast"/>
          <w:jc w:val="center"/>
        </w:trPr>
        <w:tc>
          <w:tcPr>
            <w:tcW w:w="422" w:type="dxa"/>
            <w:tcBorders>
              <w:left w:val="single" w:color="000000" w:sz="6" w:space="0"/>
            </w:tcBorders>
            <w:vAlign w:val="center"/>
          </w:tcPr>
          <w:p w14:paraId="18C229A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污</w:t>
            </w:r>
            <w:r>
              <w:rPr>
                <w:rFonts w:hint="default" w:ascii="Times New Roman" w:hAnsi="Times New Roman" w:eastAsia="宋体" w:cs="Times New Roman"/>
                <w:color w:val="auto"/>
                <w:spacing w:val="3"/>
                <w:sz w:val="24"/>
                <w:szCs w:val="24"/>
                <w:highlight w:val="none"/>
              </w:rPr>
              <w:t>染</w:t>
            </w:r>
            <w:r>
              <w:rPr>
                <w:rFonts w:hint="default" w:ascii="Times New Roman" w:hAnsi="Times New Roman" w:eastAsia="宋体" w:cs="Times New Roman"/>
                <w:color w:val="auto"/>
                <w:spacing w:val="5"/>
                <w:sz w:val="24"/>
                <w:szCs w:val="24"/>
                <w:highlight w:val="none"/>
              </w:rPr>
              <w:t>物</w:t>
            </w:r>
            <w:r>
              <w:rPr>
                <w:rFonts w:hint="default" w:ascii="Times New Roman" w:hAnsi="Times New Roman" w:eastAsia="宋体" w:cs="Times New Roman"/>
                <w:color w:val="auto"/>
                <w:spacing w:val="4"/>
                <w:sz w:val="24"/>
                <w:szCs w:val="24"/>
                <w:highlight w:val="none"/>
              </w:rPr>
              <w:t>排</w:t>
            </w:r>
            <w:r>
              <w:rPr>
                <w:rFonts w:hint="default" w:ascii="Times New Roman" w:hAnsi="Times New Roman" w:eastAsia="宋体" w:cs="Times New Roman"/>
                <w:color w:val="auto"/>
                <w:spacing w:val="5"/>
                <w:sz w:val="24"/>
                <w:szCs w:val="24"/>
                <w:highlight w:val="none"/>
              </w:rPr>
              <w:t>放</w:t>
            </w:r>
            <w:r>
              <w:rPr>
                <w:rFonts w:hint="default" w:ascii="Times New Roman" w:hAnsi="Times New Roman" w:eastAsia="宋体" w:cs="Times New Roman"/>
                <w:color w:val="auto"/>
                <w:spacing w:val="4"/>
                <w:sz w:val="24"/>
                <w:szCs w:val="24"/>
                <w:highlight w:val="none"/>
              </w:rPr>
              <w:t>控制标</w:t>
            </w:r>
            <w:r>
              <w:rPr>
                <w:rFonts w:hint="default" w:ascii="Times New Roman" w:hAnsi="Times New Roman" w:eastAsia="宋体" w:cs="Times New Roman"/>
                <w:color w:val="auto"/>
                <w:sz w:val="24"/>
                <w:szCs w:val="24"/>
                <w:highlight w:val="none"/>
              </w:rPr>
              <w:t>准</w:t>
            </w:r>
          </w:p>
        </w:tc>
        <w:tc>
          <w:tcPr>
            <w:tcW w:w="8572" w:type="dxa"/>
            <w:tcBorders>
              <w:right w:val="single" w:color="000000" w:sz="6" w:space="0"/>
            </w:tcBorders>
            <w:vAlign w:val="top"/>
          </w:tcPr>
          <w:p w14:paraId="5225A1A4">
            <w:pPr>
              <w:keepNext w:val="0"/>
              <w:keepLines w:val="0"/>
              <w:pageBreakBefore w:val="0"/>
              <w:widowControl w:val="0"/>
              <w:tabs>
                <w:tab w:val="left" w:pos="580"/>
                <w:tab w:val="left" w:pos="2970"/>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一、</w:t>
            </w:r>
            <w:r>
              <w:rPr>
                <w:rFonts w:hint="default" w:ascii="Times New Roman" w:hAnsi="Times New Roman" w:eastAsia="宋体" w:cs="Times New Roman"/>
                <w:b/>
                <w:bCs/>
                <w:color w:val="auto"/>
                <w:sz w:val="24"/>
                <w:szCs w:val="24"/>
                <w:highlight w:val="none"/>
              </w:rPr>
              <w:t>废气排放标准</w:t>
            </w:r>
          </w:p>
          <w:p w14:paraId="25A32E12">
            <w:pPr>
              <w:keepNext w:val="0"/>
              <w:keepLines w:val="0"/>
              <w:pageBreakBefore w:val="0"/>
              <w:widowControl w:val="0"/>
              <w:tabs>
                <w:tab w:val="left" w:pos="580"/>
                <w:tab w:val="left" w:pos="297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运营期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有组织非甲烷总烃、颗粒物、</w:t>
            </w:r>
            <w:r>
              <w:rPr>
                <w:rFonts w:hint="eastAsia" w:ascii="Times New Roman" w:hAnsi="Times New Roman" w:eastAsia="宋体" w:cs="Times New Roman"/>
                <w:color w:val="auto"/>
                <w:sz w:val="24"/>
                <w:szCs w:val="24"/>
                <w:highlight w:val="none"/>
                <w:lang w:val="en-US" w:eastAsia="zh-CN"/>
              </w:rPr>
              <w:t>苯、甲苯、</w:t>
            </w:r>
            <w:r>
              <w:rPr>
                <w:rFonts w:hint="default" w:ascii="Times New Roman" w:hAnsi="Times New Roman" w:eastAsia="宋体" w:cs="Times New Roman"/>
                <w:color w:val="auto"/>
                <w:sz w:val="24"/>
                <w:szCs w:val="24"/>
                <w:highlight w:val="none"/>
                <w:lang w:val="en-US" w:eastAsia="zh-CN"/>
              </w:rPr>
              <w:t>二甲苯排放标准执行《大气污染物综合排放标准》（GB16297-1996）表2中排放浓度限值要求；厂界非甲烷总烃、颗粒物、二甲苯排放标准执行《大气污染物综合排放标准》（GB16297-1996）表2中无组织排放限值要求，厂房外非甲烷总烃执行《挥发性有机物无组织排放控制标准》（GB37822-2019）附录A的特别排放限值；热风炉燃烧过程产生的颗粒物、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vertAlign w:val="baseline"/>
                <w:lang w:val="en-US" w:eastAsia="zh-CN"/>
              </w:rPr>
              <w:t>、NOx</w:t>
            </w:r>
            <w:r>
              <w:rPr>
                <w:rFonts w:hint="default" w:ascii="Times New Roman" w:hAnsi="Times New Roman" w:eastAsia="宋体" w:cs="Times New Roman"/>
                <w:color w:val="auto"/>
                <w:sz w:val="24"/>
                <w:szCs w:val="24"/>
                <w:highlight w:val="none"/>
                <w:lang w:val="en-US" w:eastAsia="zh-CN"/>
              </w:rPr>
              <w:t>执行《新疆维吾尔自治区工业窑炉大气污染物综合治理实施方案》（新大气发〔2019〕127号）相关要求（颗粒物、二氧化硫、氮氧化物排放限值分别不高于30mg/m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、200mg/m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、300mg/m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rPr>
              <w:t>详见表3-</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w:t>
            </w:r>
          </w:p>
          <w:p w14:paraId="66F6A4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表3-</w:t>
            </w:r>
            <w:r>
              <w:rPr>
                <w:rFonts w:hint="default" w:ascii="Times New Roman" w:hAnsi="Times New Roman" w:eastAsia="宋体"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rPr>
              <w:t xml:space="preserve"> 本项目废气排放标准一览表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960"/>
              <w:gridCol w:w="1446"/>
              <w:gridCol w:w="1333"/>
              <w:gridCol w:w="3527"/>
            </w:tblGrid>
            <w:tr w14:paraId="4B81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Align w:val="center"/>
                </w:tcPr>
                <w:p w14:paraId="587B113A">
                  <w:pPr>
                    <w:overflowPunct w:val="0"/>
                    <w:autoSpaceDE w:val="0"/>
                    <w:autoSpaceDN w:val="0"/>
                    <w:adjustRightInd w:val="0"/>
                    <w:snapToGrid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1424" w:type="pct"/>
                  <w:gridSpan w:val="2"/>
                  <w:vAlign w:val="center"/>
                </w:tcPr>
                <w:p w14:paraId="37BF6CFB">
                  <w:pPr>
                    <w:overflowPunct w:val="0"/>
                    <w:autoSpaceDE w:val="0"/>
                    <w:autoSpaceDN w:val="0"/>
                    <w:adjustRightInd w:val="0"/>
                    <w:snapToGrid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789" w:type="pct"/>
                  <w:vAlign w:val="center"/>
                </w:tcPr>
                <w:p w14:paraId="28878F98">
                  <w:pPr>
                    <w:overflowPunct w:val="0"/>
                    <w:autoSpaceDE w:val="0"/>
                    <w:autoSpaceDN w:val="0"/>
                    <w:adjustRightInd w:val="0"/>
                    <w:snapToGrid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排放浓度mg/m</w:t>
                  </w:r>
                  <w:r>
                    <w:rPr>
                      <w:rFonts w:hint="default" w:ascii="Times New Roman" w:hAnsi="Times New Roman" w:cs="Times New Roman"/>
                      <w:b/>
                      <w:bCs/>
                      <w:color w:val="auto"/>
                      <w:sz w:val="21"/>
                      <w:szCs w:val="21"/>
                      <w:highlight w:val="none"/>
                      <w:vertAlign w:val="superscript"/>
                    </w:rPr>
                    <w:t>3</w:t>
                  </w:r>
                </w:p>
              </w:tc>
              <w:tc>
                <w:tcPr>
                  <w:tcW w:w="2088" w:type="pct"/>
                  <w:vAlign w:val="center"/>
                </w:tcPr>
                <w:p w14:paraId="7F0808D4">
                  <w:pPr>
                    <w:overflowPunct w:val="0"/>
                    <w:autoSpaceDE w:val="0"/>
                    <w:autoSpaceDN w:val="0"/>
                    <w:adjustRightInd w:val="0"/>
                    <w:snapToGrid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标准来源</w:t>
                  </w:r>
                </w:p>
              </w:tc>
            </w:tr>
            <w:tr w14:paraId="096A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98" w:type="pct"/>
                  <w:vMerge w:val="restart"/>
                  <w:tcBorders>
                    <w:tl2br w:val="nil"/>
                    <w:tr2bl w:val="nil"/>
                  </w:tcBorders>
                  <w:vAlign w:val="center"/>
                </w:tcPr>
                <w:p w14:paraId="4FDB64C6">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w:t>
                  </w:r>
                </w:p>
              </w:tc>
              <w:tc>
                <w:tcPr>
                  <w:tcW w:w="568" w:type="pct"/>
                  <w:vMerge w:val="restart"/>
                  <w:tcBorders>
                    <w:tl2br w:val="nil"/>
                    <w:tr2bl w:val="nil"/>
                  </w:tcBorders>
                  <w:vAlign w:val="center"/>
                </w:tcPr>
                <w:p w14:paraId="4F8364B4">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w:t>
                  </w:r>
                </w:p>
              </w:tc>
              <w:tc>
                <w:tcPr>
                  <w:tcW w:w="856" w:type="pct"/>
                  <w:tcBorders>
                    <w:tl2br w:val="nil"/>
                    <w:tr2bl w:val="nil"/>
                  </w:tcBorders>
                  <w:vAlign w:val="center"/>
                </w:tcPr>
                <w:p w14:paraId="2842D0E1">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789" w:type="pct"/>
                  <w:tcBorders>
                    <w:tl2br w:val="nil"/>
                    <w:tr2bl w:val="nil"/>
                  </w:tcBorders>
                  <w:vAlign w:val="center"/>
                </w:tcPr>
                <w:p w14:paraId="5405D457">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88" w:type="pct"/>
                  <w:vMerge w:val="restart"/>
                  <w:tcBorders>
                    <w:tl2br w:val="nil"/>
                    <w:tr2bl w:val="nil"/>
                  </w:tcBorders>
                  <w:vAlign w:val="center"/>
                </w:tcPr>
                <w:p w14:paraId="1C8F3496">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《大气污染物综合排放标准》（GB16297-1996）表2中的</w:t>
                  </w:r>
                  <w:r>
                    <w:rPr>
                      <w:rFonts w:hint="eastAsia" w:ascii="Times New Roman" w:hAnsi="Times New Roman" w:eastAsia="宋体" w:cs="Times New Roman"/>
                      <w:color w:val="auto"/>
                      <w:sz w:val="21"/>
                      <w:szCs w:val="21"/>
                      <w:highlight w:val="none"/>
                      <w:lang w:val="en-US" w:eastAsia="zh-CN"/>
                    </w:rPr>
                    <w:t>限值</w:t>
                  </w:r>
                  <w:r>
                    <w:rPr>
                      <w:rFonts w:hint="default" w:ascii="Times New Roman" w:hAnsi="Times New Roman" w:eastAsia="宋体" w:cs="Times New Roman"/>
                      <w:color w:val="auto"/>
                      <w:sz w:val="21"/>
                      <w:szCs w:val="21"/>
                      <w:highlight w:val="none"/>
                      <w:lang w:val="en-US" w:eastAsia="zh-CN"/>
                    </w:rPr>
                    <w:t>要求</w:t>
                  </w:r>
                </w:p>
              </w:tc>
            </w:tr>
            <w:tr w14:paraId="765E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98" w:type="pct"/>
                  <w:vMerge w:val="continue"/>
                  <w:tcBorders>
                    <w:tl2br w:val="nil"/>
                    <w:tr2bl w:val="nil"/>
                  </w:tcBorders>
                  <w:vAlign w:val="center"/>
                </w:tcPr>
                <w:p w14:paraId="361C3028">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568" w:type="pct"/>
                  <w:vMerge w:val="continue"/>
                  <w:tcBorders>
                    <w:tl2br w:val="nil"/>
                    <w:tr2bl w:val="nil"/>
                  </w:tcBorders>
                  <w:vAlign w:val="center"/>
                </w:tcPr>
                <w:p w14:paraId="5ADFBA13">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443092A0">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非甲烷总烃</w:t>
                  </w:r>
                </w:p>
              </w:tc>
              <w:tc>
                <w:tcPr>
                  <w:tcW w:w="789" w:type="pct"/>
                  <w:tcBorders>
                    <w:tl2br w:val="nil"/>
                    <w:tr2bl w:val="nil"/>
                  </w:tcBorders>
                  <w:vAlign w:val="center"/>
                </w:tcPr>
                <w:p w14:paraId="446443AA">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p>
              </w:tc>
              <w:tc>
                <w:tcPr>
                  <w:tcW w:w="2088" w:type="pct"/>
                  <w:vMerge w:val="continue"/>
                  <w:tcBorders>
                    <w:tl2br w:val="nil"/>
                    <w:tr2bl w:val="nil"/>
                  </w:tcBorders>
                  <w:vAlign w:val="center"/>
                </w:tcPr>
                <w:p w14:paraId="009F2A85">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r>
            <w:tr w14:paraId="43BD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98" w:type="pct"/>
                  <w:vMerge w:val="continue"/>
                  <w:tcBorders>
                    <w:tl2br w:val="nil"/>
                    <w:tr2bl w:val="nil"/>
                  </w:tcBorders>
                  <w:vAlign w:val="center"/>
                </w:tcPr>
                <w:p w14:paraId="407ECF18">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568" w:type="pct"/>
                  <w:vMerge w:val="continue"/>
                  <w:tcBorders>
                    <w:tl2br w:val="nil"/>
                    <w:tr2bl w:val="nil"/>
                  </w:tcBorders>
                  <w:vAlign w:val="center"/>
                </w:tcPr>
                <w:p w14:paraId="1D0CFB7C">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4C4FED45">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二甲苯</w:t>
                  </w:r>
                </w:p>
              </w:tc>
              <w:tc>
                <w:tcPr>
                  <w:tcW w:w="789" w:type="pct"/>
                  <w:tcBorders>
                    <w:tl2br w:val="nil"/>
                    <w:tr2bl w:val="nil"/>
                  </w:tcBorders>
                  <w:vAlign w:val="center"/>
                </w:tcPr>
                <w:p w14:paraId="27459625">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2088" w:type="pct"/>
                  <w:vMerge w:val="continue"/>
                  <w:tcBorders>
                    <w:tl2br w:val="nil"/>
                    <w:tr2bl w:val="nil"/>
                  </w:tcBorders>
                  <w:vAlign w:val="center"/>
                </w:tcPr>
                <w:p w14:paraId="60FF97B2">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r>
            <w:tr w14:paraId="2819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98" w:type="pct"/>
                  <w:vMerge w:val="restart"/>
                  <w:tcBorders>
                    <w:tl2br w:val="nil"/>
                    <w:tr2bl w:val="nil"/>
                  </w:tcBorders>
                  <w:vAlign w:val="center"/>
                </w:tcPr>
                <w:p w14:paraId="2FF03E6F">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厂房外</w:t>
                  </w:r>
                </w:p>
              </w:tc>
              <w:tc>
                <w:tcPr>
                  <w:tcW w:w="568" w:type="pct"/>
                  <w:vMerge w:val="continue"/>
                  <w:tcBorders>
                    <w:tl2br w:val="nil"/>
                    <w:tr2bl w:val="nil"/>
                  </w:tcBorders>
                  <w:vAlign w:val="center"/>
                </w:tcPr>
                <w:p w14:paraId="39AF48FB">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vMerge w:val="restart"/>
                  <w:tcBorders>
                    <w:tl2br w:val="nil"/>
                    <w:tr2bl w:val="nil"/>
                  </w:tcBorders>
                  <w:vAlign w:val="center"/>
                </w:tcPr>
                <w:p w14:paraId="42508CCF">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tc>
              <w:tc>
                <w:tcPr>
                  <w:tcW w:w="789" w:type="pct"/>
                  <w:tcBorders>
                    <w:tl2br w:val="nil"/>
                    <w:tr2bl w:val="nil"/>
                  </w:tcBorders>
                  <w:vAlign w:val="center"/>
                </w:tcPr>
                <w:p w14:paraId="5F25B9E4">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6（监控点处1h平均浓度值）</w:t>
                  </w:r>
                </w:p>
              </w:tc>
              <w:tc>
                <w:tcPr>
                  <w:tcW w:w="2088" w:type="pct"/>
                  <w:vMerge w:val="restart"/>
                  <w:tcBorders>
                    <w:tl2br w:val="nil"/>
                    <w:tr2bl w:val="nil"/>
                  </w:tcBorders>
                  <w:vAlign w:val="center"/>
                </w:tcPr>
                <w:p w14:paraId="537B0C0D">
                  <w:pPr>
                    <w:keepNext w:val="0"/>
                    <w:keepLines w:val="0"/>
                    <w:widowControl/>
                    <w:suppressLineNumbers w:val="0"/>
                    <w:jc w:val="left"/>
                    <w:rPr>
                      <w:rFonts w:hint="default" w:ascii="Times New Roman" w:hAnsi="Times New Roman" w:cs="Times New Roman"/>
                      <w:color w:val="auto"/>
                      <w:kern w:val="21"/>
                      <w:sz w:val="21"/>
                      <w:szCs w:val="21"/>
                      <w:highlight w:val="none"/>
                      <w:lang w:bidi="ar"/>
                    </w:rPr>
                  </w:pPr>
                  <w:r>
                    <w:rPr>
                      <w:rFonts w:hint="default" w:ascii="Times New Roman" w:hAnsi="Times New Roman" w:cs="Times New Roman"/>
                      <w:color w:val="auto"/>
                      <w:kern w:val="21"/>
                      <w:sz w:val="21"/>
                      <w:szCs w:val="21"/>
                      <w:highlight w:val="none"/>
                      <w:lang w:val="en-US" w:eastAsia="zh-CN" w:bidi="ar"/>
                    </w:rPr>
                    <w:t>《挥发性有机物无组织排放控制标准》（GB37822-2019）附录A的特别排放限值</w:t>
                  </w:r>
                </w:p>
              </w:tc>
            </w:tr>
            <w:tr w14:paraId="1FA4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98" w:type="pct"/>
                  <w:vMerge w:val="continue"/>
                  <w:tcBorders>
                    <w:tl2br w:val="nil"/>
                    <w:tr2bl w:val="nil"/>
                  </w:tcBorders>
                  <w:vAlign w:val="center"/>
                </w:tcPr>
                <w:p w14:paraId="7FB8D5DA">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568" w:type="pct"/>
                  <w:vMerge w:val="continue"/>
                  <w:tcBorders>
                    <w:tl2br w:val="nil"/>
                    <w:tr2bl w:val="nil"/>
                  </w:tcBorders>
                  <w:vAlign w:val="center"/>
                </w:tcPr>
                <w:p w14:paraId="395248D8">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vMerge w:val="continue"/>
                  <w:tcBorders>
                    <w:tl2br w:val="nil"/>
                    <w:tr2bl w:val="nil"/>
                  </w:tcBorders>
                  <w:vAlign w:val="center"/>
                </w:tcPr>
                <w:p w14:paraId="7D2C497F">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789" w:type="pct"/>
                  <w:tcBorders>
                    <w:tl2br w:val="nil"/>
                    <w:tr2bl w:val="nil"/>
                  </w:tcBorders>
                  <w:vAlign w:val="center"/>
                </w:tcPr>
                <w:p w14:paraId="0A2D9760">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20（监控点处任意一次浓度值）</w:t>
                  </w:r>
                </w:p>
              </w:tc>
              <w:tc>
                <w:tcPr>
                  <w:tcW w:w="2088" w:type="pct"/>
                  <w:vMerge w:val="continue"/>
                  <w:tcBorders>
                    <w:tl2br w:val="nil"/>
                    <w:tr2bl w:val="nil"/>
                  </w:tcBorders>
                  <w:vAlign w:val="center"/>
                </w:tcPr>
                <w:p w14:paraId="62D1B843">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r>
            <w:tr w14:paraId="4C39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Merge w:val="restart"/>
                  <w:tcBorders>
                    <w:tl2br w:val="nil"/>
                    <w:tr2bl w:val="nil"/>
                  </w:tcBorders>
                  <w:vAlign w:val="center"/>
                </w:tcPr>
                <w:p w14:paraId="3908E929">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刷漆废气</w:t>
                  </w:r>
                </w:p>
              </w:tc>
              <w:tc>
                <w:tcPr>
                  <w:tcW w:w="568" w:type="pct"/>
                  <w:vMerge w:val="restart"/>
                  <w:tcBorders>
                    <w:tl2br w:val="nil"/>
                    <w:tr2bl w:val="nil"/>
                  </w:tcBorders>
                  <w:vAlign w:val="center"/>
                </w:tcPr>
                <w:p w14:paraId="07419AD6">
                  <w:pPr>
                    <w:overflowPunct w:val="0"/>
                    <w:autoSpaceDE w:val="0"/>
                    <w:autoSpaceDN w:val="0"/>
                    <w:adjustRightInd w:val="0"/>
                    <w:snapToGrid w:val="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有组织</w:t>
                  </w:r>
                </w:p>
              </w:tc>
              <w:tc>
                <w:tcPr>
                  <w:tcW w:w="856" w:type="pct"/>
                  <w:tcBorders>
                    <w:tl2br w:val="nil"/>
                    <w:tr2bl w:val="nil"/>
                  </w:tcBorders>
                  <w:vAlign w:val="center"/>
                </w:tcPr>
                <w:p w14:paraId="1950CC08">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789" w:type="pct"/>
                  <w:tcBorders>
                    <w:tl2br w:val="nil"/>
                    <w:tr2bl w:val="nil"/>
                  </w:tcBorders>
                  <w:vAlign w:val="center"/>
                </w:tcPr>
                <w:p w14:paraId="229B833B">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120</w:t>
                  </w:r>
                </w:p>
              </w:tc>
              <w:tc>
                <w:tcPr>
                  <w:tcW w:w="2088" w:type="pct"/>
                  <w:vMerge w:val="restart"/>
                  <w:tcBorders>
                    <w:tl2br w:val="nil"/>
                    <w:tr2bl w:val="nil"/>
                  </w:tcBorders>
                  <w:vAlign w:val="center"/>
                </w:tcPr>
                <w:p w14:paraId="5DE8573C">
                  <w:pPr>
                    <w:overflowPunct w:val="0"/>
                    <w:autoSpaceDE w:val="0"/>
                    <w:autoSpaceDN w:val="0"/>
                    <w:adjustRightInd w:val="0"/>
                    <w:snapToGrid w:val="0"/>
                    <w:jc w:val="center"/>
                    <w:rPr>
                      <w:rFonts w:hint="default" w:ascii="Times New Roman" w:hAnsi="Times New Roman" w:cs="Times New Roman"/>
                      <w:color w:val="auto"/>
                      <w:kern w:val="21"/>
                      <w:sz w:val="21"/>
                      <w:szCs w:val="21"/>
                      <w:highlight w:val="none"/>
                      <w:lang w:bidi="ar"/>
                    </w:rPr>
                  </w:pPr>
                  <w:r>
                    <w:rPr>
                      <w:rFonts w:hint="default" w:ascii="Times New Roman" w:hAnsi="Times New Roman" w:eastAsia="宋体" w:cs="Times New Roman"/>
                      <w:color w:val="auto"/>
                      <w:sz w:val="21"/>
                      <w:szCs w:val="21"/>
                      <w:highlight w:val="none"/>
                      <w:lang w:eastAsia="zh-CN"/>
                    </w:rPr>
                    <w:t>《大气污染物综合排放标准》（GB16297-1996）</w:t>
                  </w:r>
                </w:p>
              </w:tc>
            </w:tr>
            <w:tr w14:paraId="4E19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Merge w:val="continue"/>
                  <w:tcBorders>
                    <w:tl2br w:val="nil"/>
                    <w:tr2bl w:val="nil"/>
                  </w:tcBorders>
                  <w:vAlign w:val="center"/>
                </w:tcPr>
                <w:p w14:paraId="1574FC72">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p>
              </w:tc>
              <w:tc>
                <w:tcPr>
                  <w:tcW w:w="568" w:type="pct"/>
                  <w:vMerge w:val="continue"/>
                  <w:tcBorders>
                    <w:tl2br w:val="nil"/>
                    <w:tr2bl w:val="nil"/>
                  </w:tcBorders>
                  <w:vAlign w:val="center"/>
                </w:tcPr>
                <w:p w14:paraId="746F0EEE">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1632E4CC">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二甲苯</w:t>
                  </w:r>
                </w:p>
              </w:tc>
              <w:tc>
                <w:tcPr>
                  <w:tcW w:w="789" w:type="pct"/>
                  <w:tcBorders>
                    <w:tl2br w:val="nil"/>
                    <w:tr2bl w:val="nil"/>
                  </w:tcBorders>
                  <w:vAlign w:val="center"/>
                </w:tcPr>
                <w:p w14:paraId="7312A1CE">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70</w:t>
                  </w:r>
                </w:p>
              </w:tc>
              <w:tc>
                <w:tcPr>
                  <w:tcW w:w="2088" w:type="pct"/>
                  <w:vMerge w:val="continue"/>
                  <w:tcBorders>
                    <w:tl2br w:val="nil"/>
                    <w:tr2bl w:val="nil"/>
                  </w:tcBorders>
                  <w:vAlign w:val="center"/>
                </w:tcPr>
                <w:p w14:paraId="13CB87DA">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eastAsia="zh-CN"/>
                    </w:rPr>
                  </w:pPr>
                </w:p>
              </w:tc>
            </w:tr>
            <w:tr w14:paraId="38D8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Merge w:val="continue"/>
                  <w:tcBorders>
                    <w:tl2br w:val="nil"/>
                    <w:tr2bl w:val="nil"/>
                  </w:tcBorders>
                  <w:vAlign w:val="center"/>
                </w:tcPr>
                <w:p w14:paraId="6C3AA67B">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p>
              </w:tc>
              <w:tc>
                <w:tcPr>
                  <w:tcW w:w="568" w:type="pct"/>
                  <w:vMerge w:val="continue"/>
                  <w:tcBorders>
                    <w:tl2br w:val="nil"/>
                    <w:tr2bl w:val="nil"/>
                  </w:tcBorders>
                  <w:vAlign w:val="center"/>
                </w:tcPr>
                <w:p w14:paraId="286EBBC6">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1767A296">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苯</w:t>
                  </w:r>
                </w:p>
              </w:tc>
              <w:tc>
                <w:tcPr>
                  <w:tcW w:w="789" w:type="pct"/>
                  <w:tcBorders>
                    <w:tl2br w:val="nil"/>
                    <w:tr2bl w:val="nil"/>
                  </w:tcBorders>
                  <w:vAlign w:val="center"/>
                </w:tcPr>
                <w:p w14:paraId="3D45A64A">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2088" w:type="pct"/>
                  <w:vMerge w:val="continue"/>
                  <w:tcBorders>
                    <w:tl2br w:val="nil"/>
                    <w:tr2bl w:val="nil"/>
                  </w:tcBorders>
                  <w:vAlign w:val="center"/>
                </w:tcPr>
                <w:p w14:paraId="712A3F3B">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eastAsia="zh-CN"/>
                    </w:rPr>
                  </w:pPr>
                </w:p>
              </w:tc>
            </w:tr>
            <w:tr w14:paraId="3CF2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Merge w:val="continue"/>
                  <w:tcBorders>
                    <w:tl2br w:val="nil"/>
                    <w:tr2bl w:val="nil"/>
                  </w:tcBorders>
                  <w:vAlign w:val="center"/>
                </w:tcPr>
                <w:p w14:paraId="608E7C93">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p>
              </w:tc>
              <w:tc>
                <w:tcPr>
                  <w:tcW w:w="568" w:type="pct"/>
                  <w:vMerge w:val="continue"/>
                  <w:tcBorders>
                    <w:tl2br w:val="nil"/>
                    <w:tr2bl w:val="nil"/>
                  </w:tcBorders>
                  <w:vAlign w:val="center"/>
                </w:tcPr>
                <w:p w14:paraId="60647614">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15BA47A5">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甲苯</w:t>
                  </w:r>
                </w:p>
              </w:tc>
              <w:tc>
                <w:tcPr>
                  <w:tcW w:w="789" w:type="pct"/>
                  <w:tcBorders>
                    <w:tl2br w:val="nil"/>
                    <w:tr2bl w:val="nil"/>
                  </w:tcBorders>
                  <w:vAlign w:val="center"/>
                </w:tcPr>
                <w:p w14:paraId="782A7657">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40</w:t>
                  </w:r>
                </w:p>
              </w:tc>
              <w:tc>
                <w:tcPr>
                  <w:tcW w:w="2088" w:type="pct"/>
                  <w:vMerge w:val="continue"/>
                  <w:tcBorders>
                    <w:tl2br w:val="nil"/>
                    <w:tr2bl w:val="nil"/>
                  </w:tcBorders>
                  <w:vAlign w:val="center"/>
                </w:tcPr>
                <w:p w14:paraId="2500FDC3">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eastAsia="zh-CN"/>
                    </w:rPr>
                  </w:pPr>
                </w:p>
              </w:tc>
            </w:tr>
            <w:tr w14:paraId="3694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tcBorders>
                    <w:tl2br w:val="nil"/>
                    <w:tr2bl w:val="nil"/>
                  </w:tcBorders>
                  <w:vAlign w:val="center"/>
                </w:tcPr>
                <w:p w14:paraId="3F23426F">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喷砂废气</w:t>
                  </w:r>
                </w:p>
              </w:tc>
              <w:tc>
                <w:tcPr>
                  <w:tcW w:w="568" w:type="pct"/>
                  <w:vMerge w:val="continue"/>
                  <w:tcBorders>
                    <w:tl2br w:val="nil"/>
                    <w:tr2bl w:val="nil"/>
                  </w:tcBorders>
                  <w:vAlign w:val="center"/>
                </w:tcPr>
                <w:p w14:paraId="6F2E6DE8">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60385523">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789" w:type="pct"/>
                  <w:tcBorders>
                    <w:tl2br w:val="nil"/>
                    <w:tr2bl w:val="nil"/>
                  </w:tcBorders>
                  <w:vAlign w:val="center"/>
                </w:tcPr>
                <w:p w14:paraId="5B288D4E">
                  <w:pPr>
                    <w:overflowPunct w:val="0"/>
                    <w:autoSpaceDE w:val="0"/>
                    <w:autoSpaceDN w:val="0"/>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120</w:t>
                  </w:r>
                </w:p>
              </w:tc>
              <w:tc>
                <w:tcPr>
                  <w:tcW w:w="2088" w:type="pct"/>
                  <w:vMerge w:val="continue"/>
                  <w:tcBorders>
                    <w:tl2br w:val="nil"/>
                    <w:tr2bl w:val="nil"/>
                  </w:tcBorders>
                  <w:vAlign w:val="center"/>
                </w:tcPr>
                <w:p w14:paraId="326CE57A">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eastAsia="zh-CN"/>
                    </w:rPr>
                  </w:pPr>
                </w:p>
              </w:tc>
            </w:tr>
            <w:tr w14:paraId="13BC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98" w:type="pct"/>
                  <w:vMerge w:val="restart"/>
                  <w:tcBorders>
                    <w:tl2br w:val="nil"/>
                    <w:tr2bl w:val="nil"/>
                  </w:tcBorders>
                  <w:vAlign w:val="center"/>
                </w:tcPr>
                <w:p w14:paraId="48FDD4DC">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热处理</w:t>
                  </w:r>
                  <w:r>
                    <w:rPr>
                      <w:rFonts w:hint="default" w:ascii="Times New Roman" w:hAnsi="Times New Roman" w:cs="Times New Roman"/>
                      <w:color w:val="auto"/>
                      <w:sz w:val="21"/>
                      <w:szCs w:val="21"/>
                      <w:highlight w:val="none"/>
                    </w:rPr>
                    <w:t>废气</w:t>
                  </w:r>
                </w:p>
              </w:tc>
              <w:tc>
                <w:tcPr>
                  <w:tcW w:w="568" w:type="pct"/>
                  <w:vMerge w:val="continue"/>
                  <w:tcBorders>
                    <w:tl2br w:val="nil"/>
                    <w:tr2bl w:val="nil"/>
                  </w:tcBorders>
                  <w:vAlign w:val="center"/>
                </w:tcPr>
                <w:p w14:paraId="36B194D4">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1ED38C4C">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789" w:type="pct"/>
                  <w:tcBorders>
                    <w:tl2br w:val="nil"/>
                    <w:tr2bl w:val="nil"/>
                  </w:tcBorders>
                  <w:vAlign w:val="center"/>
                </w:tcPr>
                <w:p w14:paraId="6A56AB6B">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30</w:t>
                  </w:r>
                </w:p>
              </w:tc>
              <w:tc>
                <w:tcPr>
                  <w:tcW w:w="2088" w:type="pct"/>
                  <w:vMerge w:val="restart"/>
                  <w:tcBorders>
                    <w:tl2br w:val="nil"/>
                    <w:tr2bl w:val="nil"/>
                  </w:tcBorders>
                  <w:vAlign w:val="center"/>
                </w:tcPr>
                <w:p w14:paraId="543424CE">
                  <w:pPr>
                    <w:overflowPunct w:val="0"/>
                    <w:autoSpaceDE w:val="0"/>
                    <w:autoSpaceDN w:val="0"/>
                    <w:adjustRightInd w:val="0"/>
                    <w:snapToGrid w:val="0"/>
                    <w:jc w:val="center"/>
                    <w:rPr>
                      <w:rFonts w:hint="default" w:ascii="Times New Roman" w:hAnsi="Times New Roman" w:cs="Times New Roman"/>
                      <w:color w:val="auto"/>
                      <w:kern w:val="21"/>
                      <w:sz w:val="21"/>
                      <w:szCs w:val="21"/>
                      <w:highlight w:val="none"/>
                      <w:lang w:bidi="ar"/>
                    </w:rPr>
                  </w:pPr>
                  <w:r>
                    <w:rPr>
                      <w:rFonts w:hint="default" w:ascii="Times New Roman" w:hAnsi="Times New Roman" w:cs="Times New Roman"/>
                      <w:color w:val="auto"/>
                      <w:kern w:val="21"/>
                      <w:sz w:val="21"/>
                      <w:szCs w:val="21"/>
                      <w:highlight w:val="none"/>
                      <w:lang w:val="en-US" w:eastAsia="zh-CN" w:bidi="ar"/>
                    </w:rPr>
                    <w:t>《新疆维吾尔自治区工业窑炉大气污染物综合治理实施方案》（新大气发〔2019〕127号）</w:t>
                  </w:r>
                </w:p>
              </w:tc>
            </w:tr>
            <w:tr w14:paraId="2643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8" w:type="pct"/>
                  <w:vMerge w:val="continue"/>
                  <w:tcBorders>
                    <w:tl2br w:val="nil"/>
                    <w:tr2bl w:val="nil"/>
                  </w:tcBorders>
                  <w:vAlign w:val="center"/>
                </w:tcPr>
                <w:p w14:paraId="0258238E">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568" w:type="pct"/>
                  <w:vMerge w:val="continue"/>
                  <w:tcBorders>
                    <w:tl2br w:val="nil"/>
                    <w:tr2bl w:val="nil"/>
                  </w:tcBorders>
                  <w:vAlign w:val="center"/>
                </w:tcPr>
                <w:p w14:paraId="01D1AA5D">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5BF86BF0">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p>
              </w:tc>
              <w:tc>
                <w:tcPr>
                  <w:tcW w:w="789" w:type="pct"/>
                  <w:tcBorders>
                    <w:tl2br w:val="nil"/>
                    <w:tr2bl w:val="nil"/>
                  </w:tcBorders>
                  <w:vAlign w:val="center"/>
                </w:tcPr>
                <w:p w14:paraId="3DE33E4B">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200</w:t>
                  </w:r>
                </w:p>
              </w:tc>
              <w:tc>
                <w:tcPr>
                  <w:tcW w:w="2088" w:type="pct"/>
                  <w:vMerge w:val="continue"/>
                  <w:tcBorders>
                    <w:tl2br w:val="nil"/>
                    <w:tr2bl w:val="nil"/>
                  </w:tcBorders>
                  <w:vAlign w:val="center"/>
                </w:tcPr>
                <w:p w14:paraId="49AB5C8F">
                  <w:pPr>
                    <w:overflowPunct w:val="0"/>
                    <w:autoSpaceDE w:val="0"/>
                    <w:autoSpaceDN w:val="0"/>
                    <w:adjustRightInd w:val="0"/>
                    <w:snapToGrid w:val="0"/>
                    <w:jc w:val="center"/>
                    <w:rPr>
                      <w:rFonts w:hint="default" w:ascii="Times New Roman" w:hAnsi="Times New Roman" w:cs="Times New Roman"/>
                      <w:color w:val="auto"/>
                      <w:kern w:val="21"/>
                      <w:sz w:val="21"/>
                      <w:szCs w:val="21"/>
                      <w:highlight w:val="none"/>
                      <w:lang w:bidi="ar"/>
                    </w:rPr>
                  </w:pPr>
                </w:p>
              </w:tc>
            </w:tr>
            <w:tr w14:paraId="0710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8" w:type="pct"/>
                  <w:vMerge w:val="continue"/>
                  <w:tcBorders>
                    <w:tl2br w:val="nil"/>
                    <w:tr2bl w:val="nil"/>
                  </w:tcBorders>
                  <w:vAlign w:val="center"/>
                </w:tcPr>
                <w:p w14:paraId="2D0C544F">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568" w:type="pct"/>
                  <w:vMerge w:val="continue"/>
                  <w:tcBorders>
                    <w:tl2br w:val="nil"/>
                    <w:tr2bl w:val="nil"/>
                  </w:tcBorders>
                  <w:vAlign w:val="center"/>
                </w:tcPr>
                <w:p w14:paraId="6AA6379B">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p>
              </w:tc>
              <w:tc>
                <w:tcPr>
                  <w:tcW w:w="856" w:type="pct"/>
                  <w:tcBorders>
                    <w:tl2br w:val="nil"/>
                    <w:tr2bl w:val="nil"/>
                  </w:tcBorders>
                  <w:vAlign w:val="center"/>
                </w:tcPr>
                <w:p w14:paraId="4871C708">
                  <w:pPr>
                    <w:overflowPunct w:val="0"/>
                    <w:autoSpaceDE w:val="0"/>
                    <w:autoSpaceDN w:val="0"/>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NO</w:t>
                  </w:r>
                  <w:r>
                    <w:rPr>
                      <w:rFonts w:hint="default" w:ascii="Times New Roman" w:hAnsi="Times New Roman" w:eastAsia="宋体" w:cs="Times New Roman"/>
                      <w:color w:val="auto"/>
                      <w:sz w:val="21"/>
                      <w:szCs w:val="21"/>
                      <w:highlight w:val="none"/>
                      <w:vertAlign w:val="subscript"/>
                      <w:lang w:val="en-US" w:eastAsia="zh-CN"/>
                    </w:rPr>
                    <w:t>X</w:t>
                  </w:r>
                </w:p>
              </w:tc>
              <w:tc>
                <w:tcPr>
                  <w:tcW w:w="789" w:type="pct"/>
                  <w:tcBorders>
                    <w:tl2br w:val="nil"/>
                    <w:tr2bl w:val="nil"/>
                  </w:tcBorders>
                  <w:vAlign w:val="center"/>
                </w:tcPr>
                <w:p w14:paraId="16409FC4">
                  <w:pPr>
                    <w:overflowPunct w:val="0"/>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300</w:t>
                  </w:r>
                </w:p>
              </w:tc>
              <w:tc>
                <w:tcPr>
                  <w:tcW w:w="2088" w:type="pct"/>
                  <w:vMerge w:val="continue"/>
                  <w:tcBorders>
                    <w:tl2br w:val="nil"/>
                    <w:tr2bl w:val="nil"/>
                  </w:tcBorders>
                  <w:vAlign w:val="center"/>
                </w:tcPr>
                <w:p w14:paraId="0A9E9903">
                  <w:pPr>
                    <w:overflowPunct w:val="0"/>
                    <w:autoSpaceDE w:val="0"/>
                    <w:autoSpaceDN w:val="0"/>
                    <w:adjustRightInd w:val="0"/>
                    <w:snapToGrid w:val="0"/>
                    <w:jc w:val="center"/>
                    <w:rPr>
                      <w:rFonts w:hint="default" w:ascii="Times New Roman" w:hAnsi="Times New Roman" w:cs="Times New Roman"/>
                      <w:color w:val="auto"/>
                      <w:kern w:val="21"/>
                      <w:sz w:val="21"/>
                      <w:szCs w:val="21"/>
                      <w:highlight w:val="none"/>
                      <w:lang w:bidi="ar"/>
                    </w:rPr>
                  </w:pPr>
                </w:p>
              </w:tc>
            </w:tr>
          </w:tbl>
          <w:p w14:paraId="3F686270">
            <w:pPr>
              <w:keepNext w:val="0"/>
              <w:keepLines w:val="0"/>
              <w:pageBreakBefore w:val="0"/>
              <w:widowControl w:val="0"/>
              <w:kinsoku/>
              <w:wordWrap/>
              <w:overflowPunct/>
              <w:topLinePunct w:val="0"/>
              <w:autoSpaceDE/>
              <w:autoSpaceDN/>
              <w:bidi w:val="0"/>
              <w:adjustRightInd w:val="0"/>
              <w:snapToGrid w:val="0"/>
              <w:spacing w:before="0" w:beforeLines="50" w:line="360" w:lineRule="auto"/>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二、</w:t>
            </w:r>
            <w:r>
              <w:rPr>
                <w:rFonts w:hint="default" w:ascii="Times New Roman" w:hAnsi="Times New Roman" w:eastAsia="宋体" w:cs="Times New Roman"/>
                <w:b/>
                <w:bCs/>
                <w:color w:val="auto"/>
                <w:sz w:val="24"/>
                <w:szCs w:val="24"/>
                <w:highlight w:val="none"/>
              </w:rPr>
              <w:t>废水排放标准</w:t>
            </w:r>
          </w:p>
          <w:p w14:paraId="30A914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运营期生活污水</w:t>
            </w:r>
            <w:r>
              <w:rPr>
                <w:rFonts w:hint="default" w:ascii="Times New Roman" w:hAnsi="Times New Roman" w:eastAsia="宋体" w:cs="Times New Roman"/>
                <w:color w:val="auto"/>
                <w:sz w:val="24"/>
                <w:szCs w:val="24"/>
                <w:highlight w:val="none"/>
                <w:lang w:val="en-US" w:eastAsia="zh-CN"/>
              </w:rPr>
              <w:t>及锅炉废水</w:t>
            </w:r>
            <w:r>
              <w:rPr>
                <w:rFonts w:hint="default" w:ascii="Times New Roman" w:hAnsi="Times New Roman" w:eastAsia="宋体" w:cs="Times New Roman"/>
                <w:color w:val="auto"/>
                <w:sz w:val="24"/>
                <w:szCs w:val="24"/>
                <w:highlight w:val="none"/>
              </w:rPr>
              <w:t>执行《污水综合排放标准》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GB8978-1996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表4中三级标准限值，具体指标详见表3-</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w:t>
            </w:r>
          </w:p>
          <w:p w14:paraId="3BA61A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表3-</w:t>
            </w:r>
            <w:r>
              <w:rPr>
                <w:rFonts w:hint="default" w:ascii="Times New Roman" w:hAnsi="Times New Roman" w:eastAsia="宋体" w:cs="Times New Roman"/>
                <w:b/>
                <w:bCs/>
                <w:color w:val="auto"/>
                <w:sz w:val="21"/>
                <w:szCs w:val="21"/>
                <w:highlight w:val="none"/>
                <w:lang w:val="en-US" w:eastAsia="zh-CN"/>
              </w:rPr>
              <w:t>8</w:t>
            </w:r>
            <w:r>
              <w:rPr>
                <w:rFonts w:hint="default" w:ascii="Times New Roman" w:hAnsi="Times New Roman" w:eastAsia="宋体" w:cs="Times New Roman"/>
                <w:b/>
                <w:bCs/>
                <w:color w:val="auto"/>
                <w:sz w:val="21"/>
                <w:szCs w:val="21"/>
                <w:highlight w:val="none"/>
              </w:rPr>
              <w:t xml:space="preserve"> 污水综合排放标准 （单位：mg/L）</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746"/>
              <w:gridCol w:w="1600"/>
              <w:gridCol w:w="1869"/>
              <w:gridCol w:w="1640"/>
            </w:tblGrid>
            <w:tr w14:paraId="756C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pct"/>
                  <w:noWrap w:val="0"/>
                  <w:vAlign w:val="center"/>
                </w:tcPr>
                <w:p w14:paraId="72ACC6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pH</w:t>
                  </w:r>
                </w:p>
              </w:tc>
              <w:tc>
                <w:tcPr>
                  <w:tcW w:w="1033" w:type="pct"/>
                  <w:noWrap w:val="0"/>
                  <w:vAlign w:val="center"/>
                </w:tcPr>
                <w:p w14:paraId="013682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p>
              </w:tc>
              <w:tc>
                <w:tcPr>
                  <w:tcW w:w="947" w:type="pct"/>
                  <w:noWrap w:val="0"/>
                  <w:vAlign w:val="center"/>
                </w:tcPr>
                <w:p w14:paraId="576E4B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1106" w:type="pct"/>
                  <w:noWrap w:val="0"/>
                  <w:vAlign w:val="center"/>
                </w:tcPr>
                <w:p w14:paraId="12021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氨氮</w:t>
                  </w:r>
                </w:p>
              </w:tc>
              <w:tc>
                <w:tcPr>
                  <w:tcW w:w="970" w:type="pct"/>
                  <w:noWrap w:val="0"/>
                  <w:vAlign w:val="center"/>
                </w:tcPr>
                <w:p w14:paraId="233BC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tc>
            </w:tr>
            <w:tr w14:paraId="7AE3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pct"/>
                  <w:noWrap w:val="0"/>
                  <w:vAlign w:val="center"/>
                </w:tcPr>
                <w:p w14:paraId="4502D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6.0~9.0</w:t>
                  </w:r>
                </w:p>
              </w:tc>
              <w:tc>
                <w:tcPr>
                  <w:tcW w:w="1033" w:type="pct"/>
                  <w:noWrap w:val="0"/>
                  <w:vAlign w:val="center"/>
                </w:tcPr>
                <w:p w14:paraId="2BE4F2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947" w:type="pct"/>
                  <w:noWrap w:val="0"/>
                  <w:vAlign w:val="center"/>
                </w:tcPr>
                <w:p w14:paraId="5834CF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300</w:t>
                  </w:r>
                </w:p>
              </w:tc>
              <w:tc>
                <w:tcPr>
                  <w:tcW w:w="1106" w:type="pct"/>
                  <w:noWrap w:val="0"/>
                  <w:vAlign w:val="center"/>
                </w:tcPr>
                <w:p w14:paraId="0D49A1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970" w:type="pct"/>
                  <w:noWrap w:val="0"/>
                  <w:vAlign w:val="center"/>
                </w:tcPr>
                <w:p w14:paraId="357DCA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w:t>
                  </w:r>
                </w:p>
              </w:tc>
            </w:tr>
          </w:tbl>
          <w:p w14:paraId="3AD5ECD0">
            <w:pPr>
              <w:keepNext w:val="0"/>
              <w:keepLines w:val="0"/>
              <w:pageBreakBefore w:val="0"/>
              <w:widowControl w:val="0"/>
              <w:kinsoku/>
              <w:wordWrap/>
              <w:overflowPunct/>
              <w:topLinePunct w:val="0"/>
              <w:autoSpaceDE/>
              <w:autoSpaceDN/>
              <w:bidi w:val="0"/>
              <w:adjustRightInd w:val="0"/>
              <w:snapToGrid w:val="0"/>
              <w:spacing w:before="0" w:beforeLines="50" w:line="360" w:lineRule="auto"/>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三、</w:t>
            </w:r>
            <w:r>
              <w:rPr>
                <w:rFonts w:hint="default" w:ascii="Times New Roman" w:hAnsi="Times New Roman" w:eastAsia="宋体" w:cs="Times New Roman"/>
                <w:b/>
                <w:bCs/>
                <w:color w:val="auto"/>
                <w:sz w:val="24"/>
                <w:szCs w:val="24"/>
                <w:highlight w:val="none"/>
              </w:rPr>
              <w:t>噪声排放标准</w:t>
            </w:r>
          </w:p>
          <w:p w14:paraId="5CB54F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运营期</w:t>
            </w:r>
            <w:r>
              <w:rPr>
                <w:rFonts w:hint="default" w:ascii="Times New Roman" w:hAnsi="Times New Roman" w:eastAsia="宋体" w:cs="Times New Roman"/>
                <w:color w:val="auto"/>
                <w:sz w:val="24"/>
                <w:szCs w:val="24"/>
                <w:highlight w:val="none"/>
              </w:rPr>
              <w:t>执行《工业企业厂界环境噪声排放标准》（GB12348-2008）中</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类标准限值，详见3-</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w:t>
            </w:r>
          </w:p>
          <w:p w14:paraId="71C14F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表3-</w:t>
            </w:r>
            <w:r>
              <w:rPr>
                <w:rFonts w:hint="default" w:ascii="Times New Roman" w:hAnsi="Times New Roman" w:eastAsia="宋体" w:cs="Times New Roman"/>
                <w:b/>
                <w:bCs/>
                <w:color w:val="auto"/>
                <w:sz w:val="21"/>
                <w:szCs w:val="21"/>
                <w:highlight w:val="none"/>
                <w:lang w:val="en-US" w:eastAsia="zh-CN"/>
              </w:rPr>
              <w:t>9</w:t>
            </w:r>
            <w:r>
              <w:rPr>
                <w:rFonts w:hint="default" w:ascii="Times New Roman" w:hAnsi="Times New Roman" w:eastAsia="宋体" w:cs="Times New Roman"/>
                <w:b/>
                <w:bCs/>
                <w:color w:val="auto"/>
                <w:sz w:val="21"/>
                <w:szCs w:val="21"/>
                <w:highlight w:val="none"/>
              </w:rPr>
              <w:t xml:space="preserve"> 厂界环境噪声排放标准 单位：dB（A）</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840"/>
              <w:gridCol w:w="1666"/>
              <w:gridCol w:w="3865"/>
            </w:tblGrid>
            <w:tr w14:paraId="3601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11" w:type="pct"/>
                  <w:gridSpan w:val="3"/>
                  <w:noWrap w:val="0"/>
                  <w:vAlign w:val="center"/>
                </w:tcPr>
                <w:p w14:paraId="1E5F15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标准值dB</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default" w:ascii="Times New Roman" w:hAnsi="Times New Roman" w:eastAsia="宋体" w:cs="Times New Roman"/>
                      <w:b/>
                      <w:bCs/>
                      <w:color w:val="auto"/>
                      <w:sz w:val="21"/>
                      <w:szCs w:val="21"/>
                      <w:highlight w:val="none"/>
                      <w:lang w:eastAsia="zh-CN"/>
                    </w:rPr>
                    <w:t>）</w:t>
                  </w:r>
                </w:p>
              </w:tc>
              <w:tc>
                <w:tcPr>
                  <w:tcW w:w="2288" w:type="pct"/>
                  <w:noWrap w:val="0"/>
                  <w:vAlign w:val="center"/>
                </w:tcPr>
                <w:p w14:paraId="79AD0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执行标准</w:t>
                  </w:r>
                </w:p>
              </w:tc>
            </w:tr>
            <w:tr w14:paraId="5593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6" w:type="pct"/>
                  <w:noWrap w:val="0"/>
                  <w:vAlign w:val="center"/>
                </w:tcPr>
                <w:p w14:paraId="3357A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运营期</w:t>
                  </w:r>
                </w:p>
              </w:tc>
              <w:tc>
                <w:tcPr>
                  <w:tcW w:w="1089" w:type="pct"/>
                  <w:noWrap w:val="0"/>
                  <w:vAlign w:val="center"/>
                </w:tcPr>
                <w:p w14:paraId="79A118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昼间6</w:t>
                  </w:r>
                  <w:r>
                    <w:rPr>
                      <w:rFonts w:hint="default" w:ascii="Times New Roman" w:hAnsi="Times New Roman" w:eastAsia="宋体" w:cs="Times New Roman"/>
                      <w:color w:val="auto"/>
                      <w:sz w:val="21"/>
                      <w:szCs w:val="21"/>
                      <w:highlight w:val="none"/>
                      <w:lang w:val="en-US" w:eastAsia="zh-CN"/>
                    </w:rPr>
                    <w:t>5</w:t>
                  </w:r>
                </w:p>
              </w:tc>
              <w:tc>
                <w:tcPr>
                  <w:tcW w:w="986" w:type="pct"/>
                  <w:noWrap w:val="0"/>
                  <w:vAlign w:val="center"/>
                </w:tcPr>
                <w:p w14:paraId="3DC8E6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夜间5</w:t>
                  </w:r>
                  <w:r>
                    <w:rPr>
                      <w:rFonts w:hint="default" w:ascii="Times New Roman" w:hAnsi="Times New Roman" w:eastAsia="宋体" w:cs="Times New Roman"/>
                      <w:color w:val="auto"/>
                      <w:sz w:val="21"/>
                      <w:szCs w:val="21"/>
                      <w:highlight w:val="none"/>
                      <w:lang w:val="en-US" w:eastAsia="zh-CN"/>
                    </w:rPr>
                    <w:t>5</w:t>
                  </w:r>
                </w:p>
              </w:tc>
              <w:tc>
                <w:tcPr>
                  <w:tcW w:w="2288" w:type="pct"/>
                  <w:noWrap w:val="0"/>
                  <w:vAlign w:val="center"/>
                </w:tcPr>
                <w:p w14:paraId="38467D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p>
              </w:tc>
            </w:tr>
          </w:tbl>
          <w:p w14:paraId="2013DABA">
            <w:pPr>
              <w:keepNext w:val="0"/>
              <w:keepLines w:val="0"/>
              <w:pageBreakBefore w:val="0"/>
              <w:widowControl w:val="0"/>
              <w:kinsoku/>
              <w:wordWrap/>
              <w:overflowPunct/>
              <w:topLinePunct w:val="0"/>
              <w:autoSpaceDE/>
              <w:autoSpaceDN/>
              <w:bidi w:val="0"/>
              <w:adjustRightInd w:val="0"/>
              <w:snapToGrid w:val="0"/>
              <w:spacing w:before="0" w:beforeLines="50"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四、</w:t>
            </w:r>
            <w:r>
              <w:rPr>
                <w:rFonts w:hint="default" w:ascii="Times New Roman" w:hAnsi="Times New Roman" w:eastAsia="宋体" w:cs="Times New Roman"/>
                <w:b/>
                <w:bCs/>
                <w:color w:val="auto"/>
                <w:sz w:val="24"/>
                <w:szCs w:val="24"/>
                <w:highlight w:val="none"/>
              </w:rPr>
              <w:t>固废</w:t>
            </w:r>
            <w:r>
              <w:rPr>
                <w:rFonts w:hint="default" w:ascii="Times New Roman" w:hAnsi="Times New Roman" w:eastAsia="宋体" w:cs="Times New Roman"/>
                <w:b/>
                <w:bCs/>
                <w:color w:val="auto"/>
                <w:sz w:val="24"/>
                <w:szCs w:val="24"/>
                <w:highlight w:val="none"/>
                <w:lang w:val="en-US" w:eastAsia="zh-CN"/>
              </w:rPr>
              <w:t>排放标准</w:t>
            </w:r>
          </w:p>
          <w:p w14:paraId="1E56B97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一般固废</w:t>
            </w:r>
            <w:r>
              <w:rPr>
                <w:rFonts w:hint="default" w:ascii="Times New Roman" w:hAnsi="Times New Roman" w:eastAsia="宋体" w:cs="Times New Roman"/>
                <w:color w:val="auto"/>
                <w:sz w:val="24"/>
                <w:szCs w:val="24"/>
                <w:highlight w:val="none"/>
              </w:rPr>
              <w:t>执行《一般工业固体废物贮存和填埋污染控制标准》（GB18599-2020）中相关标准</w:t>
            </w:r>
            <w:r>
              <w:rPr>
                <w:rFonts w:hint="default" w:ascii="Times New Roman" w:hAnsi="Times New Roman" w:eastAsia="宋体" w:cs="Times New Roman"/>
                <w:color w:val="auto"/>
                <w:sz w:val="24"/>
                <w:szCs w:val="24"/>
                <w:highlight w:val="none"/>
                <w:lang w:eastAsia="zh-CN"/>
              </w:rPr>
              <w:t>；</w:t>
            </w:r>
          </w:p>
          <w:p w14:paraId="6B818BD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4"/>
                <w:highlight w:val="none"/>
                <w:lang w:val="en-US" w:eastAsia="zh-CN"/>
              </w:rPr>
              <w:t>危险固废执行《危险废物贮存污染控制标准》（GB18597-2023）中相关标准</w:t>
            </w:r>
            <w:r>
              <w:rPr>
                <w:rFonts w:hint="default" w:ascii="Times New Roman" w:hAnsi="Times New Roman" w:eastAsia="宋体" w:cs="Times New Roman"/>
                <w:color w:val="auto"/>
                <w:sz w:val="24"/>
                <w:szCs w:val="24"/>
                <w:highlight w:val="none"/>
              </w:rPr>
              <w:t>。</w:t>
            </w:r>
          </w:p>
        </w:tc>
      </w:tr>
      <w:tr w14:paraId="0DDD7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5079" w:hRule="atLeast"/>
          <w:jc w:val="center"/>
        </w:trPr>
        <w:tc>
          <w:tcPr>
            <w:tcW w:w="422" w:type="dxa"/>
            <w:tcBorders>
              <w:left w:val="single" w:color="000000" w:sz="6" w:space="0"/>
            </w:tcBorders>
            <w:vAlign w:val="center"/>
          </w:tcPr>
          <w:p w14:paraId="379E010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position w:val="4"/>
                <w:sz w:val="24"/>
                <w:szCs w:val="24"/>
                <w:highlight w:val="none"/>
              </w:rPr>
              <w:t>总</w:t>
            </w:r>
            <w:r>
              <w:rPr>
                <w:rFonts w:hint="default" w:ascii="Times New Roman" w:hAnsi="Times New Roman" w:eastAsia="宋体" w:cs="Times New Roman"/>
                <w:color w:val="auto"/>
                <w:spacing w:val="3"/>
                <w:position w:val="4"/>
                <w:sz w:val="24"/>
                <w:szCs w:val="24"/>
                <w:highlight w:val="none"/>
              </w:rPr>
              <w:t>量</w:t>
            </w:r>
            <w:r>
              <w:rPr>
                <w:rFonts w:hint="default" w:ascii="Times New Roman" w:hAnsi="Times New Roman" w:eastAsia="宋体" w:cs="Times New Roman"/>
                <w:color w:val="auto"/>
                <w:spacing w:val="5"/>
                <w:sz w:val="24"/>
                <w:szCs w:val="24"/>
                <w:highlight w:val="none"/>
              </w:rPr>
              <w:t>控制</w:t>
            </w:r>
            <w:r>
              <w:rPr>
                <w:rFonts w:hint="default" w:ascii="Times New Roman" w:hAnsi="Times New Roman" w:eastAsia="宋体" w:cs="Times New Roman"/>
                <w:color w:val="auto"/>
                <w:spacing w:val="4"/>
                <w:sz w:val="24"/>
                <w:szCs w:val="24"/>
                <w:highlight w:val="none"/>
              </w:rPr>
              <w:t>指</w:t>
            </w:r>
            <w:r>
              <w:rPr>
                <w:rFonts w:hint="default" w:ascii="Times New Roman" w:hAnsi="Times New Roman" w:eastAsia="宋体" w:cs="Times New Roman"/>
                <w:color w:val="auto"/>
                <w:spacing w:val="3"/>
                <w:sz w:val="24"/>
                <w:szCs w:val="24"/>
                <w:highlight w:val="none"/>
              </w:rPr>
              <w:t>标</w:t>
            </w:r>
          </w:p>
        </w:tc>
        <w:tc>
          <w:tcPr>
            <w:tcW w:w="8572" w:type="dxa"/>
            <w:tcBorders>
              <w:right w:val="single" w:color="000000" w:sz="6" w:space="0"/>
            </w:tcBorders>
            <w:vAlign w:val="center"/>
          </w:tcPr>
          <w:p w14:paraId="6E44FE6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本项目排放总量为</w:t>
            </w:r>
            <w:r>
              <w:rPr>
                <w:rFonts w:hint="default" w:ascii="Times New Roman" w:hAnsi="Times New Roman" w:eastAsia="宋体" w:cs="Times New Roman"/>
                <w:color w:val="auto"/>
                <w:sz w:val="24"/>
                <w:szCs w:val="24"/>
                <w:highlight w:val="none"/>
                <w:lang w:val="en-US" w:eastAsia="zh-CN"/>
              </w:rPr>
              <w:t>VOCs</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0.642</w:t>
            </w:r>
            <w:r>
              <w:rPr>
                <w:rFonts w:hint="default" w:ascii="Times New Roman" w:hAnsi="Times New Roman" w:eastAsia="宋体" w:cs="Times New Roman"/>
                <w:color w:val="auto"/>
                <w:sz w:val="24"/>
                <w:szCs w:val="24"/>
                <w:highlight w:val="none"/>
                <w:lang w:val="en-US" w:eastAsia="zh-CN"/>
              </w:rPr>
              <w:t>t/a，NOx：0.0</w:t>
            </w:r>
            <w:r>
              <w:rPr>
                <w:rFonts w:hint="eastAsia" w:ascii="Times New Roman" w:hAnsi="Times New Roman" w:eastAsia="宋体" w:cs="Times New Roman"/>
                <w:color w:val="auto"/>
                <w:sz w:val="24"/>
                <w:szCs w:val="24"/>
                <w:highlight w:val="none"/>
                <w:lang w:val="en-US" w:eastAsia="zh-CN"/>
              </w:rPr>
              <w:t>935</w:t>
            </w:r>
            <w:r>
              <w:rPr>
                <w:rFonts w:hint="default" w:ascii="Times New Roman" w:hAnsi="Times New Roman" w:eastAsia="宋体" w:cs="Times New Roman"/>
                <w:color w:val="auto"/>
                <w:sz w:val="24"/>
                <w:szCs w:val="24"/>
                <w:highlight w:val="none"/>
                <w:lang w:val="en-US" w:eastAsia="zh-CN"/>
              </w:rPr>
              <w:t>t/a，SO</w:t>
            </w:r>
            <w:r>
              <w:rPr>
                <w:rFonts w:hint="default"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lang w:val="en-US" w:eastAsia="zh-CN"/>
              </w:rPr>
              <w:t>0.02t/a，颗粒物：0.</w:t>
            </w:r>
            <w:r>
              <w:rPr>
                <w:rFonts w:hint="eastAsia" w:ascii="Times New Roman" w:hAnsi="Times New Roman" w:eastAsia="宋体" w:cs="Times New Roman"/>
                <w:color w:val="auto"/>
                <w:sz w:val="24"/>
                <w:szCs w:val="24"/>
                <w:highlight w:val="none"/>
                <w:lang w:val="en-US" w:eastAsia="zh-CN"/>
              </w:rPr>
              <w:t>561</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eastAsia="宋体" w:cs="Times New Roman"/>
                <w:color w:val="auto"/>
                <w:sz w:val="24"/>
                <w:szCs w:val="24"/>
                <w:highlight w:val="none"/>
              </w:rPr>
              <w:t>。</w:t>
            </w:r>
          </w:p>
          <w:p w14:paraId="7D1C274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4"/>
                <w:szCs w:val="24"/>
                <w:highlight w:val="none"/>
              </w:rPr>
              <w:t>项目所在区域位于</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乌-昌-石</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大气污染联防联控区，为不达标区域，主要为颗粒物超标，需落实重点区域大气污染物总量控制指标2倍削减替代的要求。</w:t>
            </w:r>
            <w:r>
              <w:rPr>
                <w:rFonts w:hint="default" w:ascii="Times New Roman" w:hAnsi="Times New Roman" w:eastAsia="宋体" w:cs="Times New Roman"/>
                <w:color w:val="auto"/>
                <w:sz w:val="24"/>
                <w:szCs w:val="24"/>
                <w:highlight w:val="none"/>
                <w:lang w:eastAsia="zh-CN"/>
              </w:rPr>
              <w:t>倍量替代量</w:t>
            </w:r>
            <w:r>
              <w:rPr>
                <w:rFonts w:hint="default" w:ascii="Times New Roman" w:hAnsi="Times New Roman" w:eastAsia="宋体" w:cs="Times New Roman"/>
                <w:color w:val="auto"/>
                <w:sz w:val="24"/>
                <w:szCs w:val="24"/>
                <w:highlight w:val="none"/>
                <w:lang w:val="en-US" w:eastAsia="zh-CN"/>
              </w:rPr>
              <w:t>VOCs：1.</w:t>
            </w:r>
            <w:r>
              <w:rPr>
                <w:rFonts w:hint="eastAsia" w:ascii="Times New Roman" w:hAnsi="Times New Roman" w:eastAsia="宋体" w:cs="Times New Roman"/>
                <w:color w:val="auto"/>
                <w:sz w:val="24"/>
                <w:szCs w:val="24"/>
                <w:highlight w:val="none"/>
                <w:lang w:val="en-US" w:eastAsia="zh-CN"/>
              </w:rPr>
              <w:t>284</w:t>
            </w:r>
            <w:r>
              <w:rPr>
                <w:rFonts w:hint="default" w:ascii="Times New Roman" w:hAnsi="Times New Roman" w:eastAsia="宋体" w:cs="Times New Roman"/>
                <w:color w:val="auto"/>
                <w:sz w:val="24"/>
                <w:szCs w:val="24"/>
                <w:highlight w:val="none"/>
                <w:lang w:val="en-US" w:eastAsia="zh-CN"/>
              </w:rPr>
              <w:t>t/a，NOx：0.1</w:t>
            </w:r>
            <w:r>
              <w:rPr>
                <w:rFonts w:hint="eastAsia" w:ascii="Times New Roman" w:hAnsi="Times New Roman" w:eastAsia="宋体" w:cs="Times New Roman"/>
                <w:color w:val="auto"/>
                <w:sz w:val="24"/>
                <w:szCs w:val="24"/>
                <w:highlight w:val="none"/>
                <w:lang w:val="en-US" w:eastAsia="zh-CN"/>
              </w:rPr>
              <w:t>87</w:t>
            </w:r>
            <w:r>
              <w:rPr>
                <w:rFonts w:hint="default" w:ascii="Times New Roman" w:hAnsi="Times New Roman" w:eastAsia="宋体" w:cs="Times New Roman"/>
                <w:color w:val="auto"/>
                <w:sz w:val="24"/>
                <w:szCs w:val="24"/>
                <w:highlight w:val="none"/>
                <w:lang w:val="en-US" w:eastAsia="zh-CN"/>
              </w:rPr>
              <w:t>t/a，SO</w:t>
            </w:r>
            <w:r>
              <w:rPr>
                <w:rFonts w:hint="default"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lang w:val="en-US" w:eastAsia="zh-CN"/>
              </w:rPr>
              <w:t>0.04t/a，颗粒物：1.</w:t>
            </w:r>
            <w:r>
              <w:rPr>
                <w:rFonts w:hint="eastAsia" w:ascii="Times New Roman" w:hAnsi="Times New Roman" w:eastAsia="宋体" w:cs="Times New Roman"/>
                <w:color w:val="auto"/>
                <w:sz w:val="24"/>
                <w:szCs w:val="24"/>
                <w:highlight w:val="none"/>
                <w:lang w:val="en-US" w:eastAsia="zh-CN"/>
              </w:rPr>
              <w:t>122</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总量由昌吉州生态环境局昌吉市分局核准。</w:t>
            </w:r>
          </w:p>
        </w:tc>
      </w:tr>
    </w:tbl>
    <w:p w14:paraId="73C1A425">
      <w:pPr>
        <w:keepNext w:val="0"/>
        <w:keepLines w:val="0"/>
        <w:pageBreakBefore w:val="0"/>
        <w:wordWrap/>
        <w:bidi w:val="0"/>
        <w:adjustRightInd w:val="0"/>
        <w:snapToGrid w:val="0"/>
        <w:rPr>
          <w:rFonts w:hint="default" w:ascii="Times New Roman" w:hAnsi="Times New Roman" w:cs="Times New Roman"/>
          <w:color w:val="auto"/>
          <w:highlight w:val="none"/>
        </w:rPr>
        <w:sectPr>
          <w:footerReference r:id="rId7" w:type="default"/>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184DA857">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pacing w:val="14"/>
          <w:sz w:val="29"/>
          <w:szCs w:val="29"/>
          <w:highlight w:val="none"/>
        </w:rPr>
        <w:t>四</w:t>
      </w:r>
      <w:r>
        <w:rPr>
          <w:rFonts w:hint="default" w:ascii="Times New Roman" w:hAnsi="Times New Roman" w:eastAsia="黑体" w:cs="Times New Roman"/>
          <w:color w:val="auto"/>
          <w:spacing w:val="9"/>
          <w:sz w:val="29"/>
          <w:szCs w:val="29"/>
          <w:highlight w:val="none"/>
        </w:rPr>
        <w:t>、</w:t>
      </w:r>
      <w:r>
        <w:rPr>
          <w:rFonts w:hint="default" w:ascii="Times New Roman" w:hAnsi="Times New Roman" w:eastAsia="黑体" w:cs="Times New Roman"/>
          <w:color w:val="auto"/>
          <w:spacing w:val="7"/>
          <w:sz w:val="29"/>
          <w:szCs w:val="29"/>
          <w:highlight w:val="none"/>
        </w:rPr>
        <w:t>主要环境影响和保护措施</w:t>
      </w:r>
    </w:p>
    <w:p w14:paraId="7B44CA34">
      <w:pPr>
        <w:keepNext w:val="0"/>
        <w:keepLines w:val="0"/>
        <w:pageBreakBefore w:val="0"/>
        <w:wordWrap/>
        <w:bidi w:val="0"/>
        <w:adjustRightInd w:val="0"/>
        <w:snapToGrid w:val="0"/>
        <w:spacing w:line="16" w:lineRule="exact"/>
        <w:rPr>
          <w:rFonts w:hint="default" w:ascii="Times New Roman" w:hAnsi="Times New Roman" w:cs="Times New Roman"/>
          <w:color w:val="auto"/>
          <w:highlight w:val="none"/>
        </w:rPr>
      </w:pPr>
    </w:p>
    <w:tbl>
      <w:tblPr>
        <w:tblStyle w:val="41"/>
        <w:tblW w:w="500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461"/>
        <w:gridCol w:w="8759"/>
      </w:tblGrid>
      <w:tr w14:paraId="2F401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jc w:val="center"/>
        </w:trPr>
        <w:tc>
          <w:tcPr>
            <w:tcW w:w="215" w:type="pct"/>
            <w:tcBorders>
              <w:left w:val="single" w:color="000000" w:sz="6" w:space="0"/>
            </w:tcBorders>
            <w:vAlign w:val="center"/>
          </w:tcPr>
          <w:p w14:paraId="02CCD64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sz w:val="24"/>
                <w:szCs w:val="24"/>
                <w:highlight w:val="none"/>
              </w:rPr>
              <w:t>施工</w:t>
            </w:r>
            <w:r>
              <w:rPr>
                <w:rFonts w:hint="default" w:ascii="Times New Roman" w:hAnsi="Times New Roman" w:eastAsia="宋体" w:cs="Times New Roman"/>
                <w:color w:val="auto"/>
                <w:spacing w:val="4"/>
                <w:sz w:val="24"/>
                <w:szCs w:val="24"/>
                <w:highlight w:val="none"/>
              </w:rPr>
              <w:t>期</w:t>
            </w:r>
            <w:r>
              <w:rPr>
                <w:rFonts w:hint="default" w:ascii="Times New Roman" w:hAnsi="Times New Roman" w:eastAsia="宋体" w:cs="Times New Roman"/>
                <w:color w:val="auto"/>
                <w:spacing w:val="3"/>
                <w:sz w:val="24"/>
                <w:szCs w:val="24"/>
                <w:highlight w:val="none"/>
              </w:rPr>
              <w:t>环</w:t>
            </w:r>
            <w:r>
              <w:rPr>
                <w:rFonts w:hint="default" w:ascii="Times New Roman" w:hAnsi="Times New Roman" w:eastAsia="宋体" w:cs="Times New Roman"/>
                <w:color w:val="auto"/>
                <w:spacing w:val="4"/>
                <w:sz w:val="24"/>
                <w:szCs w:val="24"/>
                <w:highlight w:val="none"/>
              </w:rPr>
              <w:t>境保护措</w:t>
            </w:r>
            <w:r>
              <w:rPr>
                <w:rFonts w:hint="default" w:ascii="Times New Roman" w:hAnsi="Times New Roman" w:eastAsia="宋体" w:cs="Times New Roman"/>
                <w:color w:val="auto"/>
                <w:spacing w:val="1"/>
                <w:sz w:val="24"/>
                <w:szCs w:val="24"/>
                <w:highlight w:val="none"/>
              </w:rPr>
              <w:t>施</w:t>
            </w:r>
          </w:p>
        </w:tc>
        <w:tc>
          <w:tcPr>
            <w:tcW w:w="4784" w:type="pct"/>
            <w:tcBorders>
              <w:right w:val="single" w:color="000000" w:sz="6" w:space="0"/>
            </w:tcBorders>
            <w:vAlign w:val="top"/>
          </w:tcPr>
          <w:p w14:paraId="4F881CF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本项目已建设</w:t>
            </w:r>
            <w:r>
              <w:rPr>
                <w:rFonts w:hint="eastAsia" w:ascii="Times New Roman" w:hAnsi="Times New Roman" w:eastAsia="宋体" w:cs="Times New Roman"/>
                <w:snapToGrid w:val="0"/>
                <w:color w:val="auto"/>
                <w:kern w:val="0"/>
                <w:sz w:val="24"/>
                <w:szCs w:val="24"/>
                <w:highlight w:val="none"/>
                <w:u w:val="none"/>
                <w:lang w:val="en-US" w:eastAsia="zh-CN"/>
              </w:rPr>
              <w:t>1号生产车间及车间里布置的焊接、卷制工序，2号生产车间及车间中布置的热风炉、表面处理、刷漆工序，办公区、宿舍、职工餐厅原料储存区等辅助、储运工程。施工期间为安装环保治理设备</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安装环保设备过程中产生的固废由安装设备单位统一带走处理。</w:t>
            </w:r>
          </w:p>
          <w:p w14:paraId="2017C4F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施工期建设单位已经采取各项施工期污染物防治措施，施工期间的废气、噪声、固废对区域环境的不利影响</w:t>
            </w:r>
            <w:r>
              <w:rPr>
                <w:rFonts w:hint="default" w:ascii="Times New Roman" w:hAnsi="Times New Roman" w:eastAsia="宋体" w:cs="Times New Roman"/>
                <w:color w:val="auto"/>
                <w:sz w:val="24"/>
                <w:szCs w:val="24"/>
                <w:highlight w:val="none"/>
                <w:lang w:val="en-US" w:eastAsia="zh-CN"/>
              </w:rPr>
              <w:t>随施工期结束</w:t>
            </w:r>
            <w:r>
              <w:rPr>
                <w:rFonts w:hint="default" w:ascii="Times New Roman" w:hAnsi="Times New Roman" w:eastAsia="宋体" w:cs="Times New Roman"/>
                <w:color w:val="auto"/>
                <w:sz w:val="24"/>
                <w:szCs w:val="24"/>
                <w:highlight w:val="none"/>
              </w:rPr>
              <w:t>。</w:t>
            </w:r>
          </w:p>
        </w:tc>
      </w:tr>
      <w:tr w14:paraId="2363C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576" w:hRule="atLeast"/>
          <w:jc w:val="center"/>
        </w:trPr>
        <w:tc>
          <w:tcPr>
            <w:tcW w:w="215" w:type="pct"/>
            <w:tcBorders>
              <w:left w:val="single" w:color="000000" w:sz="6" w:space="0"/>
            </w:tcBorders>
            <w:vAlign w:val="center"/>
          </w:tcPr>
          <w:p w14:paraId="4AB1DB9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position w:val="4"/>
                <w:sz w:val="24"/>
                <w:szCs w:val="24"/>
                <w:highlight w:val="none"/>
              </w:rPr>
              <w:t>运</w:t>
            </w:r>
            <w:r>
              <w:rPr>
                <w:rFonts w:hint="default" w:ascii="Times New Roman" w:hAnsi="Times New Roman" w:eastAsia="宋体" w:cs="Times New Roman"/>
                <w:color w:val="auto"/>
                <w:spacing w:val="4"/>
                <w:position w:val="4"/>
                <w:sz w:val="24"/>
                <w:szCs w:val="24"/>
                <w:highlight w:val="none"/>
              </w:rPr>
              <w:t>营</w:t>
            </w:r>
            <w:r>
              <w:rPr>
                <w:rFonts w:hint="default" w:ascii="Times New Roman" w:hAnsi="Times New Roman" w:eastAsia="宋体" w:cs="Times New Roman"/>
                <w:color w:val="auto"/>
                <w:spacing w:val="4"/>
                <w:sz w:val="24"/>
                <w:szCs w:val="24"/>
                <w:highlight w:val="none"/>
              </w:rPr>
              <w:t>期</w:t>
            </w:r>
            <w:r>
              <w:rPr>
                <w:rFonts w:hint="default" w:ascii="Times New Roman" w:hAnsi="Times New Roman" w:eastAsia="宋体" w:cs="Times New Roman"/>
                <w:color w:val="auto"/>
                <w:spacing w:val="3"/>
                <w:sz w:val="24"/>
                <w:szCs w:val="24"/>
                <w:highlight w:val="none"/>
              </w:rPr>
              <w:t>环</w:t>
            </w:r>
            <w:r>
              <w:rPr>
                <w:rFonts w:hint="default" w:ascii="Times New Roman" w:hAnsi="Times New Roman" w:eastAsia="宋体" w:cs="Times New Roman"/>
                <w:color w:val="auto"/>
                <w:spacing w:val="4"/>
                <w:sz w:val="24"/>
                <w:szCs w:val="24"/>
                <w:highlight w:val="none"/>
              </w:rPr>
              <w:t>境影</w:t>
            </w:r>
            <w:r>
              <w:rPr>
                <w:rFonts w:hint="default" w:ascii="Times New Roman" w:hAnsi="Times New Roman" w:eastAsia="宋体" w:cs="Times New Roman"/>
                <w:color w:val="auto"/>
                <w:spacing w:val="-1"/>
                <w:sz w:val="24"/>
                <w:szCs w:val="24"/>
                <w:highlight w:val="none"/>
              </w:rPr>
              <w:t>响和</w:t>
            </w:r>
            <w:r>
              <w:rPr>
                <w:rFonts w:hint="default" w:ascii="Times New Roman" w:hAnsi="Times New Roman" w:eastAsia="宋体" w:cs="Times New Roman"/>
                <w:color w:val="auto"/>
                <w:spacing w:val="4"/>
                <w:sz w:val="24"/>
                <w:szCs w:val="24"/>
                <w:highlight w:val="none"/>
              </w:rPr>
              <w:t>保护</w:t>
            </w:r>
            <w:r>
              <w:rPr>
                <w:rFonts w:hint="default" w:ascii="Times New Roman" w:hAnsi="Times New Roman" w:eastAsia="宋体" w:cs="Times New Roman"/>
                <w:color w:val="auto"/>
                <w:spacing w:val="5"/>
                <w:sz w:val="24"/>
                <w:szCs w:val="24"/>
                <w:highlight w:val="none"/>
              </w:rPr>
              <w:t>措</w:t>
            </w:r>
            <w:r>
              <w:rPr>
                <w:rFonts w:hint="default" w:ascii="Times New Roman" w:hAnsi="Times New Roman" w:eastAsia="宋体" w:cs="Times New Roman"/>
                <w:color w:val="auto"/>
                <w:spacing w:val="4"/>
                <w:sz w:val="24"/>
                <w:szCs w:val="24"/>
                <w:highlight w:val="none"/>
              </w:rPr>
              <w:t>施</w:t>
            </w:r>
          </w:p>
        </w:tc>
        <w:tc>
          <w:tcPr>
            <w:tcW w:w="4784" w:type="pct"/>
            <w:tcBorders>
              <w:right w:val="single" w:color="000000" w:sz="6" w:space="0"/>
            </w:tcBorders>
            <w:vAlign w:val="top"/>
          </w:tcPr>
          <w:p w14:paraId="2352F1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default" w:ascii="Times New Roman" w:hAnsi="Times New Roman" w:eastAsia="宋体" w:cs="Times New Roman"/>
                <w:b/>
                <w:bCs/>
                <w:i w:val="0"/>
                <w:iCs w:val="0"/>
                <w:color w:val="auto"/>
                <w:sz w:val="24"/>
                <w:szCs w:val="24"/>
                <w:highlight w:val="none"/>
              </w:rPr>
            </w:pPr>
            <w:r>
              <w:rPr>
                <w:rFonts w:hint="default" w:ascii="Times New Roman" w:hAnsi="Times New Roman" w:eastAsia="宋体" w:cs="Times New Roman"/>
                <w:b/>
                <w:bCs/>
                <w:i w:val="0"/>
                <w:iCs w:val="0"/>
                <w:color w:val="auto"/>
                <w:sz w:val="24"/>
                <w:szCs w:val="24"/>
                <w:highlight w:val="none"/>
                <w:lang w:val="en-US" w:eastAsia="zh-CN"/>
              </w:rPr>
              <w:t>二、</w:t>
            </w:r>
            <w:r>
              <w:rPr>
                <w:rFonts w:hint="default" w:ascii="Times New Roman" w:hAnsi="Times New Roman" w:eastAsia="宋体" w:cs="Times New Roman"/>
                <w:b/>
                <w:bCs/>
                <w:i w:val="0"/>
                <w:iCs w:val="0"/>
                <w:color w:val="auto"/>
                <w:sz w:val="24"/>
                <w:szCs w:val="24"/>
                <w:highlight w:val="none"/>
              </w:rPr>
              <w:t>运营期废气环境影响和保护措施</w:t>
            </w:r>
          </w:p>
          <w:p w14:paraId="02D452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default" w:ascii="Times New Roman" w:hAnsi="Times New Roman" w:eastAsia="宋体" w:cs="Times New Roman"/>
                <w:b/>
                <w:bCs/>
                <w:i w:val="0"/>
                <w:iCs w:val="0"/>
                <w:color w:val="auto"/>
                <w:sz w:val="24"/>
                <w:szCs w:val="24"/>
                <w:highlight w:val="none"/>
              </w:rPr>
            </w:pPr>
            <w:r>
              <w:rPr>
                <w:rFonts w:hint="default" w:ascii="Times New Roman" w:hAnsi="Times New Roman" w:eastAsia="宋体" w:cs="Times New Roman"/>
                <w:b/>
                <w:bCs/>
                <w:i w:val="0"/>
                <w:iCs w:val="0"/>
                <w:color w:val="auto"/>
                <w:sz w:val="24"/>
                <w:szCs w:val="24"/>
                <w:highlight w:val="none"/>
                <w:lang w:eastAsia="zh-CN"/>
              </w:rPr>
              <w:t>（</w:t>
            </w:r>
            <w:r>
              <w:rPr>
                <w:rFonts w:hint="default" w:ascii="Times New Roman" w:hAnsi="Times New Roman" w:eastAsia="宋体" w:cs="Times New Roman"/>
                <w:b/>
                <w:bCs/>
                <w:i w:val="0"/>
                <w:iCs w:val="0"/>
                <w:color w:val="auto"/>
                <w:sz w:val="24"/>
                <w:szCs w:val="24"/>
                <w:highlight w:val="none"/>
                <w:lang w:val="en-US" w:eastAsia="zh-CN"/>
              </w:rPr>
              <w:t>一</w:t>
            </w:r>
            <w:r>
              <w:rPr>
                <w:rFonts w:hint="default" w:ascii="Times New Roman" w:hAnsi="Times New Roman" w:eastAsia="宋体" w:cs="Times New Roman"/>
                <w:b/>
                <w:bCs/>
                <w:i w:val="0"/>
                <w:iCs w:val="0"/>
                <w:color w:val="auto"/>
                <w:sz w:val="24"/>
                <w:szCs w:val="24"/>
                <w:highlight w:val="none"/>
                <w:lang w:eastAsia="zh-CN"/>
              </w:rPr>
              <w:t>）</w:t>
            </w:r>
            <w:r>
              <w:rPr>
                <w:rFonts w:hint="default" w:ascii="Times New Roman" w:hAnsi="Times New Roman" w:eastAsia="宋体" w:cs="Times New Roman"/>
                <w:b/>
                <w:bCs/>
                <w:i w:val="0"/>
                <w:iCs w:val="0"/>
                <w:color w:val="auto"/>
                <w:sz w:val="24"/>
                <w:szCs w:val="24"/>
                <w:highlight w:val="none"/>
              </w:rPr>
              <w:t>废气污染物源强分析</w:t>
            </w:r>
          </w:p>
          <w:p w14:paraId="1B2E1A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运营期废气主要为切割、焊接、喷砂工序产生的颗粒物，热处理工序产生颗粒物、二氧化硫、氮氧化物，刷漆、涂粉工序产生的有机废气。</w:t>
            </w:r>
          </w:p>
          <w:p w14:paraId="3E8BD2D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right="0" w:rightChars="0"/>
              <w:jc w:val="both"/>
              <w:textAlignment w:val="baseline"/>
              <w:rPr>
                <w:rFonts w:hint="default" w:ascii="Times New Roman" w:hAnsi="Times New Roman" w:eastAsia="宋体" w:cs="Times New Roman"/>
                <w:b/>
                <w:bCs/>
                <w:i w:val="0"/>
                <w:iCs w:val="0"/>
                <w:color w:val="auto"/>
                <w:sz w:val="24"/>
                <w:szCs w:val="24"/>
                <w:highlight w:val="none"/>
                <w:lang w:val="en-US" w:eastAsia="zh-CN"/>
              </w:rPr>
            </w:pPr>
            <w:r>
              <w:rPr>
                <w:rFonts w:hint="default" w:ascii="Times New Roman" w:hAnsi="Times New Roman" w:eastAsia="宋体" w:cs="Times New Roman"/>
                <w:b/>
                <w:bCs/>
                <w:i w:val="0"/>
                <w:iCs w:val="0"/>
                <w:color w:val="auto"/>
                <w:sz w:val="24"/>
                <w:szCs w:val="24"/>
                <w:highlight w:val="none"/>
                <w:lang w:val="en-US" w:eastAsia="zh-CN"/>
              </w:rPr>
              <w:t>1.切割、焊接、喷砂工序产生废气</w:t>
            </w:r>
          </w:p>
          <w:p w14:paraId="42F4215E">
            <w:pPr>
              <w:pStyle w:val="40"/>
              <w:keepNext w:val="0"/>
              <w:keepLines w:val="0"/>
              <w:pageBreakBefore w:val="0"/>
              <w:widowControl/>
              <w:numPr>
                <w:ilvl w:val="0"/>
                <w:numId w:val="0"/>
              </w:numPr>
              <w:kinsoku w:val="0"/>
              <w:wordWrap/>
              <w:overflowPunct/>
              <w:topLinePunct w:val="0"/>
              <w:autoSpaceDE w:val="0"/>
              <w:autoSpaceDN w:val="0"/>
              <w:bidi w:val="0"/>
              <w:adjustRightInd w:val="0"/>
              <w:snapToGrid w:val="0"/>
              <w:ind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highlight w:val="none"/>
                <w:lang w:val="en-US" w:eastAsia="zh-CN"/>
              </w:rPr>
              <w:t>本项目切割过程是使用液化气、氧气、乙炔进行切割，切割过程会产生颗粒物，切割过程产生的颗粒物产污系数参考</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排放源统计调查产排污核算方法和系数手册</w:t>
            </w:r>
            <w:r>
              <w:rPr>
                <w:rFonts w:hint="default" w:ascii="Times New Roman" w:hAnsi="Times New Roman" w:eastAsia="宋体" w:cs="Times New Roman"/>
                <w:color w:val="auto"/>
                <w:sz w:val="24"/>
                <w:highlight w:val="none"/>
                <w:lang w:val="en-US" w:eastAsia="zh-CN"/>
              </w:rPr>
              <w:t xml:space="preserve">-33-37，431-434 </w:t>
            </w:r>
            <w:r>
              <w:rPr>
                <w:rFonts w:hint="default" w:ascii="Times New Roman" w:hAnsi="Times New Roman" w:eastAsia="宋体" w:cs="Times New Roman"/>
                <w:color w:val="auto"/>
                <w:sz w:val="24"/>
                <w:highlight w:val="none"/>
              </w:rPr>
              <w:t>机械行业系数手册》</w:t>
            </w:r>
            <w:r>
              <w:rPr>
                <w:rFonts w:hint="default" w:ascii="Times New Roman" w:hAnsi="Times New Roman" w:eastAsia="宋体" w:cs="Times New Roman"/>
                <w:color w:val="auto"/>
                <w:sz w:val="24"/>
                <w:highlight w:val="none"/>
                <w:lang w:val="en-US" w:eastAsia="zh-CN"/>
              </w:rPr>
              <w:t>中“氧/可燃气体切割”系数；喷砂过程产生的颗粒物产污系数参考“</w:t>
            </w:r>
            <w:r>
              <w:rPr>
                <w:rFonts w:hint="default" w:ascii="Times New Roman" w:hAnsi="Times New Roman" w:eastAsia="宋体" w:cs="Times New Roman"/>
                <w:color w:val="auto"/>
                <w:sz w:val="24"/>
                <w:highlight w:val="none"/>
              </w:rPr>
              <w:t>预处理-</w:t>
            </w:r>
            <w:r>
              <w:rPr>
                <w:rFonts w:hint="default" w:ascii="Times New Roman" w:hAnsi="Times New Roman" w:eastAsia="宋体" w:cs="Times New Roman"/>
                <w:color w:val="auto"/>
                <w:sz w:val="24"/>
                <w:szCs w:val="24"/>
                <w:highlight w:val="none"/>
              </w:rPr>
              <w:t>干式预处理件</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szCs w:val="24"/>
                <w:highlight w:val="none"/>
                <w:lang w:val="en-US" w:eastAsia="zh-CN"/>
              </w:rPr>
              <w:t>喷砂</w:t>
            </w:r>
            <w:r>
              <w:rPr>
                <w:rFonts w:hint="default" w:ascii="Times New Roman" w:hAnsi="Times New Roman" w:eastAsia="宋体" w:cs="Times New Roman"/>
                <w:color w:val="auto"/>
                <w:sz w:val="24"/>
                <w:highlight w:val="none"/>
                <w:lang w:val="en-US" w:eastAsia="zh-CN"/>
              </w:rPr>
              <w:t>”系数；焊接工序产生的颗粒物产污系数参考</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焊接-焊接件-</w:t>
            </w:r>
            <w:r>
              <w:rPr>
                <w:rFonts w:hint="default" w:ascii="Times New Roman" w:hAnsi="Times New Roman" w:eastAsia="宋体" w:cs="Times New Roman"/>
                <w:color w:val="auto"/>
                <w:sz w:val="24"/>
                <w:highlight w:val="none"/>
                <w:lang w:val="en-US" w:eastAsia="zh-CN"/>
              </w:rPr>
              <w:t>实</w:t>
            </w:r>
            <w:r>
              <w:rPr>
                <w:rFonts w:hint="default" w:ascii="Times New Roman" w:hAnsi="Times New Roman" w:eastAsia="宋体" w:cs="Times New Roman"/>
                <w:color w:val="auto"/>
                <w:sz w:val="24"/>
                <w:highlight w:val="none"/>
              </w:rPr>
              <w:t>芯焊丝</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系数，具体</w:t>
            </w:r>
            <w:r>
              <w:rPr>
                <w:rFonts w:hint="default" w:ascii="Times New Roman" w:hAnsi="Times New Roman" w:eastAsia="宋体" w:cs="Times New Roman"/>
                <w:color w:val="auto"/>
                <w:sz w:val="24"/>
                <w:szCs w:val="24"/>
                <w:highlight w:val="none"/>
                <w:lang w:val="en-US" w:eastAsia="zh-CN"/>
              </w:rPr>
              <w:t>产污系数见表4-1。</w:t>
            </w:r>
          </w:p>
          <w:p w14:paraId="4D890780">
            <w:pPr>
              <w:pStyle w:val="12"/>
              <w:keepNext w:val="0"/>
              <w:keepLines w:val="0"/>
              <w:pageBreakBefore w:val="0"/>
              <w:widowControl/>
              <w:kinsoku w:val="0"/>
              <w:wordWrap/>
              <w:overflowPunct/>
              <w:topLinePunct w:val="0"/>
              <w:autoSpaceDE w:val="0"/>
              <w:autoSpaceDN w:val="0"/>
              <w:bidi w:val="0"/>
              <w:adjustRightInd w:val="0"/>
              <w:snapToGrid w:val="0"/>
              <w:spacing w:before="0" w:after="0" w:line="240" w:lineRule="auto"/>
              <w:ind w:right="0"/>
              <w:jc w:val="center"/>
              <w:textAlignment w:val="baseline"/>
              <w:rPr>
                <w:rFonts w:hint="default" w:ascii="Times New Roman" w:hAnsi="Times New Roman" w:eastAsia="宋体" w:cs="Times New Roman"/>
                <w:b/>
                <w:bCs/>
                <w:i w:val="0"/>
                <w:iCs w:val="0"/>
                <w:snapToGrid w:val="0"/>
                <w:color w:val="auto"/>
                <w:kern w:val="0"/>
                <w:sz w:val="21"/>
                <w:szCs w:val="21"/>
                <w:highlight w:val="none"/>
                <w:lang w:val="en-US" w:eastAsia="zh-CN" w:bidi="ar"/>
              </w:rPr>
            </w:pPr>
            <w:r>
              <w:rPr>
                <w:rFonts w:hint="default" w:ascii="Times New Roman" w:hAnsi="Times New Roman" w:eastAsia="宋体" w:cs="Times New Roman"/>
                <w:b/>
                <w:bCs/>
                <w:i w:val="0"/>
                <w:iCs w:val="0"/>
                <w:snapToGrid w:val="0"/>
                <w:color w:val="auto"/>
                <w:kern w:val="0"/>
                <w:sz w:val="21"/>
                <w:szCs w:val="21"/>
                <w:highlight w:val="none"/>
                <w:lang w:val="en-US" w:eastAsia="zh-CN" w:bidi="ar"/>
              </w:rPr>
              <w:t>表4-1  产排污系数表</w:t>
            </w:r>
          </w:p>
          <w:tbl>
            <w:tblPr>
              <w:tblStyle w:val="30"/>
              <w:tblpPr w:leftFromText="180" w:rightFromText="180" w:vertAnchor="text" w:horzAnchor="page" w:tblpX="104" w:tblpY="255"/>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680"/>
              <w:gridCol w:w="1334"/>
              <w:gridCol w:w="871"/>
              <w:gridCol w:w="675"/>
              <w:gridCol w:w="844"/>
              <w:gridCol w:w="844"/>
              <w:gridCol w:w="951"/>
              <w:gridCol w:w="844"/>
              <w:gridCol w:w="844"/>
            </w:tblGrid>
            <w:tr w14:paraId="0067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76" w:type="pct"/>
                  <w:vAlign w:val="center"/>
                </w:tcPr>
                <w:p w14:paraId="0242D2FD">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both"/>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工段名称</w:t>
                  </w:r>
                </w:p>
              </w:tc>
              <w:tc>
                <w:tcPr>
                  <w:tcW w:w="398" w:type="pct"/>
                  <w:vAlign w:val="center"/>
                </w:tcPr>
                <w:p w14:paraId="6ACEFEE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产品名称</w:t>
                  </w:r>
                </w:p>
              </w:tc>
              <w:tc>
                <w:tcPr>
                  <w:tcW w:w="781" w:type="pct"/>
                  <w:vAlign w:val="center"/>
                </w:tcPr>
                <w:p w14:paraId="5FB0CA6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原料名称</w:t>
                  </w:r>
                </w:p>
              </w:tc>
              <w:tc>
                <w:tcPr>
                  <w:tcW w:w="510" w:type="pct"/>
                  <w:vAlign w:val="center"/>
                </w:tcPr>
                <w:p w14:paraId="5D8E48B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工艺名称</w:t>
                  </w:r>
                </w:p>
              </w:tc>
              <w:tc>
                <w:tcPr>
                  <w:tcW w:w="395" w:type="pct"/>
                  <w:vAlign w:val="center"/>
                </w:tcPr>
                <w:p w14:paraId="7095460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规模等级</w:t>
                  </w:r>
                </w:p>
              </w:tc>
              <w:tc>
                <w:tcPr>
                  <w:tcW w:w="494" w:type="pct"/>
                  <w:vAlign w:val="center"/>
                </w:tcPr>
                <w:p w14:paraId="35BB591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污染物指标</w:t>
                  </w:r>
                </w:p>
              </w:tc>
              <w:tc>
                <w:tcPr>
                  <w:tcW w:w="494" w:type="pct"/>
                  <w:vAlign w:val="center"/>
                </w:tcPr>
                <w:p w14:paraId="6EDC3A1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系数单位</w:t>
                  </w:r>
                </w:p>
              </w:tc>
              <w:tc>
                <w:tcPr>
                  <w:tcW w:w="557" w:type="pct"/>
                  <w:vAlign w:val="center"/>
                </w:tcPr>
                <w:p w14:paraId="1205A556">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产污系数</w:t>
                  </w:r>
                </w:p>
              </w:tc>
              <w:tc>
                <w:tcPr>
                  <w:tcW w:w="494" w:type="pct"/>
                  <w:vAlign w:val="center"/>
                </w:tcPr>
                <w:p w14:paraId="0D1B263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2"/>
                      <w:sz w:val="21"/>
                      <w:szCs w:val="21"/>
                      <w:highlight w:val="none"/>
                      <w:lang w:val="en-US" w:eastAsia="zh-CN" w:bidi="ar"/>
                    </w:rPr>
                    <w:t>末端治理技术</w:t>
                  </w:r>
                </w:p>
              </w:tc>
              <w:tc>
                <w:tcPr>
                  <w:tcW w:w="494" w:type="pct"/>
                  <w:vAlign w:val="center"/>
                </w:tcPr>
                <w:p w14:paraId="759310A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去除效率</w:t>
                  </w:r>
                </w:p>
              </w:tc>
            </w:tr>
            <w:tr w14:paraId="3DD3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376" w:type="pct"/>
                  <w:vMerge w:val="restart"/>
                  <w:tcBorders>
                    <w:tl2br w:val="nil"/>
                    <w:tr2bl w:val="nil"/>
                  </w:tcBorders>
                  <w:vAlign w:val="center"/>
                </w:tcPr>
                <w:p w14:paraId="5CE3852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下料</w:t>
                  </w:r>
                </w:p>
              </w:tc>
              <w:tc>
                <w:tcPr>
                  <w:tcW w:w="398" w:type="pct"/>
                  <w:vMerge w:val="restart"/>
                  <w:tcBorders>
                    <w:tl2br w:val="nil"/>
                    <w:tr2bl w:val="nil"/>
                  </w:tcBorders>
                  <w:vAlign w:val="center"/>
                </w:tcPr>
                <w:p w14:paraId="26B09A1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781" w:type="pct"/>
                  <w:vMerge w:val="restart"/>
                  <w:tcBorders>
                    <w:tl2br w:val="nil"/>
                    <w:tr2bl w:val="nil"/>
                  </w:tcBorders>
                  <w:vAlign w:val="center"/>
                </w:tcPr>
                <w:p w14:paraId="68A3D53B">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钢板、铝板、铝合金板、其它金属材料</w:t>
                  </w:r>
                </w:p>
              </w:tc>
              <w:tc>
                <w:tcPr>
                  <w:tcW w:w="510" w:type="pct"/>
                  <w:vMerge w:val="restart"/>
                  <w:tcBorders>
                    <w:tl2br w:val="nil"/>
                    <w:tr2bl w:val="nil"/>
                  </w:tcBorders>
                  <w:vAlign w:val="center"/>
                </w:tcPr>
                <w:p w14:paraId="52C19D0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氧/可燃气切割</w:t>
                  </w:r>
                </w:p>
              </w:tc>
              <w:tc>
                <w:tcPr>
                  <w:tcW w:w="395" w:type="pct"/>
                  <w:vMerge w:val="restart"/>
                  <w:tcBorders>
                    <w:tl2br w:val="nil"/>
                    <w:tr2bl w:val="nil"/>
                  </w:tcBorders>
                  <w:vAlign w:val="center"/>
                </w:tcPr>
                <w:p w14:paraId="3B045EA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vAlign w:val="center"/>
                </w:tcPr>
                <w:p w14:paraId="1AB4544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工业废气量</w:t>
                  </w:r>
                </w:p>
              </w:tc>
              <w:tc>
                <w:tcPr>
                  <w:tcW w:w="494" w:type="pct"/>
                  <w:tcBorders>
                    <w:tl2br w:val="nil"/>
                    <w:tr2bl w:val="nil"/>
                  </w:tcBorders>
                  <w:vAlign w:val="center"/>
                </w:tcPr>
                <w:p w14:paraId="5FE83CC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立方米/吨-原料</w:t>
                  </w:r>
                </w:p>
              </w:tc>
              <w:tc>
                <w:tcPr>
                  <w:tcW w:w="557" w:type="pct"/>
                  <w:tcBorders>
                    <w:tl2br w:val="nil"/>
                    <w:tr2bl w:val="nil"/>
                  </w:tcBorders>
                  <w:vAlign w:val="center"/>
                </w:tcPr>
                <w:p w14:paraId="1D9BB51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4635</w:t>
                  </w:r>
                </w:p>
              </w:tc>
              <w:tc>
                <w:tcPr>
                  <w:tcW w:w="494" w:type="pct"/>
                  <w:tcBorders>
                    <w:tl2br w:val="nil"/>
                    <w:tr2bl w:val="nil"/>
                  </w:tcBorders>
                  <w:vAlign w:val="center"/>
                </w:tcPr>
                <w:p w14:paraId="607F1AC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494" w:type="pct"/>
                  <w:tcBorders>
                    <w:tl2br w:val="nil"/>
                    <w:tr2bl w:val="nil"/>
                  </w:tcBorders>
                  <w:vAlign w:val="center"/>
                </w:tcPr>
                <w:p w14:paraId="48DE882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14:paraId="52F7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376" w:type="pct"/>
                  <w:vMerge w:val="continue"/>
                  <w:tcBorders>
                    <w:tl2br w:val="nil"/>
                    <w:tr2bl w:val="nil"/>
                  </w:tcBorders>
                  <w:vAlign w:val="center"/>
                </w:tcPr>
                <w:p w14:paraId="6815804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8" w:type="pct"/>
                  <w:vMerge w:val="continue"/>
                  <w:tcBorders>
                    <w:tl2br w:val="nil"/>
                    <w:tr2bl w:val="nil"/>
                  </w:tcBorders>
                  <w:vAlign w:val="center"/>
                </w:tcPr>
                <w:p w14:paraId="0E208FA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781" w:type="pct"/>
                  <w:vMerge w:val="continue"/>
                  <w:tcBorders>
                    <w:tl2br w:val="nil"/>
                    <w:tr2bl w:val="nil"/>
                  </w:tcBorders>
                  <w:vAlign w:val="center"/>
                </w:tcPr>
                <w:p w14:paraId="52D28C9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510" w:type="pct"/>
                  <w:vMerge w:val="continue"/>
                  <w:tcBorders>
                    <w:tl2br w:val="nil"/>
                    <w:tr2bl w:val="nil"/>
                  </w:tcBorders>
                  <w:vAlign w:val="center"/>
                </w:tcPr>
                <w:p w14:paraId="62305F2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5" w:type="pct"/>
                  <w:vMerge w:val="continue"/>
                  <w:tcBorders>
                    <w:tl2br w:val="nil"/>
                    <w:tr2bl w:val="nil"/>
                  </w:tcBorders>
                  <w:vAlign w:val="center"/>
                </w:tcPr>
                <w:p w14:paraId="3342D5A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494" w:type="pct"/>
                  <w:tcBorders>
                    <w:tl2br w:val="nil"/>
                    <w:tr2bl w:val="nil"/>
                  </w:tcBorders>
                  <w:vAlign w:val="center"/>
                </w:tcPr>
                <w:p w14:paraId="03983D2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494" w:type="pct"/>
                  <w:tcBorders>
                    <w:tl2br w:val="nil"/>
                    <w:tr2bl w:val="nil"/>
                  </w:tcBorders>
                  <w:vAlign w:val="center"/>
                </w:tcPr>
                <w:p w14:paraId="6E4A195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千克/吨-原料</w:t>
                  </w:r>
                </w:p>
              </w:tc>
              <w:tc>
                <w:tcPr>
                  <w:tcW w:w="557" w:type="pct"/>
                  <w:tcBorders>
                    <w:tl2br w:val="nil"/>
                    <w:tr2bl w:val="nil"/>
                  </w:tcBorders>
                  <w:vAlign w:val="center"/>
                </w:tcPr>
                <w:p w14:paraId="19B467D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1.5</w:t>
                  </w:r>
                </w:p>
              </w:tc>
              <w:tc>
                <w:tcPr>
                  <w:tcW w:w="494" w:type="pct"/>
                  <w:tcBorders>
                    <w:tl2br w:val="nil"/>
                    <w:tr2bl w:val="nil"/>
                  </w:tcBorders>
                  <w:vAlign w:val="center"/>
                </w:tcPr>
                <w:p w14:paraId="053391A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袋式</w:t>
                  </w:r>
                </w:p>
                <w:p w14:paraId="2FAD114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w:t>
                  </w:r>
                </w:p>
              </w:tc>
              <w:tc>
                <w:tcPr>
                  <w:tcW w:w="494" w:type="pct"/>
                  <w:tcBorders>
                    <w:tl2br w:val="nil"/>
                    <w:tr2bl w:val="nil"/>
                  </w:tcBorders>
                  <w:vAlign w:val="center"/>
                </w:tcPr>
                <w:p w14:paraId="174171B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95%</w:t>
                  </w:r>
                </w:p>
              </w:tc>
            </w:tr>
            <w:tr w14:paraId="529E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76" w:type="pct"/>
                  <w:vMerge w:val="restart"/>
                  <w:tcBorders>
                    <w:tl2br w:val="nil"/>
                    <w:tr2bl w:val="nil"/>
                  </w:tcBorders>
                  <w:vAlign w:val="center"/>
                </w:tcPr>
                <w:p w14:paraId="51B4E93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预处理</w:t>
                  </w:r>
                </w:p>
              </w:tc>
              <w:tc>
                <w:tcPr>
                  <w:tcW w:w="398" w:type="pct"/>
                  <w:vMerge w:val="restart"/>
                  <w:tcBorders>
                    <w:tl2br w:val="nil"/>
                    <w:tr2bl w:val="nil"/>
                  </w:tcBorders>
                  <w:vAlign w:val="center"/>
                </w:tcPr>
                <w:p w14:paraId="5142559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干式预处理件</w:t>
                  </w:r>
                </w:p>
              </w:tc>
              <w:tc>
                <w:tcPr>
                  <w:tcW w:w="781" w:type="pct"/>
                  <w:vMerge w:val="restart"/>
                  <w:tcBorders>
                    <w:tl2br w:val="nil"/>
                    <w:tr2bl w:val="nil"/>
                  </w:tcBorders>
                  <w:vAlign w:val="center"/>
                </w:tcPr>
                <w:p w14:paraId="51C78B1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钢材（含板材、构件等）、铝材（含板材、构件等）、铝合金（含板材、构件等）、铁材、其它金属材料</w:t>
                  </w:r>
                </w:p>
              </w:tc>
              <w:tc>
                <w:tcPr>
                  <w:tcW w:w="510" w:type="pct"/>
                  <w:vMerge w:val="restart"/>
                  <w:tcBorders>
                    <w:tl2br w:val="nil"/>
                    <w:tr2bl w:val="nil"/>
                  </w:tcBorders>
                  <w:vAlign w:val="center"/>
                </w:tcPr>
                <w:p w14:paraId="6E77E66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抛丸、喷砂、打磨、滚筒</w:t>
                  </w:r>
                </w:p>
              </w:tc>
              <w:tc>
                <w:tcPr>
                  <w:tcW w:w="395" w:type="pct"/>
                  <w:vMerge w:val="restart"/>
                  <w:tcBorders>
                    <w:tl2br w:val="nil"/>
                    <w:tr2bl w:val="nil"/>
                  </w:tcBorders>
                  <w:vAlign w:val="center"/>
                </w:tcPr>
                <w:p w14:paraId="5560E9E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vAlign w:val="center"/>
                </w:tcPr>
                <w:p w14:paraId="5E5FA79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工业废气量</w:t>
                  </w:r>
                </w:p>
              </w:tc>
              <w:tc>
                <w:tcPr>
                  <w:tcW w:w="494" w:type="pct"/>
                  <w:tcBorders>
                    <w:tl2br w:val="nil"/>
                    <w:tr2bl w:val="nil"/>
                  </w:tcBorders>
                  <w:vAlign w:val="center"/>
                </w:tcPr>
                <w:p w14:paraId="4DA26B7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立方米/吨-原料</w:t>
                  </w:r>
                </w:p>
              </w:tc>
              <w:tc>
                <w:tcPr>
                  <w:tcW w:w="557" w:type="pct"/>
                  <w:tcBorders>
                    <w:tl2br w:val="nil"/>
                    <w:tr2bl w:val="nil"/>
                  </w:tcBorders>
                  <w:vAlign w:val="center"/>
                </w:tcPr>
                <w:p w14:paraId="6439738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8500</w:t>
                  </w:r>
                </w:p>
              </w:tc>
              <w:tc>
                <w:tcPr>
                  <w:tcW w:w="494" w:type="pct"/>
                  <w:tcBorders>
                    <w:tl2br w:val="nil"/>
                    <w:tr2bl w:val="nil"/>
                  </w:tcBorders>
                  <w:vAlign w:val="center"/>
                </w:tcPr>
                <w:p w14:paraId="100F4AA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494" w:type="pct"/>
                  <w:tcBorders>
                    <w:tl2br w:val="nil"/>
                    <w:tr2bl w:val="nil"/>
                  </w:tcBorders>
                  <w:vAlign w:val="center"/>
                </w:tcPr>
                <w:p w14:paraId="1E7E8C76">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14:paraId="15C0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Borders>
                    <w:tl2br w:val="nil"/>
                    <w:tr2bl w:val="nil"/>
                  </w:tcBorders>
                  <w:vAlign w:val="center"/>
                </w:tcPr>
                <w:p w14:paraId="0921070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8" w:type="pct"/>
                  <w:vMerge w:val="continue"/>
                  <w:tcBorders>
                    <w:tl2br w:val="nil"/>
                    <w:tr2bl w:val="nil"/>
                  </w:tcBorders>
                  <w:vAlign w:val="center"/>
                </w:tcPr>
                <w:p w14:paraId="717D65E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781" w:type="pct"/>
                  <w:vMerge w:val="continue"/>
                  <w:tcBorders>
                    <w:tl2br w:val="nil"/>
                    <w:tr2bl w:val="nil"/>
                  </w:tcBorders>
                  <w:vAlign w:val="center"/>
                </w:tcPr>
                <w:p w14:paraId="6104DB4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510" w:type="pct"/>
                  <w:vMerge w:val="continue"/>
                  <w:tcBorders>
                    <w:tl2br w:val="nil"/>
                    <w:tr2bl w:val="nil"/>
                  </w:tcBorders>
                  <w:vAlign w:val="center"/>
                </w:tcPr>
                <w:p w14:paraId="6E2EF7C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5" w:type="pct"/>
                  <w:vMerge w:val="continue"/>
                  <w:tcBorders>
                    <w:tl2br w:val="nil"/>
                    <w:tr2bl w:val="nil"/>
                  </w:tcBorders>
                  <w:vAlign w:val="center"/>
                </w:tcPr>
                <w:p w14:paraId="7356E38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494" w:type="pct"/>
                  <w:tcBorders>
                    <w:tl2br w:val="nil"/>
                    <w:tr2bl w:val="nil"/>
                  </w:tcBorders>
                  <w:vAlign w:val="center"/>
                </w:tcPr>
                <w:p w14:paraId="507E129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494" w:type="pct"/>
                  <w:tcBorders>
                    <w:tl2br w:val="nil"/>
                    <w:tr2bl w:val="nil"/>
                  </w:tcBorders>
                  <w:vAlign w:val="center"/>
                </w:tcPr>
                <w:p w14:paraId="3AA458D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千克/吨-原料</w:t>
                  </w:r>
                </w:p>
              </w:tc>
              <w:tc>
                <w:tcPr>
                  <w:tcW w:w="557" w:type="pct"/>
                  <w:tcBorders>
                    <w:tl2br w:val="nil"/>
                    <w:tr2bl w:val="nil"/>
                  </w:tcBorders>
                  <w:vAlign w:val="center"/>
                </w:tcPr>
                <w:p w14:paraId="5554ABF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2.19</w:t>
                  </w:r>
                </w:p>
              </w:tc>
              <w:tc>
                <w:tcPr>
                  <w:tcW w:w="494" w:type="pct"/>
                  <w:tcBorders>
                    <w:tl2br w:val="nil"/>
                    <w:tr2bl w:val="nil"/>
                  </w:tcBorders>
                  <w:vAlign w:val="center"/>
                </w:tcPr>
                <w:p w14:paraId="716C095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袋式</w:t>
                  </w:r>
                </w:p>
                <w:p w14:paraId="0E2A3186">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w:t>
                  </w:r>
                </w:p>
              </w:tc>
              <w:tc>
                <w:tcPr>
                  <w:tcW w:w="494" w:type="pct"/>
                  <w:tcBorders>
                    <w:tl2br w:val="nil"/>
                    <w:tr2bl w:val="nil"/>
                  </w:tcBorders>
                  <w:vAlign w:val="center"/>
                </w:tcPr>
                <w:p w14:paraId="456D3B8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95%</w:t>
                  </w:r>
                </w:p>
              </w:tc>
            </w:tr>
            <w:tr w14:paraId="5A91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376" w:type="pct"/>
                  <w:vMerge w:val="restart"/>
                  <w:tcBorders>
                    <w:tl2br w:val="nil"/>
                    <w:tr2bl w:val="nil"/>
                  </w:tcBorders>
                  <w:vAlign w:val="center"/>
                </w:tcPr>
                <w:p w14:paraId="2ED3130B">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焊接</w:t>
                  </w:r>
                </w:p>
              </w:tc>
              <w:tc>
                <w:tcPr>
                  <w:tcW w:w="398" w:type="pct"/>
                  <w:vMerge w:val="restart"/>
                  <w:tcBorders>
                    <w:tl2br w:val="nil"/>
                    <w:tr2bl w:val="nil"/>
                  </w:tcBorders>
                  <w:vAlign w:val="center"/>
                </w:tcPr>
                <w:p w14:paraId="173696E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焊接件</w:t>
                  </w:r>
                </w:p>
              </w:tc>
              <w:tc>
                <w:tcPr>
                  <w:tcW w:w="781" w:type="pct"/>
                  <w:vMerge w:val="restart"/>
                  <w:tcBorders>
                    <w:tl2br w:val="nil"/>
                    <w:tr2bl w:val="nil"/>
                  </w:tcBorders>
                  <w:vAlign w:val="center"/>
                </w:tcPr>
                <w:p w14:paraId="0B428A7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药芯焊丝</w:t>
                  </w:r>
                </w:p>
              </w:tc>
              <w:tc>
                <w:tcPr>
                  <w:tcW w:w="510" w:type="pct"/>
                  <w:vMerge w:val="restart"/>
                  <w:tcBorders>
                    <w:tl2br w:val="nil"/>
                    <w:tr2bl w:val="nil"/>
                  </w:tcBorders>
                  <w:vAlign w:val="center"/>
                </w:tcPr>
                <w:p w14:paraId="1188736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二氧化碳保护焊、埋弧焊、氩弧焊</w:t>
                  </w:r>
                </w:p>
              </w:tc>
              <w:tc>
                <w:tcPr>
                  <w:tcW w:w="395" w:type="pct"/>
                  <w:vMerge w:val="restart"/>
                  <w:tcBorders>
                    <w:tl2br w:val="nil"/>
                    <w:tr2bl w:val="nil"/>
                  </w:tcBorders>
                  <w:vAlign w:val="center"/>
                </w:tcPr>
                <w:p w14:paraId="1510ECD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vAlign w:val="center"/>
                </w:tcPr>
                <w:p w14:paraId="0290193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工业废气量</w:t>
                  </w:r>
                </w:p>
              </w:tc>
              <w:tc>
                <w:tcPr>
                  <w:tcW w:w="494" w:type="pct"/>
                  <w:tcBorders>
                    <w:tl2br w:val="nil"/>
                    <w:tr2bl w:val="nil"/>
                  </w:tcBorders>
                  <w:vAlign w:val="center"/>
                </w:tcPr>
                <w:p w14:paraId="3916B82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立方米/吨-原料</w:t>
                  </w:r>
                </w:p>
              </w:tc>
              <w:tc>
                <w:tcPr>
                  <w:tcW w:w="557" w:type="pct"/>
                  <w:tcBorders>
                    <w:tl2br w:val="nil"/>
                    <w:tr2bl w:val="nil"/>
                  </w:tcBorders>
                  <w:vAlign w:val="center"/>
                </w:tcPr>
                <w:p w14:paraId="50632D9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2130193</w:t>
                  </w:r>
                </w:p>
              </w:tc>
              <w:tc>
                <w:tcPr>
                  <w:tcW w:w="494" w:type="pct"/>
                  <w:tcBorders>
                    <w:tl2br w:val="nil"/>
                    <w:tr2bl w:val="nil"/>
                  </w:tcBorders>
                  <w:vAlign w:val="center"/>
                </w:tcPr>
                <w:p w14:paraId="18F028A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494" w:type="pct"/>
                  <w:tcBorders>
                    <w:tl2br w:val="nil"/>
                    <w:tr2bl w:val="nil"/>
                  </w:tcBorders>
                  <w:vAlign w:val="center"/>
                </w:tcPr>
                <w:p w14:paraId="4335741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14:paraId="0DC1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76" w:type="pct"/>
                  <w:vMerge w:val="continue"/>
                  <w:tcBorders>
                    <w:tl2br w:val="nil"/>
                    <w:tr2bl w:val="nil"/>
                  </w:tcBorders>
                  <w:vAlign w:val="center"/>
                </w:tcPr>
                <w:p w14:paraId="1FCD9F0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8" w:type="pct"/>
                  <w:vMerge w:val="continue"/>
                  <w:tcBorders>
                    <w:tl2br w:val="nil"/>
                    <w:tr2bl w:val="nil"/>
                  </w:tcBorders>
                  <w:vAlign w:val="center"/>
                </w:tcPr>
                <w:p w14:paraId="05311DC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781" w:type="pct"/>
                  <w:vMerge w:val="continue"/>
                  <w:tcBorders>
                    <w:tl2br w:val="nil"/>
                    <w:tr2bl w:val="nil"/>
                  </w:tcBorders>
                  <w:vAlign w:val="center"/>
                </w:tcPr>
                <w:p w14:paraId="5DE0C64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510" w:type="pct"/>
                  <w:vMerge w:val="continue"/>
                  <w:tcBorders>
                    <w:tl2br w:val="nil"/>
                    <w:tr2bl w:val="nil"/>
                  </w:tcBorders>
                  <w:vAlign w:val="center"/>
                </w:tcPr>
                <w:p w14:paraId="0A3F1A8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395" w:type="pct"/>
                  <w:vMerge w:val="continue"/>
                  <w:tcBorders>
                    <w:tl2br w:val="nil"/>
                    <w:tr2bl w:val="nil"/>
                  </w:tcBorders>
                  <w:vAlign w:val="center"/>
                </w:tcPr>
                <w:p w14:paraId="64E400D2">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cs="Times New Roman"/>
                      <w:color w:val="auto"/>
                      <w:highlight w:val="none"/>
                    </w:rPr>
                  </w:pPr>
                </w:p>
              </w:tc>
              <w:tc>
                <w:tcPr>
                  <w:tcW w:w="494" w:type="pct"/>
                  <w:tcBorders>
                    <w:tl2br w:val="nil"/>
                    <w:tr2bl w:val="nil"/>
                  </w:tcBorders>
                  <w:vAlign w:val="center"/>
                </w:tcPr>
                <w:p w14:paraId="4984F73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494" w:type="pct"/>
                  <w:tcBorders>
                    <w:tl2br w:val="nil"/>
                    <w:tr2bl w:val="nil"/>
                  </w:tcBorders>
                  <w:vAlign w:val="center"/>
                </w:tcPr>
                <w:p w14:paraId="202214D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千克/吨原料</w:t>
                  </w:r>
                </w:p>
              </w:tc>
              <w:tc>
                <w:tcPr>
                  <w:tcW w:w="557" w:type="pct"/>
                  <w:tcBorders>
                    <w:tl2br w:val="nil"/>
                    <w:tr2bl w:val="nil"/>
                  </w:tcBorders>
                  <w:vAlign w:val="center"/>
                </w:tcPr>
                <w:p w14:paraId="69A9F2F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20.5</w:t>
                  </w:r>
                </w:p>
              </w:tc>
              <w:tc>
                <w:tcPr>
                  <w:tcW w:w="494" w:type="pct"/>
                  <w:tcBorders>
                    <w:tl2br w:val="nil"/>
                    <w:tr2bl w:val="nil"/>
                  </w:tcBorders>
                  <w:vAlign w:val="center"/>
                </w:tcPr>
                <w:p w14:paraId="28496F3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移动式烟尘净化器</w:t>
                  </w:r>
                </w:p>
              </w:tc>
              <w:tc>
                <w:tcPr>
                  <w:tcW w:w="494" w:type="pct"/>
                  <w:tcBorders>
                    <w:tl2br w:val="nil"/>
                    <w:tr2bl w:val="nil"/>
                  </w:tcBorders>
                  <w:vAlign w:val="center"/>
                </w:tcPr>
                <w:p w14:paraId="260E96DD">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95%</w:t>
                  </w:r>
                </w:p>
              </w:tc>
            </w:tr>
          </w:tbl>
          <w:p w14:paraId="7116160C">
            <w:pPr>
              <w:pStyle w:val="22"/>
              <w:keepNext w:val="0"/>
              <w:keepLines w:val="0"/>
              <w:pageBreakBefore w:val="0"/>
              <w:widowControl/>
              <w:kinsoku w:val="0"/>
              <w:wordWrap/>
              <w:overflowPunct/>
              <w:topLinePunct w:val="0"/>
              <w:autoSpaceDE w:val="0"/>
              <w:autoSpaceDN w:val="0"/>
              <w:bidi w:val="0"/>
              <w:adjustRightInd w:val="0"/>
              <w:snapToGrid w:val="0"/>
              <w:spacing w:after="0" w:afterLines="0" w:line="360" w:lineRule="auto"/>
              <w:ind w:left="0" w:leftChars="0"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i w:val="0"/>
                <w:iCs w:val="0"/>
                <w:color w:val="auto"/>
                <w:sz w:val="24"/>
                <w:szCs w:val="24"/>
                <w:highlight w:val="none"/>
                <w:vertAlign w:val="baseline"/>
                <w:lang w:val="en-US" w:eastAsia="zh-CN"/>
              </w:rPr>
              <w:t>本项目钢材用量为3000t/a，药芯焊丝用量为10t/a，</w:t>
            </w:r>
            <w:r>
              <w:rPr>
                <w:rFonts w:hint="default" w:ascii="Times New Roman" w:hAnsi="Times New Roman" w:eastAsia="宋体" w:cs="Times New Roman"/>
                <w:color w:val="auto"/>
                <w:sz w:val="24"/>
                <w:highlight w:val="none"/>
                <w:lang w:val="en-US" w:eastAsia="zh-CN"/>
              </w:rPr>
              <w:t>废气的收集效率可参考《袋式除尘工程通用技术规范》（HJ2020-2012），其中密闭罩100%、半密闭罩95%、吹吸罩90%，故本项目</w:t>
            </w:r>
            <w:r>
              <w:rPr>
                <w:rFonts w:hint="default" w:ascii="Times New Roman" w:hAnsi="Times New Roman" w:eastAsia="宋体" w:cs="Times New Roman"/>
                <w:bCs/>
                <w:color w:val="auto"/>
                <w:sz w:val="24"/>
                <w:highlight w:val="none"/>
                <w:lang w:val="en-US" w:eastAsia="zh-CN"/>
              </w:rPr>
              <w:t>焊接废气</w:t>
            </w:r>
            <w:r>
              <w:rPr>
                <w:rFonts w:hint="default" w:ascii="Times New Roman" w:hAnsi="Times New Roman" w:eastAsia="宋体" w:cs="Times New Roman"/>
                <w:color w:val="auto"/>
                <w:sz w:val="24"/>
                <w:highlight w:val="none"/>
                <w:lang w:val="en-US" w:eastAsia="zh-CN"/>
              </w:rPr>
              <w:t>收集效率取90%</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喷砂在砂</w:t>
            </w:r>
            <w:r>
              <w:rPr>
                <w:rFonts w:hint="default" w:ascii="Times New Roman" w:hAnsi="Times New Roman" w:eastAsia="宋体" w:cs="Times New Roman"/>
                <w:b w:val="0"/>
                <w:bCs/>
                <w:color w:val="auto"/>
                <w:sz w:val="24"/>
                <w:highlight w:val="none"/>
                <w:lang w:val="en-US" w:eastAsia="zh-CN"/>
              </w:rPr>
              <w:t>密闭喷砂房内，</w:t>
            </w:r>
            <w:r>
              <w:rPr>
                <w:rFonts w:hint="default" w:ascii="Times New Roman" w:hAnsi="Times New Roman" w:eastAsia="宋体" w:cs="Times New Roman"/>
                <w:color w:val="auto"/>
                <w:sz w:val="24"/>
                <w:highlight w:val="none"/>
                <w:lang w:val="en-US" w:eastAsia="zh-CN"/>
              </w:rPr>
              <w:t>废气收集效率按照100%计</w:t>
            </w:r>
            <w:r>
              <w:rPr>
                <w:rFonts w:hint="eastAsia" w:ascii="Times New Roman" w:hAnsi="Times New Roman" w:eastAsia="宋体" w:cs="Times New Roman"/>
                <w:color w:val="auto"/>
                <w:sz w:val="24"/>
                <w:highlight w:val="none"/>
                <w:lang w:val="en-US" w:eastAsia="zh-CN"/>
              </w:rPr>
              <w:t>。设立一个固定切割工段，切割工序上面设立一个集气罩，</w:t>
            </w:r>
            <w:r>
              <w:rPr>
                <w:rFonts w:hint="default" w:ascii="Times New Roman" w:hAnsi="Times New Roman" w:eastAsia="宋体" w:cs="Times New Roman"/>
                <w:color w:val="auto"/>
                <w:sz w:val="24"/>
                <w:highlight w:val="none"/>
                <w:lang w:val="en-US" w:eastAsia="zh-CN"/>
              </w:rPr>
              <w:t>切割废气收集效率按照90%计，切割工序及喷砂工序产生的污染物通过共用一个布袋除尘器处理后排放，布袋除尘器的风机风量为6000m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/h，</w:t>
            </w:r>
            <w:r>
              <w:rPr>
                <w:rFonts w:hint="eastAsia" w:ascii="Times New Roman" w:hAnsi="Times New Roman" w:eastAsia="宋体" w:cs="Times New Roman"/>
                <w:color w:val="auto"/>
                <w:sz w:val="24"/>
                <w:highlight w:val="none"/>
                <w:lang w:val="en-US" w:eastAsia="zh-CN"/>
              </w:rPr>
              <w:t>处理效率为95%，</w:t>
            </w:r>
            <w:r>
              <w:rPr>
                <w:rFonts w:hint="default" w:ascii="Times New Roman" w:hAnsi="Times New Roman" w:eastAsia="宋体" w:cs="Times New Roman"/>
                <w:color w:val="auto"/>
                <w:sz w:val="24"/>
                <w:highlight w:val="none"/>
                <w:lang w:eastAsia="zh-CN"/>
              </w:rPr>
              <w:t>未被收集到的以无组织形式排放，</w:t>
            </w:r>
            <w:r>
              <w:rPr>
                <w:rFonts w:hint="default" w:ascii="Times New Roman" w:hAnsi="Times New Roman" w:eastAsia="宋体" w:cs="Times New Roman"/>
                <w:color w:val="auto"/>
                <w:sz w:val="24"/>
                <w:highlight w:val="none"/>
                <w:lang w:val="en-US" w:eastAsia="zh-CN"/>
              </w:rPr>
              <w:t>焊接废气使用移动式烟尘净化器</w:t>
            </w:r>
            <w:r>
              <w:rPr>
                <w:rFonts w:hint="eastAsia" w:ascii="Times New Roman" w:hAnsi="Times New Roman" w:eastAsia="宋体" w:cs="Times New Roman"/>
                <w:color w:val="auto"/>
                <w:sz w:val="24"/>
                <w:highlight w:val="none"/>
                <w:lang w:val="en-US" w:eastAsia="zh-CN"/>
              </w:rPr>
              <w:t>（处理效率为95%）</w:t>
            </w:r>
            <w:r>
              <w:rPr>
                <w:rFonts w:hint="default" w:ascii="Times New Roman" w:hAnsi="Times New Roman" w:eastAsia="宋体" w:cs="Times New Roman"/>
                <w:color w:val="auto"/>
                <w:sz w:val="24"/>
                <w:highlight w:val="none"/>
                <w:lang w:val="en-US" w:eastAsia="zh-CN"/>
              </w:rPr>
              <w:t>处理后无组织排放。切割、焊接、喷砂工序废气产生及排放情况见表4-2。</w:t>
            </w:r>
          </w:p>
          <w:p w14:paraId="19C96AF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表4-2   废气产生及排放情况</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74"/>
              <w:gridCol w:w="1153"/>
              <w:gridCol w:w="1219"/>
              <w:gridCol w:w="842"/>
              <w:gridCol w:w="855"/>
              <w:gridCol w:w="917"/>
              <w:gridCol w:w="867"/>
              <w:gridCol w:w="862"/>
              <w:gridCol w:w="741"/>
            </w:tblGrid>
            <w:tr w14:paraId="1DE4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50" w:type="pct"/>
                  <w:vMerge w:val="restart"/>
                  <w:tcBorders>
                    <w:tl2br w:val="nil"/>
                    <w:tr2bl w:val="nil"/>
                  </w:tcBorders>
                  <w:noWrap w:val="0"/>
                  <w:vAlign w:val="center"/>
                </w:tcPr>
                <w:p w14:paraId="76E61AE7">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污染物产生环节</w:t>
                  </w:r>
                </w:p>
              </w:tc>
              <w:tc>
                <w:tcPr>
                  <w:tcW w:w="514" w:type="pct"/>
                  <w:vMerge w:val="restart"/>
                  <w:tcBorders>
                    <w:tl2br w:val="nil"/>
                    <w:tr2bl w:val="nil"/>
                  </w:tcBorders>
                  <w:noWrap w:val="0"/>
                  <w:vAlign w:val="center"/>
                </w:tcPr>
                <w:p w14:paraId="2438C01A">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w:t>
                  </w:r>
                </w:p>
                <w:p w14:paraId="53C5DA98">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形式</w:t>
                  </w:r>
                </w:p>
              </w:tc>
              <w:tc>
                <w:tcPr>
                  <w:tcW w:w="735" w:type="pct"/>
                  <w:vMerge w:val="restart"/>
                  <w:tcBorders>
                    <w:tl2br w:val="nil"/>
                    <w:tr2bl w:val="nil"/>
                  </w:tcBorders>
                  <w:noWrap w:val="0"/>
                  <w:vAlign w:val="center"/>
                </w:tcPr>
                <w:p w14:paraId="02A1E1E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592" w:type="pct"/>
                  <w:gridSpan w:val="3"/>
                  <w:tcBorders>
                    <w:tl2br w:val="nil"/>
                    <w:tr2bl w:val="nil"/>
                  </w:tcBorders>
                  <w:noWrap w:val="0"/>
                  <w:vAlign w:val="center"/>
                </w:tcPr>
                <w:p w14:paraId="2F9A215A">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产生情况</w:t>
                  </w:r>
                </w:p>
              </w:tc>
              <w:tc>
                <w:tcPr>
                  <w:tcW w:w="1507" w:type="pct"/>
                  <w:gridSpan w:val="3"/>
                  <w:tcBorders>
                    <w:tl2br w:val="nil"/>
                    <w:tr2bl w:val="nil"/>
                  </w:tcBorders>
                  <w:noWrap w:val="0"/>
                  <w:vAlign w:val="center"/>
                </w:tcPr>
                <w:p w14:paraId="339CEF4A">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排放情况</w:t>
                  </w:r>
                </w:p>
              </w:tc>
            </w:tr>
            <w:tr w14:paraId="3859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50" w:type="pct"/>
                  <w:vMerge w:val="continue"/>
                  <w:tcBorders>
                    <w:tl2br w:val="nil"/>
                    <w:tr2bl w:val="nil"/>
                  </w:tcBorders>
                  <w:noWrap w:val="0"/>
                  <w:vAlign w:val="center"/>
                </w:tcPr>
                <w:p w14:paraId="0491EA79">
                  <w:pPr>
                    <w:jc w:val="center"/>
                    <w:rPr>
                      <w:rFonts w:hint="default" w:ascii="Times New Roman" w:hAnsi="Times New Roman" w:eastAsia="宋体" w:cs="Times New Roman"/>
                      <w:b/>
                      <w:bCs/>
                      <w:color w:val="auto"/>
                      <w:sz w:val="21"/>
                      <w:szCs w:val="21"/>
                      <w:highlight w:val="none"/>
                    </w:rPr>
                  </w:pPr>
                </w:p>
              </w:tc>
              <w:tc>
                <w:tcPr>
                  <w:tcW w:w="514" w:type="pct"/>
                  <w:vMerge w:val="continue"/>
                  <w:tcBorders>
                    <w:tl2br w:val="nil"/>
                    <w:tr2bl w:val="nil"/>
                  </w:tcBorders>
                  <w:noWrap w:val="0"/>
                  <w:vAlign w:val="center"/>
                </w:tcPr>
                <w:p w14:paraId="42253357">
                  <w:pPr>
                    <w:jc w:val="center"/>
                    <w:rPr>
                      <w:rFonts w:hint="default" w:ascii="Times New Roman" w:hAnsi="Times New Roman" w:eastAsia="宋体" w:cs="Times New Roman"/>
                      <w:b/>
                      <w:bCs/>
                      <w:color w:val="auto"/>
                      <w:sz w:val="21"/>
                      <w:szCs w:val="21"/>
                      <w:highlight w:val="none"/>
                    </w:rPr>
                  </w:pPr>
                </w:p>
              </w:tc>
              <w:tc>
                <w:tcPr>
                  <w:tcW w:w="735" w:type="pct"/>
                  <w:vMerge w:val="continue"/>
                  <w:tcBorders>
                    <w:tl2br w:val="nil"/>
                    <w:tr2bl w:val="nil"/>
                  </w:tcBorders>
                  <w:noWrap w:val="0"/>
                  <w:vAlign w:val="center"/>
                </w:tcPr>
                <w:p w14:paraId="707673EF">
                  <w:pPr>
                    <w:jc w:val="center"/>
                    <w:rPr>
                      <w:rFonts w:hint="default" w:ascii="Times New Roman" w:hAnsi="Times New Roman" w:eastAsia="宋体" w:cs="Times New Roman"/>
                      <w:b/>
                      <w:bCs/>
                      <w:color w:val="auto"/>
                      <w:sz w:val="21"/>
                      <w:szCs w:val="21"/>
                      <w:highlight w:val="none"/>
                    </w:rPr>
                  </w:pPr>
                </w:p>
              </w:tc>
              <w:tc>
                <w:tcPr>
                  <w:tcW w:w="514" w:type="pct"/>
                  <w:tcBorders>
                    <w:tl2br w:val="nil"/>
                    <w:tr2bl w:val="nil"/>
                  </w:tcBorders>
                  <w:noWrap w:val="0"/>
                  <w:vAlign w:val="center"/>
                </w:tcPr>
                <w:p w14:paraId="1886919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产生量</w:t>
                  </w:r>
                  <w:r>
                    <w:rPr>
                      <w:rFonts w:hint="default" w:ascii="Times New Roman" w:hAnsi="Times New Roman" w:eastAsia="宋体" w:cs="Times New Roman"/>
                      <w:b/>
                      <w:bCs/>
                      <w:color w:val="auto"/>
                      <w:kern w:val="0"/>
                      <w:sz w:val="21"/>
                      <w:szCs w:val="21"/>
                      <w:highlight w:val="none"/>
                    </w:rPr>
                    <w:t>t/a</w:t>
                  </w:r>
                </w:p>
              </w:tc>
              <w:tc>
                <w:tcPr>
                  <w:tcW w:w="521" w:type="pct"/>
                  <w:tcBorders>
                    <w:tl2br w:val="nil"/>
                    <w:tr2bl w:val="nil"/>
                  </w:tcBorders>
                  <w:noWrap w:val="0"/>
                  <w:vAlign w:val="center"/>
                </w:tcPr>
                <w:p w14:paraId="37C35B2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18FB7D8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556" w:type="pct"/>
                  <w:tcBorders>
                    <w:tl2br w:val="nil"/>
                    <w:tr2bl w:val="nil"/>
                  </w:tcBorders>
                  <w:noWrap w:val="0"/>
                  <w:vAlign w:val="center"/>
                </w:tcPr>
                <w:p w14:paraId="7D5DE7F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c>
                <w:tcPr>
                  <w:tcW w:w="528" w:type="pct"/>
                  <w:tcBorders>
                    <w:tl2br w:val="nil"/>
                    <w:tr2bl w:val="nil"/>
                  </w:tcBorders>
                  <w:noWrap w:val="0"/>
                  <w:vAlign w:val="center"/>
                </w:tcPr>
                <w:p w14:paraId="4DDBFB7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排放量</w:t>
                  </w:r>
                  <w:r>
                    <w:rPr>
                      <w:rFonts w:hint="default" w:ascii="Times New Roman" w:hAnsi="Times New Roman" w:eastAsia="宋体" w:cs="Times New Roman"/>
                      <w:b/>
                      <w:bCs/>
                      <w:color w:val="auto"/>
                      <w:kern w:val="0"/>
                      <w:sz w:val="21"/>
                      <w:szCs w:val="21"/>
                      <w:highlight w:val="none"/>
                    </w:rPr>
                    <w:t>t/a</w:t>
                  </w:r>
                </w:p>
              </w:tc>
              <w:tc>
                <w:tcPr>
                  <w:tcW w:w="525" w:type="pct"/>
                  <w:tcBorders>
                    <w:tl2br w:val="nil"/>
                    <w:tr2bl w:val="nil"/>
                  </w:tcBorders>
                  <w:noWrap w:val="0"/>
                  <w:vAlign w:val="center"/>
                </w:tcPr>
                <w:p w14:paraId="2835291A">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20A73FB8">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454" w:type="pct"/>
                  <w:tcBorders>
                    <w:tl2br w:val="nil"/>
                    <w:tr2bl w:val="nil"/>
                  </w:tcBorders>
                  <w:noWrap w:val="0"/>
                  <w:vAlign w:val="center"/>
                </w:tcPr>
                <w:p w14:paraId="1E4CEE8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r>
            <w:tr w14:paraId="7E90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jc w:val="center"/>
              </w:trPr>
              <w:tc>
                <w:tcPr>
                  <w:tcW w:w="650" w:type="pct"/>
                  <w:vMerge w:val="restart"/>
                  <w:tcBorders>
                    <w:tl2br w:val="nil"/>
                    <w:tr2bl w:val="nil"/>
                  </w:tcBorders>
                  <w:noWrap w:val="0"/>
                  <w:vAlign w:val="center"/>
                </w:tcPr>
                <w:p w14:paraId="5E1334E4">
                  <w:pPr>
                    <w:tabs>
                      <w:tab w:val="left" w:pos="420"/>
                    </w:tabs>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切割工序</w:t>
                  </w:r>
                </w:p>
              </w:tc>
              <w:tc>
                <w:tcPr>
                  <w:tcW w:w="514" w:type="pct"/>
                  <w:tcBorders>
                    <w:tl2br w:val="nil"/>
                    <w:tr2bl w:val="nil"/>
                  </w:tcBorders>
                  <w:noWrap w:val="0"/>
                  <w:vAlign w:val="center"/>
                </w:tcPr>
                <w:p w14:paraId="085014E9">
                  <w:pPr>
                    <w:tabs>
                      <w:tab w:val="left" w:pos="420"/>
                    </w:tabs>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DA001</w:t>
                  </w:r>
                  <w:r>
                    <w:rPr>
                      <w:rFonts w:hint="default" w:ascii="Times New Roman" w:hAnsi="Times New Roman" w:eastAsia="宋体" w:cs="Times New Roman"/>
                      <w:color w:val="auto"/>
                      <w:sz w:val="21"/>
                      <w:szCs w:val="21"/>
                      <w:highlight w:val="none"/>
                      <w:lang w:eastAsia="zh-CN"/>
                    </w:rPr>
                    <w:t>）</w:t>
                  </w:r>
                </w:p>
              </w:tc>
              <w:tc>
                <w:tcPr>
                  <w:tcW w:w="735" w:type="pct"/>
                  <w:vMerge w:val="restart"/>
                  <w:tcBorders>
                    <w:tl2br w:val="nil"/>
                    <w:tr2bl w:val="nil"/>
                  </w:tcBorders>
                  <w:noWrap w:val="0"/>
                  <w:vAlign w:val="center"/>
                </w:tcPr>
                <w:p w14:paraId="10A1709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514" w:type="pct"/>
                  <w:tcBorders>
                    <w:tl2br w:val="nil"/>
                    <w:tr2bl w:val="nil"/>
                  </w:tcBorders>
                  <w:noWrap w:val="0"/>
                  <w:vAlign w:val="center"/>
                </w:tcPr>
                <w:p w14:paraId="74F2160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c>
                <w:tcPr>
                  <w:tcW w:w="521" w:type="pct"/>
                  <w:tcBorders>
                    <w:tl2br w:val="nil"/>
                    <w:tr2bl w:val="nil"/>
                  </w:tcBorders>
                  <w:noWrap w:val="0"/>
                  <w:vAlign w:val="center"/>
                </w:tcPr>
                <w:p w14:paraId="6913C257">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1.875</w:t>
                  </w:r>
                </w:p>
              </w:tc>
              <w:tc>
                <w:tcPr>
                  <w:tcW w:w="556" w:type="pct"/>
                  <w:tcBorders>
                    <w:tl2br w:val="nil"/>
                    <w:tr2bl w:val="nil"/>
                  </w:tcBorders>
                  <w:noWrap w:val="0"/>
                  <w:vAlign w:val="center"/>
                </w:tcPr>
                <w:p w14:paraId="6A21102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323.624</w:t>
                  </w:r>
                </w:p>
              </w:tc>
              <w:tc>
                <w:tcPr>
                  <w:tcW w:w="528" w:type="pct"/>
                  <w:tcBorders>
                    <w:tl2br w:val="nil"/>
                    <w:tr2bl w:val="nil"/>
                  </w:tcBorders>
                  <w:noWrap w:val="0"/>
                  <w:vAlign w:val="center"/>
                </w:tcPr>
                <w:p w14:paraId="6AF27E80">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0.203</w:t>
                  </w:r>
                </w:p>
              </w:tc>
              <w:tc>
                <w:tcPr>
                  <w:tcW w:w="525" w:type="pct"/>
                  <w:tcBorders>
                    <w:tl2br w:val="nil"/>
                    <w:tr2bl w:val="nil"/>
                  </w:tcBorders>
                  <w:noWrap w:val="0"/>
                  <w:vAlign w:val="center"/>
                </w:tcPr>
                <w:p w14:paraId="68B9152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0.084</w:t>
                  </w:r>
                </w:p>
              </w:tc>
              <w:tc>
                <w:tcPr>
                  <w:tcW w:w="454" w:type="pct"/>
                  <w:tcBorders>
                    <w:tl2br w:val="nil"/>
                    <w:tr2bl w:val="nil"/>
                  </w:tcBorders>
                  <w:noWrap w:val="0"/>
                  <w:vAlign w:val="center"/>
                </w:tcPr>
                <w:p w14:paraId="220C53C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14.06</w:t>
                  </w:r>
                </w:p>
              </w:tc>
            </w:tr>
            <w:tr w14:paraId="68C3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50" w:type="pct"/>
                  <w:vMerge w:val="continue"/>
                  <w:tcBorders>
                    <w:tl2br w:val="nil"/>
                    <w:tr2bl w:val="nil"/>
                  </w:tcBorders>
                  <w:noWrap w:val="0"/>
                  <w:vAlign w:val="center"/>
                </w:tcPr>
                <w:p w14:paraId="6D9713F4">
                  <w:pPr>
                    <w:tabs>
                      <w:tab w:val="left" w:pos="420"/>
                    </w:tabs>
                    <w:jc w:val="center"/>
                    <w:rPr>
                      <w:rFonts w:hint="default" w:ascii="Times New Roman" w:hAnsi="Times New Roman" w:eastAsia="宋体" w:cs="Times New Roman"/>
                      <w:color w:val="auto"/>
                      <w:sz w:val="21"/>
                      <w:szCs w:val="21"/>
                      <w:highlight w:val="none"/>
                    </w:rPr>
                  </w:pPr>
                </w:p>
              </w:tc>
              <w:tc>
                <w:tcPr>
                  <w:tcW w:w="514" w:type="pct"/>
                  <w:tcBorders>
                    <w:tl2br w:val="nil"/>
                    <w:tr2bl w:val="nil"/>
                  </w:tcBorders>
                  <w:noWrap w:val="0"/>
                  <w:vAlign w:val="center"/>
                </w:tcPr>
                <w:p w14:paraId="145DB8D6">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w:t>
                  </w:r>
                </w:p>
              </w:tc>
              <w:tc>
                <w:tcPr>
                  <w:tcW w:w="735" w:type="pct"/>
                  <w:vMerge w:val="continue"/>
                  <w:tcBorders>
                    <w:tl2br w:val="nil"/>
                    <w:tr2bl w:val="nil"/>
                  </w:tcBorders>
                  <w:noWrap w:val="0"/>
                  <w:vAlign w:val="center"/>
                </w:tcPr>
                <w:p w14:paraId="72A7EE6C">
                  <w:pPr>
                    <w:jc w:val="center"/>
                    <w:rPr>
                      <w:rFonts w:hint="default" w:ascii="Times New Roman" w:hAnsi="Times New Roman" w:eastAsia="宋体" w:cs="Times New Roman"/>
                      <w:color w:val="auto"/>
                      <w:sz w:val="21"/>
                      <w:szCs w:val="21"/>
                      <w:highlight w:val="none"/>
                    </w:rPr>
                  </w:pPr>
                </w:p>
              </w:tc>
              <w:tc>
                <w:tcPr>
                  <w:tcW w:w="514" w:type="pct"/>
                  <w:tcBorders>
                    <w:tl2br w:val="nil"/>
                    <w:tr2bl w:val="nil"/>
                  </w:tcBorders>
                  <w:noWrap w:val="0"/>
                  <w:vAlign w:val="center"/>
                </w:tcPr>
                <w:p w14:paraId="7D4059A9">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0.45</w:t>
                  </w:r>
                </w:p>
              </w:tc>
              <w:tc>
                <w:tcPr>
                  <w:tcW w:w="521" w:type="pct"/>
                  <w:tcBorders>
                    <w:tl2br w:val="nil"/>
                    <w:tr2bl w:val="nil"/>
                  </w:tcBorders>
                  <w:noWrap w:val="0"/>
                  <w:vAlign w:val="center"/>
                </w:tcPr>
                <w:p w14:paraId="64E21208">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0.188</w:t>
                  </w:r>
                </w:p>
              </w:tc>
              <w:tc>
                <w:tcPr>
                  <w:tcW w:w="556" w:type="pct"/>
                  <w:tcBorders>
                    <w:tl2br w:val="nil"/>
                    <w:tr2bl w:val="nil"/>
                  </w:tcBorders>
                  <w:noWrap w:val="0"/>
                  <w:vAlign w:val="center"/>
                </w:tcPr>
                <w:p w14:paraId="3B6D5CF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c>
                <w:tcPr>
                  <w:tcW w:w="528" w:type="pct"/>
                  <w:tcBorders>
                    <w:tl2br w:val="nil"/>
                    <w:tr2bl w:val="nil"/>
                  </w:tcBorders>
                  <w:noWrap w:val="0"/>
                  <w:vAlign w:val="center"/>
                </w:tcPr>
                <w:p w14:paraId="21DC3658">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0.45</w:t>
                  </w:r>
                </w:p>
              </w:tc>
              <w:tc>
                <w:tcPr>
                  <w:tcW w:w="525" w:type="pct"/>
                  <w:tcBorders>
                    <w:tl2br w:val="nil"/>
                    <w:tr2bl w:val="nil"/>
                  </w:tcBorders>
                  <w:noWrap w:val="0"/>
                  <w:vAlign w:val="center"/>
                </w:tcPr>
                <w:p w14:paraId="3E8CE1F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0.188</w:t>
                  </w:r>
                </w:p>
              </w:tc>
              <w:tc>
                <w:tcPr>
                  <w:tcW w:w="454" w:type="pct"/>
                  <w:tcBorders>
                    <w:tl2br w:val="nil"/>
                    <w:tr2bl w:val="nil"/>
                  </w:tcBorders>
                  <w:noWrap w:val="0"/>
                  <w:vAlign w:val="center"/>
                </w:tcPr>
                <w:p w14:paraId="4F41733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r>
            <w:tr w14:paraId="6634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50" w:type="pct"/>
                  <w:tcBorders>
                    <w:tl2br w:val="nil"/>
                    <w:tr2bl w:val="nil"/>
                  </w:tcBorders>
                  <w:noWrap w:val="0"/>
                  <w:vAlign w:val="center"/>
                </w:tcPr>
                <w:p w14:paraId="73DBB7D0">
                  <w:pPr>
                    <w:tabs>
                      <w:tab w:val="left" w:pos="420"/>
                    </w:tabs>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喷砂工序</w:t>
                  </w:r>
                </w:p>
              </w:tc>
              <w:tc>
                <w:tcPr>
                  <w:tcW w:w="514" w:type="pct"/>
                  <w:tcBorders>
                    <w:tl2br w:val="nil"/>
                    <w:tr2bl w:val="nil"/>
                  </w:tcBorders>
                  <w:noWrap w:val="0"/>
                  <w:vAlign w:val="center"/>
                </w:tcPr>
                <w:p w14:paraId="39CFADB0">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DA001</w:t>
                  </w:r>
                  <w:r>
                    <w:rPr>
                      <w:rFonts w:hint="default" w:ascii="Times New Roman" w:hAnsi="Times New Roman" w:eastAsia="宋体" w:cs="Times New Roman"/>
                      <w:color w:val="auto"/>
                      <w:sz w:val="21"/>
                      <w:szCs w:val="21"/>
                      <w:highlight w:val="none"/>
                      <w:lang w:eastAsia="zh-CN"/>
                    </w:rPr>
                    <w:t>）</w:t>
                  </w:r>
                </w:p>
              </w:tc>
              <w:tc>
                <w:tcPr>
                  <w:tcW w:w="735" w:type="pct"/>
                  <w:tcBorders>
                    <w:tl2br w:val="nil"/>
                    <w:tr2bl w:val="nil"/>
                  </w:tcBorders>
                  <w:noWrap w:val="0"/>
                  <w:vAlign w:val="center"/>
                </w:tcPr>
                <w:p w14:paraId="55D353D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514" w:type="pct"/>
                  <w:tcBorders>
                    <w:tl2br w:val="nil"/>
                    <w:tr2bl w:val="nil"/>
                  </w:tcBorders>
                  <w:noWrap w:val="0"/>
                  <w:vAlign w:val="center"/>
                </w:tcPr>
                <w:p w14:paraId="048E080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6.57</w:t>
                  </w:r>
                </w:p>
              </w:tc>
              <w:tc>
                <w:tcPr>
                  <w:tcW w:w="521" w:type="pct"/>
                  <w:tcBorders>
                    <w:tl2br w:val="nil"/>
                    <w:tr2bl w:val="nil"/>
                  </w:tcBorders>
                  <w:noWrap w:val="0"/>
                  <w:vAlign w:val="center"/>
                </w:tcPr>
                <w:p w14:paraId="3127BE2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2.738</w:t>
                  </w:r>
                </w:p>
              </w:tc>
              <w:tc>
                <w:tcPr>
                  <w:tcW w:w="556" w:type="pct"/>
                  <w:tcBorders>
                    <w:tl2br w:val="nil"/>
                    <w:tr2bl w:val="nil"/>
                  </w:tcBorders>
                  <w:noWrap w:val="0"/>
                  <w:vAlign w:val="center"/>
                </w:tcPr>
                <w:p w14:paraId="7BAF2FE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257.647</w:t>
                  </w:r>
                </w:p>
              </w:tc>
              <w:tc>
                <w:tcPr>
                  <w:tcW w:w="528" w:type="pct"/>
                  <w:tcBorders>
                    <w:tl2br w:val="nil"/>
                    <w:tr2bl w:val="nil"/>
                  </w:tcBorders>
                  <w:noWrap w:val="0"/>
                  <w:vAlign w:val="center"/>
                </w:tcPr>
                <w:p w14:paraId="65DEF8C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0.329</w:t>
                  </w:r>
                </w:p>
              </w:tc>
              <w:tc>
                <w:tcPr>
                  <w:tcW w:w="525" w:type="pct"/>
                  <w:tcBorders>
                    <w:tl2br w:val="nil"/>
                    <w:tr2bl w:val="nil"/>
                  </w:tcBorders>
                  <w:noWrap w:val="0"/>
                  <w:vAlign w:val="center"/>
                </w:tcPr>
                <w:p w14:paraId="370E3A45">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0.114</w:t>
                  </w:r>
                </w:p>
              </w:tc>
              <w:tc>
                <w:tcPr>
                  <w:tcW w:w="454" w:type="pct"/>
                  <w:tcBorders>
                    <w:tl2br w:val="nil"/>
                    <w:tr2bl w:val="nil"/>
                  </w:tcBorders>
                  <w:noWrap w:val="0"/>
                  <w:vAlign w:val="center"/>
                </w:tcPr>
                <w:p w14:paraId="5618DB3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22.81</w:t>
                  </w:r>
                </w:p>
              </w:tc>
            </w:tr>
            <w:tr w14:paraId="0B9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50" w:type="pct"/>
                  <w:tcBorders>
                    <w:tl2br w:val="nil"/>
                    <w:tr2bl w:val="nil"/>
                  </w:tcBorders>
                  <w:noWrap w:val="0"/>
                  <w:vAlign w:val="center"/>
                </w:tcPr>
                <w:p w14:paraId="6F1ADFEF">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焊接工序</w:t>
                  </w:r>
                </w:p>
              </w:tc>
              <w:tc>
                <w:tcPr>
                  <w:tcW w:w="514" w:type="pct"/>
                  <w:tcBorders>
                    <w:tl2br w:val="nil"/>
                    <w:tr2bl w:val="nil"/>
                  </w:tcBorders>
                  <w:noWrap w:val="0"/>
                  <w:vAlign w:val="center"/>
                </w:tcPr>
                <w:p w14:paraId="24B9795C">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rPr>
                    <w:t>组织</w:t>
                  </w:r>
                </w:p>
              </w:tc>
              <w:tc>
                <w:tcPr>
                  <w:tcW w:w="735" w:type="pct"/>
                  <w:tcBorders>
                    <w:tl2br w:val="nil"/>
                    <w:tr2bl w:val="nil"/>
                  </w:tcBorders>
                  <w:noWrap w:val="0"/>
                  <w:vAlign w:val="center"/>
                </w:tcPr>
                <w:p w14:paraId="2B1E9C89">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514" w:type="pct"/>
                  <w:tcBorders>
                    <w:tl2br w:val="nil"/>
                    <w:tr2bl w:val="nil"/>
                  </w:tcBorders>
                  <w:noWrap w:val="0"/>
                  <w:vAlign w:val="center"/>
                </w:tcPr>
                <w:p w14:paraId="6B17D7F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0.205</w:t>
                  </w:r>
                </w:p>
              </w:tc>
              <w:tc>
                <w:tcPr>
                  <w:tcW w:w="521" w:type="pct"/>
                  <w:tcBorders>
                    <w:tl2br w:val="nil"/>
                    <w:tr2bl w:val="nil"/>
                  </w:tcBorders>
                  <w:noWrap w:val="0"/>
                  <w:vAlign w:val="center"/>
                </w:tcPr>
                <w:p w14:paraId="1CD0CA4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0.085</w:t>
                  </w:r>
                </w:p>
              </w:tc>
              <w:tc>
                <w:tcPr>
                  <w:tcW w:w="556" w:type="pct"/>
                  <w:tcBorders>
                    <w:tl2br w:val="nil"/>
                    <w:tr2bl w:val="nil"/>
                  </w:tcBorders>
                  <w:noWrap w:val="0"/>
                  <w:vAlign w:val="center"/>
                </w:tcPr>
                <w:p w14:paraId="1767761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9.62</w:t>
                  </w:r>
                </w:p>
              </w:tc>
              <w:tc>
                <w:tcPr>
                  <w:tcW w:w="528" w:type="pct"/>
                  <w:tcBorders>
                    <w:tl2br w:val="nil"/>
                    <w:tr2bl w:val="nil"/>
                  </w:tcBorders>
                  <w:shd w:val="clear" w:color="auto" w:fill="auto"/>
                  <w:noWrap w:val="0"/>
                  <w:vAlign w:val="center"/>
                </w:tcPr>
                <w:p w14:paraId="61A3161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0.009</w:t>
                  </w:r>
                </w:p>
              </w:tc>
              <w:tc>
                <w:tcPr>
                  <w:tcW w:w="525" w:type="pct"/>
                  <w:tcBorders>
                    <w:tl2br w:val="nil"/>
                    <w:tr2bl w:val="nil"/>
                  </w:tcBorders>
                  <w:noWrap w:val="0"/>
                  <w:vAlign w:val="center"/>
                </w:tcPr>
                <w:p w14:paraId="74544A5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w:t>
                  </w:r>
                </w:p>
              </w:tc>
              <w:tc>
                <w:tcPr>
                  <w:tcW w:w="454" w:type="pct"/>
                  <w:tcBorders>
                    <w:tl2br w:val="nil"/>
                    <w:tr2bl w:val="nil"/>
                  </w:tcBorders>
                  <w:noWrap w:val="0"/>
                  <w:vAlign w:val="center"/>
                </w:tcPr>
                <w:p w14:paraId="27B4D61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bl>
          <w:p w14:paraId="20D51E33">
            <w:pPr>
              <w:pStyle w:val="22"/>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0" w:firstLineChars="200"/>
              <w:textAlignment w:val="baseline"/>
              <w:rPr>
                <w:rFonts w:hint="default" w:ascii="Times New Roman" w:hAnsi="Times New Roman" w:eastAsia="宋体" w:cs="Times New Roman"/>
                <w:i w:val="0"/>
                <w:iCs w:val="0"/>
                <w:color w:val="auto"/>
                <w:sz w:val="24"/>
                <w:szCs w:val="24"/>
                <w:highlight w:val="none"/>
                <w:vertAlign w:val="baseline"/>
                <w:lang w:val="en-US" w:eastAsia="zh-CN"/>
              </w:rPr>
            </w:pPr>
            <w:r>
              <w:rPr>
                <w:rFonts w:hint="default" w:ascii="Times New Roman" w:hAnsi="Times New Roman" w:eastAsia="宋体" w:cs="Times New Roman"/>
                <w:i w:val="0"/>
                <w:iCs w:val="0"/>
                <w:color w:val="auto"/>
                <w:sz w:val="24"/>
                <w:szCs w:val="24"/>
                <w:highlight w:val="none"/>
                <w:vertAlign w:val="baseline"/>
                <w:lang w:val="en-US" w:eastAsia="zh-CN"/>
              </w:rPr>
              <w:t>本项目切割工序及喷砂工序产生的颗粒物经集气罩+布袋除尘器处理后通过15m排气筒排放，</w:t>
            </w:r>
            <w:r>
              <w:rPr>
                <w:rFonts w:hint="eastAsia" w:ascii="Times New Roman" w:hAnsi="Times New Roman" w:eastAsia="宋体" w:cs="Times New Roman"/>
                <w:i w:val="0"/>
                <w:iCs w:val="0"/>
                <w:color w:val="auto"/>
                <w:sz w:val="24"/>
                <w:szCs w:val="24"/>
                <w:highlight w:val="none"/>
                <w:vertAlign w:val="baseline"/>
                <w:lang w:val="en-US" w:eastAsia="zh-CN"/>
              </w:rPr>
              <w:t>焊接工序颗粒物经焊烟净化器处理后无组织排放，</w:t>
            </w:r>
            <w:r>
              <w:rPr>
                <w:rFonts w:hint="default" w:ascii="Times New Roman" w:hAnsi="Times New Roman" w:eastAsia="宋体" w:cs="Times New Roman"/>
                <w:i w:val="0"/>
                <w:iCs w:val="0"/>
                <w:color w:val="auto"/>
                <w:sz w:val="24"/>
                <w:szCs w:val="24"/>
                <w:highlight w:val="none"/>
                <w:vertAlign w:val="baseline"/>
                <w:lang w:val="en-US" w:eastAsia="zh-CN"/>
              </w:rPr>
              <w:t>排放浓度满足</w:t>
            </w:r>
            <w:r>
              <w:rPr>
                <w:rFonts w:hint="default" w:ascii="Times New Roman" w:hAnsi="Times New Roman" w:eastAsia="宋体" w:cs="Times New Roman"/>
                <w:color w:val="auto"/>
                <w:sz w:val="24"/>
                <w:szCs w:val="24"/>
                <w:highlight w:val="none"/>
                <w:lang w:val="en-US" w:eastAsia="zh-CN"/>
              </w:rPr>
              <w:t>《大气污染物综合排放标准》（GB16297-1996）表2中排放浓度限值要求。</w:t>
            </w:r>
          </w:p>
          <w:p w14:paraId="5E563281">
            <w:pPr>
              <w:pStyle w:val="22"/>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2" w:firstLineChars="200"/>
              <w:textAlignment w:val="baseline"/>
              <w:rPr>
                <w:rFonts w:hint="default" w:ascii="Times New Roman" w:hAnsi="Times New Roman" w:eastAsia="宋体" w:cs="Times New Roman"/>
                <w:b/>
                <w:bCs/>
                <w:i w:val="0"/>
                <w:iCs w:val="0"/>
                <w:color w:val="auto"/>
                <w:sz w:val="24"/>
                <w:szCs w:val="24"/>
                <w:highlight w:val="none"/>
                <w:lang w:val="en-US" w:eastAsia="zh-CN"/>
              </w:rPr>
            </w:pPr>
            <w:r>
              <w:rPr>
                <w:rFonts w:hint="default" w:ascii="Times New Roman" w:hAnsi="Times New Roman" w:eastAsia="宋体" w:cs="Times New Roman"/>
                <w:b/>
                <w:bCs/>
                <w:i w:val="0"/>
                <w:iCs w:val="0"/>
                <w:color w:val="auto"/>
                <w:sz w:val="24"/>
                <w:szCs w:val="24"/>
                <w:highlight w:val="none"/>
                <w:vertAlign w:val="baseline"/>
                <w:lang w:val="en-US" w:eastAsia="zh-CN"/>
              </w:rPr>
              <w:t>2.</w:t>
            </w:r>
            <w:r>
              <w:rPr>
                <w:rFonts w:hint="default" w:ascii="Times New Roman" w:hAnsi="Times New Roman" w:eastAsia="宋体" w:cs="Times New Roman"/>
                <w:b/>
                <w:bCs/>
                <w:i w:val="0"/>
                <w:iCs w:val="0"/>
                <w:color w:val="auto"/>
                <w:sz w:val="24"/>
                <w:szCs w:val="24"/>
                <w:highlight w:val="none"/>
                <w:lang w:val="en-US" w:eastAsia="zh-CN"/>
              </w:rPr>
              <w:t>热处理工序废气</w:t>
            </w:r>
          </w:p>
          <w:p w14:paraId="291C928F">
            <w:pPr>
              <w:pStyle w:val="22"/>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0" w:firstLineChars="200"/>
              <w:textAlignment w:val="baseline"/>
              <w:rPr>
                <w:rFonts w:hint="default" w:ascii="Times New Roman" w:hAnsi="Times New Roman" w:eastAsia="宋体" w:cs="Times New Roman"/>
                <w:i w:val="0"/>
                <w:iCs w:val="0"/>
                <w:color w:val="auto"/>
                <w:sz w:val="24"/>
                <w:szCs w:val="24"/>
                <w:highlight w:val="none"/>
                <w:vertAlign w:val="baseline"/>
                <w:lang w:val="en-US" w:eastAsia="zh-CN"/>
              </w:rPr>
            </w:pPr>
            <w:r>
              <w:rPr>
                <w:rFonts w:hint="default" w:ascii="Times New Roman" w:hAnsi="Times New Roman" w:eastAsia="宋体" w:cs="Times New Roman"/>
                <w:i w:val="0"/>
                <w:iCs w:val="0"/>
                <w:color w:val="auto"/>
                <w:sz w:val="24"/>
                <w:szCs w:val="24"/>
                <w:highlight w:val="none"/>
                <w:vertAlign w:val="baseline"/>
                <w:lang w:val="en-US" w:eastAsia="zh-CN"/>
              </w:rPr>
              <w:t>本项目使用两台热风炉将喷砂工序处理后的金属管件进行加热至280℃，燃料使用天然气，天然气</w:t>
            </w:r>
            <w:r>
              <w:rPr>
                <w:rFonts w:hint="eastAsia" w:ascii="Times New Roman" w:hAnsi="Times New Roman" w:eastAsia="宋体" w:cs="Times New Roman"/>
                <w:i w:val="0"/>
                <w:iCs w:val="0"/>
                <w:color w:val="auto"/>
                <w:sz w:val="24"/>
                <w:szCs w:val="24"/>
                <w:highlight w:val="none"/>
                <w:vertAlign w:val="baseline"/>
                <w:lang w:val="en-US" w:eastAsia="zh-CN"/>
              </w:rPr>
              <w:t>总</w:t>
            </w:r>
            <w:r>
              <w:rPr>
                <w:rFonts w:hint="default" w:ascii="Times New Roman" w:hAnsi="Times New Roman" w:eastAsia="宋体" w:cs="Times New Roman"/>
                <w:i w:val="0"/>
                <w:iCs w:val="0"/>
                <w:color w:val="auto"/>
                <w:sz w:val="24"/>
                <w:szCs w:val="24"/>
                <w:highlight w:val="none"/>
                <w:vertAlign w:val="baseline"/>
                <w:lang w:val="en-US" w:eastAsia="zh-CN"/>
              </w:rPr>
              <w:t>用量为</w:t>
            </w:r>
            <w:r>
              <w:rPr>
                <w:rFonts w:hint="eastAsia" w:ascii="Times New Roman" w:hAnsi="Times New Roman" w:eastAsia="宋体" w:cs="Times New Roman"/>
                <w:i w:val="0"/>
                <w:iCs w:val="0"/>
                <w:color w:val="auto"/>
                <w:sz w:val="24"/>
                <w:szCs w:val="24"/>
                <w:highlight w:val="none"/>
                <w:vertAlign w:val="baseline"/>
                <w:lang w:val="en-US" w:eastAsia="zh-CN"/>
              </w:rPr>
              <w:t>10</w:t>
            </w:r>
            <w:r>
              <w:rPr>
                <w:rFonts w:hint="default" w:ascii="Times New Roman" w:hAnsi="Times New Roman" w:eastAsia="宋体" w:cs="Times New Roman"/>
                <w:i w:val="0"/>
                <w:iCs w:val="0"/>
                <w:color w:val="auto"/>
                <w:sz w:val="24"/>
                <w:szCs w:val="24"/>
                <w:highlight w:val="none"/>
                <w:vertAlign w:val="baseline"/>
                <w:lang w:val="en-US" w:eastAsia="zh-CN"/>
              </w:rPr>
              <w:t>万</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i w:val="0"/>
                <w:iCs w:val="0"/>
                <w:color w:val="auto"/>
                <w:sz w:val="24"/>
                <w:szCs w:val="24"/>
                <w:highlight w:val="none"/>
                <w:vertAlign w:val="baseline"/>
                <w:lang w:val="en-US" w:eastAsia="zh-CN"/>
              </w:rPr>
              <w:t>。</w:t>
            </w:r>
          </w:p>
          <w:p w14:paraId="2EA8547A">
            <w:pPr>
              <w:snapToGrid w:val="0"/>
              <w:spacing w:line="360" w:lineRule="auto"/>
              <w:ind w:firstLine="480" w:firstLineChars="200"/>
              <w:rPr>
                <w:rFonts w:hint="default" w:ascii="Times New Roman" w:hAnsi="Times New Roman" w:eastAsia="宋体" w:cs="Times New Roman"/>
                <w:color w:val="auto"/>
                <w:kern w:val="0"/>
                <w:sz w:val="24"/>
                <w:highlight w:val="none"/>
                <w:lang w:bidi="ar"/>
              </w:rPr>
            </w:pPr>
            <w:r>
              <w:rPr>
                <w:rFonts w:hint="default" w:ascii="Times New Roman" w:hAnsi="Times New Roman" w:eastAsia="宋体" w:cs="Times New Roman"/>
                <w:i w:val="0"/>
                <w:iCs w:val="0"/>
                <w:color w:val="auto"/>
                <w:sz w:val="24"/>
                <w:szCs w:val="24"/>
                <w:highlight w:val="none"/>
                <w:vertAlign w:val="baseline"/>
                <w:lang w:val="en-US" w:eastAsia="zh-CN"/>
              </w:rPr>
              <w:t>热风炉</w:t>
            </w:r>
            <w:r>
              <w:rPr>
                <w:rFonts w:hint="default" w:ascii="Times New Roman" w:hAnsi="Times New Roman" w:eastAsia="宋体" w:cs="Times New Roman"/>
                <w:color w:val="auto"/>
                <w:kern w:val="0"/>
                <w:sz w:val="24"/>
                <w:highlight w:val="none"/>
                <w:lang w:val="en-US" w:eastAsia="zh-CN" w:bidi="ar"/>
              </w:rPr>
              <w:t>的系数参考</w:t>
            </w:r>
            <w:r>
              <w:rPr>
                <w:rFonts w:hint="default" w:ascii="Times New Roman" w:hAnsi="Times New Roman" w:eastAsia="宋体" w:cs="Times New Roman"/>
                <w:b w:val="0"/>
                <w:bCs/>
                <w:color w:val="auto"/>
                <w:sz w:val="24"/>
                <w:szCs w:val="24"/>
                <w:highlight w:val="none"/>
                <w:lang w:val="en-US" w:eastAsia="zh-CN"/>
              </w:rPr>
              <w:t>《排放源统计调查产排污核算方法和系数手册》（2021年6月）中</w:t>
            </w:r>
            <w:r>
              <w:rPr>
                <w:rFonts w:hint="eastAsia" w:ascii="宋体" w:hAnsi="宋体" w:eastAsia="宋体" w:cs="宋体"/>
                <w:color w:val="auto"/>
                <w:kern w:val="0"/>
                <w:sz w:val="24"/>
                <w:szCs w:val="24"/>
                <w:highlight w:val="none"/>
                <w:lang w:val="en-US" w:eastAsia="zh-CN" w:bidi="ar"/>
              </w:rPr>
              <w:t>“33-37，431-434机械行业系数手册”中“12热处理-天然气”</w:t>
            </w:r>
            <w:r>
              <w:rPr>
                <w:rFonts w:hint="default" w:ascii="Times New Roman" w:hAnsi="Times New Roman" w:eastAsia="宋体" w:cs="Times New Roman"/>
                <w:b w:val="0"/>
                <w:bCs/>
                <w:color w:val="auto"/>
                <w:sz w:val="24"/>
                <w:szCs w:val="24"/>
                <w:highlight w:val="none"/>
                <w:lang w:val="en-US" w:eastAsia="zh-CN"/>
              </w:rPr>
              <w:t>系数手册</w:t>
            </w:r>
            <w:r>
              <w:rPr>
                <w:rFonts w:hint="eastAsia" w:ascii="Times New Roman" w:hAnsi="Times New Roman" w:eastAsia="宋体" w:cs="Times New Roman"/>
                <w:b w:val="0"/>
                <w:bCs/>
                <w:color w:val="auto"/>
                <w:sz w:val="24"/>
                <w:szCs w:val="24"/>
                <w:highlight w:val="none"/>
                <w:lang w:val="en-US" w:eastAsia="zh-CN"/>
              </w:rPr>
              <w:t>中的系数</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kern w:val="0"/>
                <w:sz w:val="24"/>
                <w:highlight w:val="none"/>
                <w:lang w:bidi="ar"/>
              </w:rPr>
              <w:t>具体如下表。</w:t>
            </w:r>
          </w:p>
          <w:p w14:paraId="6F633E4B">
            <w:pPr>
              <w:pStyle w:val="39"/>
              <w:spacing w:beforeLines="0" w:afterLines="0"/>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 xml:space="preserve">4-3 </w:t>
            </w:r>
            <w:r>
              <w:rPr>
                <w:rFonts w:hint="default" w:ascii="Times New Roman" w:hAnsi="Times New Roman" w:cs="Times New Roman"/>
                <w:b/>
                <w:color w:val="auto"/>
                <w:sz w:val="21"/>
                <w:szCs w:val="21"/>
                <w:highlight w:val="none"/>
              </w:rPr>
              <w:t xml:space="preserve">   </w:t>
            </w:r>
            <w:r>
              <w:rPr>
                <w:rFonts w:hint="default" w:ascii="Times New Roman" w:hAnsi="Times New Roman" w:eastAsia="宋体" w:cs="Times New Roman"/>
                <w:b/>
                <w:color w:val="auto"/>
                <w:sz w:val="21"/>
                <w:szCs w:val="21"/>
                <w:highlight w:val="none"/>
                <w:lang w:val="en-US" w:eastAsia="zh-CN"/>
              </w:rPr>
              <w:t>热处理-天然气</w:t>
            </w:r>
            <w:r>
              <w:rPr>
                <w:rFonts w:hint="default" w:ascii="Times New Roman" w:hAnsi="Times New Roman" w:eastAsia="宋体" w:cs="Times New Roman"/>
                <w:b/>
                <w:color w:val="auto"/>
                <w:sz w:val="21"/>
                <w:szCs w:val="21"/>
                <w:highlight w:val="none"/>
              </w:rPr>
              <w:t>排污系数一览表</w:t>
            </w:r>
          </w:p>
          <w:tbl>
            <w:tblPr>
              <w:tblStyle w:val="30"/>
              <w:tblpPr w:leftFromText="180" w:rightFromText="180" w:vertAnchor="text" w:horzAnchor="page" w:tblpX="25" w:tblpY="255"/>
              <w:tblOverlap w:val="never"/>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696"/>
              <w:gridCol w:w="642"/>
              <w:gridCol w:w="643"/>
              <w:gridCol w:w="677"/>
              <w:gridCol w:w="915"/>
              <w:gridCol w:w="1160"/>
              <w:gridCol w:w="1121"/>
              <w:gridCol w:w="1160"/>
              <w:gridCol w:w="823"/>
            </w:tblGrid>
            <w:tr w14:paraId="541D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15" w:type="pct"/>
                  <w:vAlign w:val="center"/>
                </w:tcPr>
                <w:p w14:paraId="29800562">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工段名称</w:t>
                  </w:r>
                </w:p>
              </w:tc>
              <w:tc>
                <w:tcPr>
                  <w:tcW w:w="415" w:type="pct"/>
                  <w:vAlign w:val="center"/>
                </w:tcPr>
                <w:p w14:paraId="7CE47178">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产品名称</w:t>
                  </w:r>
                </w:p>
              </w:tc>
              <w:tc>
                <w:tcPr>
                  <w:tcW w:w="383" w:type="pct"/>
                  <w:vAlign w:val="center"/>
                </w:tcPr>
                <w:p w14:paraId="6591962E">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原料名称</w:t>
                  </w:r>
                </w:p>
              </w:tc>
              <w:tc>
                <w:tcPr>
                  <w:tcW w:w="384" w:type="pct"/>
                  <w:vAlign w:val="center"/>
                </w:tcPr>
                <w:p w14:paraId="78543224">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工艺名称</w:t>
                  </w:r>
                </w:p>
              </w:tc>
              <w:tc>
                <w:tcPr>
                  <w:tcW w:w="404" w:type="pct"/>
                  <w:vAlign w:val="center"/>
                </w:tcPr>
                <w:p w14:paraId="23A49A0D">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规模等级</w:t>
                  </w:r>
                </w:p>
              </w:tc>
              <w:tc>
                <w:tcPr>
                  <w:tcW w:w="543" w:type="pct"/>
                  <w:vAlign w:val="center"/>
                </w:tcPr>
                <w:p w14:paraId="75649CE7">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污染物指标</w:t>
                  </w:r>
                </w:p>
              </w:tc>
              <w:tc>
                <w:tcPr>
                  <w:tcW w:w="687" w:type="pct"/>
                  <w:vAlign w:val="center"/>
                </w:tcPr>
                <w:p w14:paraId="20207930">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系数单位</w:t>
                  </w:r>
                </w:p>
              </w:tc>
              <w:tc>
                <w:tcPr>
                  <w:tcW w:w="593" w:type="pct"/>
                  <w:vAlign w:val="center"/>
                </w:tcPr>
                <w:p w14:paraId="0235DAC6">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产污系数</w:t>
                  </w:r>
                </w:p>
              </w:tc>
              <w:tc>
                <w:tcPr>
                  <w:tcW w:w="687" w:type="pct"/>
                  <w:vAlign w:val="center"/>
                </w:tcPr>
                <w:p w14:paraId="74221357">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2"/>
                      <w:sz w:val="21"/>
                      <w:szCs w:val="21"/>
                      <w:highlight w:val="none"/>
                      <w:lang w:val="en-US" w:eastAsia="zh-CN" w:bidi="ar"/>
                    </w:rPr>
                    <w:t>末端治理技术</w:t>
                  </w:r>
                </w:p>
              </w:tc>
              <w:tc>
                <w:tcPr>
                  <w:tcW w:w="485" w:type="pct"/>
                  <w:vAlign w:val="center"/>
                </w:tcPr>
                <w:p w14:paraId="17E47D46">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去除效率</w:t>
                  </w:r>
                </w:p>
              </w:tc>
            </w:tr>
            <w:tr w14:paraId="0A7B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15" w:type="pct"/>
                  <w:vMerge w:val="restart"/>
                  <w:tcBorders>
                    <w:tl2br w:val="nil"/>
                    <w:tr2bl w:val="nil"/>
                  </w:tcBorders>
                  <w:vAlign w:val="center"/>
                </w:tcPr>
                <w:p w14:paraId="28499757">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热处理</w:t>
                  </w:r>
                </w:p>
              </w:tc>
              <w:tc>
                <w:tcPr>
                  <w:tcW w:w="415" w:type="pct"/>
                  <w:vMerge w:val="restart"/>
                  <w:tcBorders>
                    <w:tl2br w:val="nil"/>
                    <w:tr2bl w:val="nil"/>
                  </w:tcBorders>
                  <w:vAlign w:val="center"/>
                </w:tcPr>
                <w:p w14:paraId="0CBED158">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热处理件</w:t>
                  </w:r>
                </w:p>
              </w:tc>
              <w:tc>
                <w:tcPr>
                  <w:tcW w:w="383" w:type="pct"/>
                  <w:vMerge w:val="restart"/>
                  <w:tcBorders>
                    <w:tl2br w:val="nil"/>
                    <w:tr2bl w:val="nil"/>
                  </w:tcBorders>
                  <w:vAlign w:val="center"/>
                </w:tcPr>
                <w:p w14:paraId="4DA5E8BE">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天然气</w:t>
                  </w:r>
                </w:p>
              </w:tc>
              <w:tc>
                <w:tcPr>
                  <w:tcW w:w="384" w:type="pct"/>
                  <w:vMerge w:val="restart"/>
                  <w:tcBorders>
                    <w:tl2br w:val="nil"/>
                    <w:tr2bl w:val="nil"/>
                  </w:tcBorders>
                  <w:vAlign w:val="center"/>
                </w:tcPr>
                <w:p w14:paraId="1BD41DE2">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整体热处理（正火/退火）</w:t>
                  </w:r>
                </w:p>
              </w:tc>
              <w:tc>
                <w:tcPr>
                  <w:tcW w:w="404" w:type="pct"/>
                  <w:vMerge w:val="restart"/>
                  <w:tcBorders>
                    <w:tl2br w:val="nil"/>
                    <w:tr2bl w:val="nil"/>
                  </w:tcBorders>
                  <w:vAlign w:val="center"/>
                </w:tcPr>
                <w:p w14:paraId="2D170AB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543" w:type="pct"/>
                  <w:tcBorders>
                    <w:tl2br w:val="nil"/>
                    <w:tr2bl w:val="nil"/>
                  </w:tcBorders>
                  <w:vAlign w:val="center"/>
                </w:tcPr>
                <w:p w14:paraId="777CD72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工业废气量</w:t>
                  </w:r>
                </w:p>
              </w:tc>
              <w:tc>
                <w:tcPr>
                  <w:tcW w:w="687" w:type="pct"/>
                  <w:tcBorders>
                    <w:tl2br w:val="nil"/>
                    <w:tr2bl w:val="nil"/>
                  </w:tcBorders>
                  <w:vAlign w:val="center"/>
                </w:tcPr>
                <w:p w14:paraId="1A4145B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立方米/立方米-原料</w:t>
                  </w:r>
                </w:p>
              </w:tc>
              <w:tc>
                <w:tcPr>
                  <w:tcW w:w="593" w:type="pct"/>
                  <w:tcBorders>
                    <w:tl2br w:val="nil"/>
                    <w:tr2bl w:val="nil"/>
                  </w:tcBorders>
                  <w:vAlign w:val="center"/>
                </w:tcPr>
                <w:p w14:paraId="6E20D54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13.6</w:t>
                  </w:r>
                </w:p>
              </w:tc>
              <w:tc>
                <w:tcPr>
                  <w:tcW w:w="687" w:type="pct"/>
                  <w:tcBorders>
                    <w:tl2br w:val="nil"/>
                    <w:tr2bl w:val="nil"/>
                  </w:tcBorders>
                  <w:vAlign w:val="center"/>
                </w:tcPr>
                <w:p w14:paraId="3629313D">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485" w:type="pct"/>
                  <w:tcBorders>
                    <w:tl2br w:val="nil"/>
                    <w:tr2bl w:val="nil"/>
                  </w:tcBorders>
                  <w:vAlign w:val="center"/>
                </w:tcPr>
                <w:p w14:paraId="23ABD8BB">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14:paraId="76CE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15" w:type="pct"/>
                  <w:vMerge w:val="continue"/>
                  <w:tcBorders>
                    <w:tl2br w:val="nil"/>
                    <w:tr2bl w:val="nil"/>
                  </w:tcBorders>
                  <w:vAlign w:val="center"/>
                </w:tcPr>
                <w:p w14:paraId="1E2B3635">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15" w:type="pct"/>
                  <w:vMerge w:val="continue"/>
                  <w:tcBorders>
                    <w:tl2br w:val="nil"/>
                    <w:tr2bl w:val="nil"/>
                  </w:tcBorders>
                  <w:vAlign w:val="center"/>
                </w:tcPr>
                <w:p w14:paraId="43129D1D">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3" w:type="pct"/>
                  <w:vMerge w:val="continue"/>
                  <w:tcBorders>
                    <w:tl2br w:val="nil"/>
                    <w:tr2bl w:val="nil"/>
                  </w:tcBorders>
                  <w:vAlign w:val="center"/>
                </w:tcPr>
                <w:p w14:paraId="4209ED35">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4" w:type="pct"/>
                  <w:vMerge w:val="continue"/>
                  <w:tcBorders>
                    <w:tl2br w:val="nil"/>
                    <w:tr2bl w:val="nil"/>
                  </w:tcBorders>
                  <w:vAlign w:val="center"/>
                </w:tcPr>
                <w:p w14:paraId="38372425">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04" w:type="pct"/>
                  <w:vMerge w:val="continue"/>
                  <w:tcBorders>
                    <w:tl2br w:val="nil"/>
                    <w:tr2bl w:val="nil"/>
                  </w:tcBorders>
                  <w:vAlign w:val="center"/>
                </w:tcPr>
                <w:p w14:paraId="0546644F">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543" w:type="pct"/>
                  <w:tcBorders>
                    <w:tl2br w:val="nil"/>
                    <w:tr2bl w:val="nil"/>
                  </w:tcBorders>
                  <w:vAlign w:val="center"/>
                </w:tcPr>
                <w:p w14:paraId="2D89E29B">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二氧化物</w:t>
                  </w:r>
                </w:p>
              </w:tc>
              <w:tc>
                <w:tcPr>
                  <w:tcW w:w="687" w:type="pct"/>
                  <w:tcBorders>
                    <w:tl2br w:val="nil"/>
                    <w:tr2bl w:val="nil"/>
                  </w:tcBorders>
                  <w:vAlign w:val="center"/>
                </w:tcPr>
                <w:p w14:paraId="238FAE61">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千克/立方米原料</w:t>
                  </w:r>
                </w:p>
              </w:tc>
              <w:tc>
                <w:tcPr>
                  <w:tcW w:w="593" w:type="pct"/>
                  <w:tcBorders>
                    <w:tl2br w:val="nil"/>
                    <w:tr2bl w:val="nil"/>
                  </w:tcBorders>
                  <w:vAlign w:val="center"/>
                </w:tcPr>
                <w:p w14:paraId="06F4F6CA">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0.000002S</w:t>
                  </w:r>
                </w:p>
              </w:tc>
              <w:tc>
                <w:tcPr>
                  <w:tcW w:w="687" w:type="pct"/>
                  <w:tcBorders>
                    <w:tl2br w:val="nil"/>
                    <w:tr2bl w:val="nil"/>
                  </w:tcBorders>
                  <w:vAlign w:val="center"/>
                </w:tcPr>
                <w:p w14:paraId="331DE919">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直排</w:t>
                  </w:r>
                </w:p>
              </w:tc>
              <w:tc>
                <w:tcPr>
                  <w:tcW w:w="485" w:type="pct"/>
                  <w:tcBorders>
                    <w:tl2br w:val="nil"/>
                    <w:tr2bl w:val="nil"/>
                  </w:tcBorders>
                  <w:vAlign w:val="center"/>
                </w:tcPr>
                <w:p w14:paraId="510A0131">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w:t>
                  </w:r>
                </w:p>
              </w:tc>
            </w:tr>
            <w:tr w14:paraId="6BAF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15" w:type="pct"/>
                  <w:vMerge w:val="continue"/>
                  <w:tcBorders>
                    <w:tl2br w:val="nil"/>
                    <w:tr2bl w:val="nil"/>
                  </w:tcBorders>
                  <w:vAlign w:val="center"/>
                </w:tcPr>
                <w:p w14:paraId="43955F44">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15" w:type="pct"/>
                  <w:vMerge w:val="continue"/>
                  <w:tcBorders>
                    <w:tl2br w:val="nil"/>
                    <w:tr2bl w:val="nil"/>
                  </w:tcBorders>
                  <w:vAlign w:val="center"/>
                </w:tcPr>
                <w:p w14:paraId="2F9437AC">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3" w:type="pct"/>
                  <w:vMerge w:val="continue"/>
                  <w:tcBorders>
                    <w:tl2br w:val="nil"/>
                    <w:tr2bl w:val="nil"/>
                  </w:tcBorders>
                  <w:vAlign w:val="center"/>
                </w:tcPr>
                <w:p w14:paraId="437AF92F">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4" w:type="pct"/>
                  <w:vMerge w:val="continue"/>
                  <w:tcBorders>
                    <w:tl2br w:val="nil"/>
                    <w:tr2bl w:val="nil"/>
                  </w:tcBorders>
                  <w:vAlign w:val="center"/>
                </w:tcPr>
                <w:p w14:paraId="1C16C17A">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04" w:type="pct"/>
                  <w:vMerge w:val="continue"/>
                  <w:tcBorders>
                    <w:tl2br w:val="nil"/>
                    <w:tr2bl w:val="nil"/>
                  </w:tcBorders>
                  <w:vAlign w:val="center"/>
                </w:tcPr>
                <w:p w14:paraId="5B3BBC17">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543" w:type="pct"/>
                  <w:tcBorders>
                    <w:tl2br w:val="nil"/>
                    <w:tr2bl w:val="nil"/>
                  </w:tcBorders>
                  <w:vAlign w:val="center"/>
                </w:tcPr>
                <w:p w14:paraId="04DBAFD4">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687" w:type="pct"/>
                  <w:tcBorders>
                    <w:tl2br w:val="nil"/>
                    <w:tr2bl w:val="nil"/>
                  </w:tcBorders>
                  <w:vAlign w:val="center"/>
                </w:tcPr>
                <w:p w14:paraId="198385A3">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千克/立方米原料</w:t>
                  </w:r>
                </w:p>
              </w:tc>
              <w:tc>
                <w:tcPr>
                  <w:tcW w:w="593" w:type="pct"/>
                  <w:tcBorders>
                    <w:tl2br w:val="nil"/>
                    <w:tr2bl w:val="nil"/>
                  </w:tcBorders>
                  <w:vAlign w:val="center"/>
                </w:tcPr>
                <w:p w14:paraId="01C71ECC">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0.000286</w:t>
                  </w:r>
                </w:p>
              </w:tc>
              <w:tc>
                <w:tcPr>
                  <w:tcW w:w="687" w:type="pct"/>
                  <w:tcBorders>
                    <w:tl2br w:val="nil"/>
                    <w:tr2bl w:val="nil"/>
                  </w:tcBorders>
                  <w:vAlign w:val="center"/>
                </w:tcPr>
                <w:p w14:paraId="1FEE0E7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直排</w:t>
                  </w:r>
                </w:p>
              </w:tc>
              <w:tc>
                <w:tcPr>
                  <w:tcW w:w="485" w:type="pct"/>
                  <w:tcBorders>
                    <w:tl2br w:val="nil"/>
                    <w:tr2bl w:val="nil"/>
                  </w:tcBorders>
                  <w:vAlign w:val="center"/>
                </w:tcPr>
                <w:p w14:paraId="4D37060A">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w:t>
                  </w:r>
                </w:p>
              </w:tc>
            </w:tr>
            <w:tr w14:paraId="5514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15" w:type="pct"/>
                  <w:vMerge w:val="continue"/>
                  <w:tcBorders>
                    <w:tl2br w:val="nil"/>
                    <w:tr2bl w:val="nil"/>
                  </w:tcBorders>
                  <w:vAlign w:val="center"/>
                </w:tcPr>
                <w:p w14:paraId="638501E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15" w:type="pct"/>
                  <w:vMerge w:val="continue"/>
                  <w:tcBorders>
                    <w:tl2br w:val="nil"/>
                    <w:tr2bl w:val="nil"/>
                  </w:tcBorders>
                  <w:vAlign w:val="center"/>
                </w:tcPr>
                <w:p w14:paraId="3B220A6C">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3" w:type="pct"/>
                  <w:vMerge w:val="continue"/>
                  <w:tcBorders>
                    <w:tl2br w:val="nil"/>
                    <w:tr2bl w:val="nil"/>
                  </w:tcBorders>
                  <w:vAlign w:val="center"/>
                </w:tcPr>
                <w:p w14:paraId="75F720DD">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384" w:type="pct"/>
                  <w:vMerge w:val="continue"/>
                  <w:tcBorders>
                    <w:tl2br w:val="nil"/>
                    <w:tr2bl w:val="nil"/>
                  </w:tcBorders>
                  <w:vAlign w:val="center"/>
                </w:tcPr>
                <w:p w14:paraId="3F24822D">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404" w:type="pct"/>
                  <w:vMerge w:val="continue"/>
                  <w:tcBorders>
                    <w:tl2br w:val="nil"/>
                    <w:tr2bl w:val="nil"/>
                  </w:tcBorders>
                  <w:vAlign w:val="center"/>
                </w:tcPr>
                <w:p w14:paraId="42837DC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cs="Times New Roman"/>
                      <w:color w:val="auto"/>
                      <w:highlight w:val="none"/>
                    </w:rPr>
                  </w:pPr>
                </w:p>
              </w:tc>
              <w:tc>
                <w:tcPr>
                  <w:tcW w:w="543" w:type="pct"/>
                  <w:tcBorders>
                    <w:tl2br w:val="nil"/>
                    <w:tr2bl w:val="nil"/>
                  </w:tcBorders>
                  <w:vAlign w:val="center"/>
                </w:tcPr>
                <w:p w14:paraId="071486E9">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氮氧化物</w:t>
                  </w:r>
                </w:p>
              </w:tc>
              <w:tc>
                <w:tcPr>
                  <w:tcW w:w="687" w:type="pct"/>
                  <w:tcBorders>
                    <w:tl2br w:val="nil"/>
                    <w:tr2bl w:val="nil"/>
                  </w:tcBorders>
                  <w:vAlign w:val="center"/>
                </w:tcPr>
                <w:p w14:paraId="1925AA90">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千克/立方米原料</w:t>
                  </w:r>
                </w:p>
              </w:tc>
              <w:tc>
                <w:tcPr>
                  <w:tcW w:w="593" w:type="pct"/>
                  <w:tcBorders>
                    <w:tl2br w:val="nil"/>
                    <w:tr2bl w:val="nil"/>
                  </w:tcBorders>
                  <w:vAlign w:val="center"/>
                </w:tcPr>
                <w:p w14:paraId="357AEC39">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0.00187</w:t>
                  </w:r>
                </w:p>
              </w:tc>
              <w:tc>
                <w:tcPr>
                  <w:tcW w:w="687" w:type="pct"/>
                  <w:tcBorders>
                    <w:tl2br w:val="nil"/>
                    <w:tr2bl w:val="nil"/>
                  </w:tcBorders>
                  <w:vAlign w:val="center"/>
                </w:tcPr>
                <w:p w14:paraId="7AC7BDA6">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低氮燃烧器</w:t>
                  </w:r>
                </w:p>
              </w:tc>
              <w:tc>
                <w:tcPr>
                  <w:tcW w:w="485" w:type="pct"/>
                  <w:tcBorders>
                    <w:tl2br w:val="nil"/>
                    <w:tr2bl w:val="nil"/>
                  </w:tcBorders>
                  <w:vAlign w:val="center"/>
                </w:tcPr>
                <w:p w14:paraId="68720A81">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50%</w:t>
                  </w:r>
                </w:p>
              </w:tc>
            </w:tr>
            <w:tr w14:paraId="52B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5000" w:type="pct"/>
                  <w:gridSpan w:val="10"/>
                  <w:tcBorders>
                    <w:tl2br w:val="nil"/>
                    <w:tr2bl w:val="nil"/>
                  </w:tcBorders>
                  <w:vAlign w:val="center"/>
                </w:tcPr>
                <w:p w14:paraId="0628068A">
                  <w:pPr>
                    <w:keepNext w:val="0"/>
                    <w:keepLines w:val="0"/>
                    <w:pageBreakBefore w:val="0"/>
                    <w:widowControl/>
                    <w:kinsoku w:val="0"/>
                    <w:wordWrap/>
                    <w:overflowPunct/>
                    <w:topLinePunct w:val="0"/>
                    <w:autoSpaceDE w:val="0"/>
                    <w:autoSpaceDN w:val="0"/>
                    <w:bidi w:val="0"/>
                    <w:adjustRightInd w:val="0"/>
                    <w:snapToGrid w:val="0"/>
                    <w:spacing w:before="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rPr>
                    <w:t>产污系数表中气体燃料的二氧化硫的产污系数是以含硫量（S）的形式表示的，其中含硫量（S）是指气体燃料中的硫含量，单位为毫克/立方米。</w:t>
                  </w:r>
                  <w:r>
                    <w:rPr>
                      <w:rFonts w:hint="default" w:ascii="Times New Roman" w:hAnsi="Times New Roman" w:eastAsia="宋体" w:cs="Times New Roman"/>
                      <w:b w:val="0"/>
                      <w:bCs/>
                      <w:color w:val="auto"/>
                      <w:sz w:val="21"/>
                      <w:szCs w:val="21"/>
                      <w:highlight w:val="none"/>
                      <w:lang w:val="en-US" w:eastAsia="zh-CN"/>
                    </w:rPr>
                    <w:t>本项目以</w:t>
                  </w:r>
                  <w:r>
                    <w:rPr>
                      <w:rFonts w:hint="eastAsia" w:ascii="Times New Roman" w:eastAsia="宋体" w:cs="Times New Roman"/>
                      <w:b w:val="0"/>
                      <w:bCs/>
                      <w:color w:val="auto"/>
                      <w:sz w:val="21"/>
                      <w:szCs w:val="21"/>
                      <w:highlight w:val="none"/>
                      <w:lang w:val="en-US" w:eastAsia="zh-CN"/>
                    </w:rPr>
                    <w:t>S=1</w:t>
                  </w:r>
                  <w:r>
                    <w:rPr>
                      <w:rFonts w:hint="default" w:ascii="Times New Roman" w:hAnsi="Times New Roman" w:eastAsia="宋体" w:cs="Times New Roman"/>
                      <w:b w:val="0"/>
                      <w:bCs/>
                      <w:color w:val="auto"/>
                      <w:sz w:val="21"/>
                      <w:szCs w:val="21"/>
                      <w:highlight w:val="none"/>
                      <w:lang w:val="en-US" w:eastAsia="zh-CN"/>
                    </w:rPr>
                    <w:t>00</w:t>
                  </w:r>
                  <w:r>
                    <w:rPr>
                      <w:rFonts w:hint="default" w:ascii="Times New Roman" w:hAnsi="Times New Roman" w:eastAsia="宋体" w:cs="Times New Roman"/>
                      <w:b w:val="0"/>
                      <w:bCs/>
                      <w:color w:val="auto"/>
                      <w:sz w:val="21"/>
                      <w:szCs w:val="21"/>
                      <w:highlight w:val="none"/>
                    </w:rPr>
                    <w:t>毫克/立方米</w:t>
                  </w:r>
                  <w:r>
                    <w:rPr>
                      <w:rFonts w:hint="default" w:ascii="Times New Roman" w:hAnsi="Times New Roman" w:eastAsia="宋体" w:cs="Times New Roman"/>
                      <w:b w:val="0"/>
                      <w:bCs/>
                      <w:color w:val="auto"/>
                      <w:sz w:val="21"/>
                      <w:szCs w:val="21"/>
                      <w:highlight w:val="none"/>
                      <w:lang w:val="en-US" w:eastAsia="zh-CN"/>
                    </w:rPr>
                    <w:t>计算</w:t>
                  </w:r>
                  <w:r>
                    <w:rPr>
                      <w:rFonts w:hint="eastAsia" w:ascii="Times New Roman" w:hAnsi="Times New Roman" w:eastAsia="宋体" w:cs="Times New Roman"/>
                      <w:b w:val="0"/>
                      <w:bCs/>
                      <w:color w:val="auto"/>
                      <w:sz w:val="21"/>
                      <w:szCs w:val="21"/>
                      <w:highlight w:val="none"/>
                      <w:lang w:val="en-US" w:eastAsia="zh-CN"/>
                    </w:rPr>
                    <w:t>。</w:t>
                  </w:r>
                </w:p>
              </w:tc>
            </w:tr>
          </w:tbl>
          <w:p w14:paraId="27CE96A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本项目热风炉1#</w:t>
            </w:r>
            <w:r>
              <w:rPr>
                <w:rFonts w:hint="eastAsia" w:ascii="Times New Roman" w:hAnsi="Times New Roman" w:eastAsia="宋体" w:cs="Times New Roman"/>
                <w:color w:val="auto"/>
                <w:sz w:val="24"/>
                <w:highlight w:val="none"/>
                <w:lang w:val="en-US" w:eastAsia="zh-CN"/>
              </w:rPr>
              <w:t>天然气使用量为5</w:t>
            </w:r>
            <w:r>
              <w:rPr>
                <w:rFonts w:hint="default" w:ascii="Times New Roman" w:hAnsi="Times New Roman" w:eastAsia="宋体" w:cs="Times New Roman"/>
                <w:i w:val="0"/>
                <w:iCs w:val="0"/>
                <w:color w:val="auto"/>
                <w:sz w:val="24"/>
                <w:szCs w:val="24"/>
                <w:highlight w:val="none"/>
                <w:vertAlign w:val="baseline"/>
                <w:lang w:val="en-US" w:eastAsia="zh-CN"/>
              </w:rPr>
              <w:t>万</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vertAlign w:val="baseline"/>
                <w:lang w:val="en-US" w:eastAsia="zh-CN"/>
              </w:rPr>
              <w:t>，年生产时间为2400h，</w:t>
            </w:r>
            <w:r>
              <w:rPr>
                <w:rFonts w:hint="default" w:ascii="Times New Roman" w:hAnsi="Times New Roman" w:eastAsia="宋体" w:cs="Times New Roman"/>
                <w:color w:val="auto"/>
                <w:sz w:val="24"/>
                <w:highlight w:val="none"/>
                <w:lang w:val="en-US" w:eastAsia="zh-CN"/>
              </w:rPr>
              <w:t>烟气量为</w:t>
            </w:r>
            <w:r>
              <w:rPr>
                <w:rFonts w:hint="eastAsia" w:ascii="Times New Roman" w:hAnsi="Times New Roman" w:eastAsia="宋体" w:cs="Times New Roman"/>
                <w:color w:val="auto"/>
                <w:sz w:val="24"/>
                <w:highlight w:val="none"/>
                <w:lang w:val="en-US" w:eastAsia="zh-CN"/>
              </w:rPr>
              <w:t>680000</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vertAlign w:val="baseline"/>
                <w:lang w:val="en-US" w:eastAsia="zh-CN"/>
              </w:rPr>
              <w:t>/a</w:t>
            </w:r>
            <w:r>
              <w:rPr>
                <w:rFonts w:hint="default" w:ascii="Times New Roman" w:hAnsi="Times New Roman" w:eastAsia="宋体" w:cs="Times New Roman"/>
                <w:color w:val="auto"/>
                <w:sz w:val="24"/>
                <w:highlight w:val="none"/>
                <w:lang w:val="en-US" w:eastAsia="zh-CN"/>
              </w:rPr>
              <w:t>，热风炉2#</w:t>
            </w:r>
            <w:r>
              <w:rPr>
                <w:rFonts w:hint="eastAsia" w:ascii="Times New Roman" w:hAnsi="Times New Roman" w:eastAsia="宋体" w:cs="Times New Roman"/>
                <w:color w:val="auto"/>
                <w:sz w:val="24"/>
                <w:highlight w:val="none"/>
                <w:lang w:val="en-US" w:eastAsia="zh-CN"/>
              </w:rPr>
              <w:t>天然气使用量为5</w:t>
            </w:r>
            <w:r>
              <w:rPr>
                <w:rFonts w:hint="default" w:ascii="Times New Roman" w:hAnsi="Times New Roman" w:eastAsia="宋体" w:cs="Times New Roman"/>
                <w:i w:val="0"/>
                <w:iCs w:val="0"/>
                <w:color w:val="auto"/>
                <w:sz w:val="24"/>
                <w:szCs w:val="24"/>
                <w:highlight w:val="none"/>
                <w:vertAlign w:val="baseline"/>
                <w:lang w:val="en-US" w:eastAsia="zh-CN"/>
              </w:rPr>
              <w:t>万</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vertAlign w:val="baseline"/>
                <w:lang w:val="en-US" w:eastAsia="zh-CN"/>
              </w:rPr>
              <w:t>，年生产时间为2400h，</w:t>
            </w:r>
            <w:r>
              <w:rPr>
                <w:rFonts w:hint="default" w:ascii="Times New Roman" w:hAnsi="Times New Roman" w:eastAsia="宋体" w:cs="Times New Roman"/>
                <w:color w:val="auto"/>
                <w:sz w:val="24"/>
                <w:highlight w:val="none"/>
                <w:lang w:val="en-US" w:eastAsia="zh-CN"/>
              </w:rPr>
              <w:t>烟气量为</w:t>
            </w:r>
            <w:r>
              <w:rPr>
                <w:rFonts w:hint="eastAsia" w:ascii="Times New Roman" w:hAnsi="Times New Roman" w:eastAsia="宋体" w:cs="Times New Roman"/>
                <w:color w:val="auto"/>
                <w:sz w:val="24"/>
                <w:highlight w:val="none"/>
                <w:lang w:val="en-US" w:eastAsia="zh-CN"/>
              </w:rPr>
              <w:t>680000</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vertAlign w:val="baseline"/>
                <w:lang w:val="en-US" w:eastAsia="zh-CN"/>
              </w:rPr>
              <w:t>/a</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本项目氮氧化物使用低氮燃烧器处理，去除效率为50%。</w:t>
            </w:r>
            <w:r>
              <w:rPr>
                <w:rFonts w:hint="default" w:ascii="Times New Roman" w:hAnsi="Times New Roman" w:eastAsia="宋体" w:cs="Times New Roman"/>
                <w:color w:val="auto"/>
                <w:sz w:val="24"/>
                <w:highlight w:val="none"/>
                <w:lang w:val="en-US" w:eastAsia="zh-CN"/>
              </w:rPr>
              <w:t>废气产生量及排放量见表4-4。</w:t>
            </w:r>
          </w:p>
          <w:p w14:paraId="3E3E9DF3">
            <w:pPr>
              <w:snapToGrid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表4-4     热风炉废气产生量及排放量一览表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68"/>
              <w:gridCol w:w="1153"/>
              <w:gridCol w:w="1218"/>
              <w:gridCol w:w="842"/>
              <w:gridCol w:w="855"/>
              <w:gridCol w:w="918"/>
              <w:gridCol w:w="867"/>
              <w:gridCol w:w="860"/>
              <w:gridCol w:w="749"/>
            </w:tblGrid>
            <w:tr w14:paraId="07DC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restart"/>
                  <w:tcBorders>
                    <w:tl2br w:val="nil"/>
                    <w:tr2bl w:val="nil"/>
                  </w:tcBorders>
                  <w:noWrap w:val="0"/>
                  <w:vAlign w:val="center"/>
                </w:tcPr>
                <w:p w14:paraId="10FA1B3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污染物产生环节</w:t>
                  </w:r>
                </w:p>
              </w:tc>
              <w:tc>
                <w:tcPr>
                  <w:tcW w:w="673" w:type="pct"/>
                  <w:vMerge w:val="restart"/>
                  <w:tcBorders>
                    <w:tl2br w:val="nil"/>
                    <w:tr2bl w:val="nil"/>
                  </w:tcBorders>
                  <w:noWrap w:val="0"/>
                  <w:vAlign w:val="center"/>
                </w:tcPr>
                <w:p w14:paraId="02D6931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w:t>
                  </w:r>
                </w:p>
                <w:p w14:paraId="3E3927A0">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形式</w:t>
                  </w:r>
                </w:p>
              </w:tc>
              <w:tc>
                <w:tcPr>
                  <w:tcW w:w="714" w:type="pct"/>
                  <w:vMerge w:val="restart"/>
                  <w:tcBorders>
                    <w:tl2br w:val="nil"/>
                    <w:tr2bl w:val="nil"/>
                  </w:tcBorders>
                  <w:noWrap w:val="0"/>
                  <w:vAlign w:val="center"/>
                </w:tcPr>
                <w:p w14:paraId="0995E2C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533" w:type="pct"/>
                  <w:gridSpan w:val="3"/>
                  <w:tcBorders>
                    <w:tl2br w:val="nil"/>
                    <w:tr2bl w:val="nil"/>
                  </w:tcBorders>
                  <w:noWrap w:val="0"/>
                  <w:vAlign w:val="center"/>
                </w:tcPr>
                <w:p w14:paraId="63A0313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产生情况</w:t>
                  </w:r>
                </w:p>
              </w:tc>
              <w:tc>
                <w:tcPr>
                  <w:tcW w:w="1451" w:type="pct"/>
                  <w:gridSpan w:val="3"/>
                  <w:tcBorders>
                    <w:tl2br w:val="nil"/>
                    <w:tr2bl w:val="nil"/>
                  </w:tcBorders>
                  <w:noWrap w:val="0"/>
                  <w:vAlign w:val="center"/>
                </w:tcPr>
                <w:p w14:paraId="7E9BD068">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排放情况</w:t>
                  </w:r>
                </w:p>
              </w:tc>
            </w:tr>
            <w:tr w14:paraId="5E2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continue"/>
                  <w:tcBorders>
                    <w:tl2br w:val="nil"/>
                    <w:tr2bl w:val="nil"/>
                  </w:tcBorders>
                  <w:noWrap w:val="0"/>
                  <w:vAlign w:val="center"/>
                </w:tcPr>
                <w:p w14:paraId="5008276C">
                  <w:pPr>
                    <w:jc w:val="center"/>
                    <w:rPr>
                      <w:rFonts w:hint="default" w:ascii="Times New Roman" w:hAnsi="Times New Roman" w:eastAsia="宋体" w:cs="Times New Roman"/>
                      <w:b/>
                      <w:bCs/>
                      <w:color w:val="auto"/>
                      <w:sz w:val="21"/>
                      <w:szCs w:val="21"/>
                      <w:highlight w:val="none"/>
                    </w:rPr>
                  </w:pPr>
                </w:p>
              </w:tc>
              <w:tc>
                <w:tcPr>
                  <w:tcW w:w="673" w:type="pct"/>
                  <w:vMerge w:val="continue"/>
                  <w:tcBorders>
                    <w:tl2br w:val="nil"/>
                    <w:tr2bl w:val="nil"/>
                  </w:tcBorders>
                  <w:noWrap w:val="0"/>
                  <w:vAlign w:val="center"/>
                </w:tcPr>
                <w:p w14:paraId="4EB66907">
                  <w:pPr>
                    <w:jc w:val="center"/>
                    <w:rPr>
                      <w:rFonts w:hint="default" w:ascii="Times New Roman" w:hAnsi="Times New Roman" w:eastAsia="宋体" w:cs="Times New Roman"/>
                      <w:b/>
                      <w:bCs/>
                      <w:color w:val="auto"/>
                      <w:sz w:val="21"/>
                      <w:szCs w:val="21"/>
                      <w:highlight w:val="none"/>
                    </w:rPr>
                  </w:pPr>
                </w:p>
              </w:tc>
              <w:tc>
                <w:tcPr>
                  <w:tcW w:w="714" w:type="pct"/>
                  <w:vMerge w:val="continue"/>
                  <w:tcBorders>
                    <w:tl2br w:val="nil"/>
                    <w:tr2bl w:val="nil"/>
                  </w:tcBorders>
                  <w:noWrap w:val="0"/>
                  <w:vAlign w:val="center"/>
                </w:tcPr>
                <w:p w14:paraId="5C185FF1">
                  <w:pPr>
                    <w:jc w:val="center"/>
                    <w:rPr>
                      <w:rFonts w:hint="default" w:ascii="Times New Roman" w:hAnsi="Times New Roman" w:eastAsia="宋体" w:cs="Times New Roman"/>
                      <w:b/>
                      <w:bCs/>
                      <w:color w:val="auto"/>
                      <w:sz w:val="21"/>
                      <w:szCs w:val="21"/>
                      <w:highlight w:val="none"/>
                    </w:rPr>
                  </w:pPr>
                </w:p>
              </w:tc>
              <w:tc>
                <w:tcPr>
                  <w:tcW w:w="494" w:type="pct"/>
                  <w:tcBorders>
                    <w:tl2br w:val="nil"/>
                    <w:tr2bl w:val="nil"/>
                  </w:tcBorders>
                  <w:noWrap w:val="0"/>
                  <w:vAlign w:val="center"/>
                </w:tcPr>
                <w:p w14:paraId="0B2D5B6E">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产生量</w:t>
                  </w:r>
                  <w:r>
                    <w:rPr>
                      <w:rFonts w:hint="default" w:ascii="Times New Roman" w:hAnsi="Times New Roman" w:eastAsia="宋体" w:cs="Times New Roman"/>
                      <w:b/>
                      <w:bCs/>
                      <w:color w:val="auto"/>
                      <w:kern w:val="0"/>
                      <w:sz w:val="21"/>
                      <w:szCs w:val="21"/>
                      <w:highlight w:val="none"/>
                    </w:rPr>
                    <w:t>t/a</w:t>
                  </w:r>
                </w:p>
              </w:tc>
              <w:tc>
                <w:tcPr>
                  <w:tcW w:w="501" w:type="pct"/>
                  <w:tcBorders>
                    <w:tl2br w:val="nil"/>
                    <w:tr2bl w:val="nil"/>
                  </w:tcBorders>
                  <w:noWrap w:val="0"/>
                  <w:vAlign w:val="center"/>
                </w:tcPr>
                <w:p w14:paraId="4415616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5C11387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537" w:type="pct"/>
                  <w:tcBorders>
                    <w:tl2br w:val="nil"/>
                    <w:tr2bl w:val="nil"/>
                  </w:tcBorders>
                  <w:noWrap w:val="0"/>
                  <w:vAlign w:val="center"/>
                </w:tcPr>
                <w:p w14:paraId="1CE13CCE">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c>
                <w:tcPr>
                  <w:tcW w:w="508" w:type="pct"/>
                  <w:tcBorders>
                    <w:tl2br w:val="nil"/>
                    <w:tr2bl w:val="nil"/>
                  </w:tcBorders>
                  <w:noWrap w:val="0"/>
                  <w:vAlign w:val="center"/>
                </w:tcPr>
                <w:p w14:paraId="45C9E55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排放量</w:t>
                  </w:r>
                  <w:r>
                    <w:rPr>
                      <w:rFonts w:hint="default" w:ascii="Times New Roman" w:hAnsi="Times New Roman" w:eastAsia="宋体" w:cs="Times New Roman"/>
                      <w:b/>
                      <w:bCs/>
                      <w:color w:val="auto"/>
                      <w:kern w:val="0"/>
                      <w:sz w:val="21"/>
                      <w:szCs w:val="21"/>
                      <w:highlight w:val="none"/>
                    </w:rPr>
                    <w:t>t/a</w:t>
                  </w:r>
                </w:p>
              </w:tc>
              <w:tc>
                <w:tcPr>
                  <w:tcW w:w="504" w:type="pct"/>
                  <w:tcBorders>
                    <w:tl2br w:val="nil"/>
                    <w:tr2bl w:val="nil"/>
                  </w:tcBorders>
                  <w:noWrap w:val="0"/>
                  <w:vAlign w:val="center"/>
                </w:tcPr>
                <w:p w14:paraId="189148C9">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4FBEEDF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438" w:type="pct"/>
                  <w:tcBorders>
                    <w:tl2br w:val="nil"/>
                    <w:tr2bl w:val="nil"/>
                  </w:tcBorders>
                  <w:noWrap w:val="0"/>
                  <w:vAlign w:val="center"/>
                </w:tcPr>
                <w:p w14:paraId="7C6625B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r>
            <w:tr w14:paraId="7366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jc w:val="center"/>
              </w:trPr>
              <w:tc>
                <w:tcPr>
                  <w:tcW w:w="626" w:type="pct"/>
                  <w:vMerge w:val="restart"/>
                  <w:tcBorders>
                    <w:tl2br w:val="nil"/>
                    <w:tr2bl w:val="nil"/>
                  </w:tcBorders>
                  <w:noWrap w:val="0"/>
                  <w:vAlign w:val="center"/>
                </w:tcPr>
                <w:p w14:paraId="3F0A7E2A">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热风炉1#</w:t>
                  </w:r>
                </w:p>
              </w:tc>
              <w:tc>
                <w:tcPr>
                  <w:tcW w:w="673" w:type="pct"/>
                  <w:vMerge w:val="restart"/>
                  <w:tcBorders>
                    <w:tl2br w:val="nil"/>
                    <w:tr2bl w:val="nil"/>
                  </w:tcBorders>
                  <w:noWrap w:val="0"/>
                  <w:vAlign w:val="center"/>
                </w:tcPr>
                <w:p w14:paraId="1B1E9161">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DA002</w:t>
                  </w:r>
                  <w:r>
                    <w:rPr>
                      <w:rFonts w:hint="default" w:ascii="Times New Roman" w:hAnsi="Times New Roman" w:eastAsia="宋体" w:cs="Times New Roman"/>
                      <w:color w:val="auto"/>
                      <w:sz w:val="21"/>
                      <w:szCs w:val="21"/>
                      <w:highlight w:val="none"/>
                      <w:lang w:eastAsia="zh-CN"/>
                    </w:rPr>
                    <w:t>）</w:t>
                  </w:r>
                </w:p>
              </w:tc>
              <w:tc>
                <w:tcPr>
                  <w:tcW w:w="714" w:type="pct"/>
                  <w:tcBorders>
                    <w:tl2br w:val="nil"/>
                    <w:tr2bl w:val="nil"/>
                  </w:tcBorders>
                  <w:noWrap w:val="0"/>
                  <w:vAlign w:val="center"/>
                </w:tcPr>
                <w:p w14:paraId="6948087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494" w:type="pct"/>
                  <w:tcBorders>
                    <w:tl2br w:val="nil"/>
                    <w:tr2bl w:val="nil"/>
                  </w:tcBorders>
                  <w:noWrap w:val="0"/>
                  <w:vAlign w:val="center"/>
                </w:tcPr>
                <w:p w14:paraId="6DC62FF9">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0.0143</w:t>
                  </w:r>
                </w:p>
              </w:tc>
              <w:tc>
                <w:tcPr>
                  <w:tcW w:w="501" w:type="pct"/>
                  <w:tcBorders>
                    <w:tl2br w:val="nil"/>
                    <w:tr2bl w:val="nil"/>
                  </w:tcBorders>
                  <w:noWrap w:val="0"/>
                  <w:vAlign w:val="center"/>
                </w:tcPr>
                <w:p w14:paraId="26EF7D5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537" w:type="pct"/>
                  <w:tcBorders>
                    <w:tl2br w:val="nil"/>
                    <w:tr2bl w:val="nil"/>
                  </w:tcBorders>
                  <w:noWrap w:val="0"/>
                  <w:vAlign w:val="center"/>
                </w:tcPr>
                <w:p w14:paraId="286DF1D3">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c>
                <w:tcPr>
                  <w:tcW w:w="870" w:type="dxa"/>
                  <w:tcBorders>
                    <w:tl2br w:val="nil"/>
                    <w:tr2bl w:val="nil"/>
                  </w:tcBorders>
                  <w:noWrap w:val="0"/>
                  <w:vAlign w:val="center"/>
                </w:tcPr>
                <w:p w14:paraId="7F013B3A">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0.0143</w:t>
                  </w:r>
                </w:p>
              </w:tc>
              <w:tc>
                <w:tcPr>
                  <w:tcW w:w="863" w:type="dxa"/>
                  <w:tcBorders>
                    <w:tl2br w:val="nil"/>
                    <w:tr2bl w:val="nil"/>
                  </w:tcBorders>
                  <w:noWrap w:val="0"/>
                  <w:vAlign w:val="center"/>
                </w:tcPr>
                <w:p w14:paraId="1767534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751" w:type="dxa"/>
                  <w:tcBorders>
                    <w:tl2br w:val="nil"/>
                    <w:tr2bl w:val="nil"/>
                  </w:tcBorders>
                  <w:noWrap w:val="0"/>
                  <w:vAlign w:val="center"/>
                </w:tcPr>
                <w:p w14:paraId="1C7A7A9B">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r>
            <w:tr w14:paraId="2F44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continue"/>
                  <w:tcBorders>
                    <w:tl2br w:val="nil"/>
                    <w:tr2bl w:val="nil"/>
                  </w:tcBorders>
                  <w:noWrap w:val="0"/>
                  <w:vAlign w:val="center"/>
                </w:tcPr>
                <w:p w14:paraId="122694DC">
                  <w:pPr>
                    <w:tabs>
                      <w:tab w:val="left" w:pos="420"/>
                    </w:tabs>
                    <w:jc w:val="center"/>
                    <w:rPr>
                      <w:rFonts w:hint="default" w:ascii="Times New Roman" w:hAnsi="Times New Roman" w:eastAsia="宋体" w:cs="Times New Roman"/>
                      <w:color w:val="auto"/>
                      <w:sz w:val="21"/>
                      <w:szCs w:val="21"/>
                      <w:highlight w:val="none"/>
                      <w:lang w:val="en-US" w:eastAsia="zh-CN"/>
                    </w:rPr>
                  </w:pPr>
                </w:p>
              </w:tc>
              <w:tc>
                <w:tcPr>
                  <w:tcW w:w="673" w:type="pct"/>
                  <w:vMerge w:val="continue"/>
                  <w:tcBorders>
                    <w:tl2br w:val="nil"/>
                    <w:tr2bl w:val="nil"/>
                  </w:tcBorders>
                  <w:noWrap w:val="0"/>
                  <w:vAlign w:val="center"/>
                </w:tcPr>
                <w:p w14:paraId="2D664EFA">
                  <w:pPr>
                    <w:tabs>
                      <w:tab w:val="left" w:pos="420"/>
                    </w:tabs>
                    <w:jc w:val="center"/>
                    <w:rPr>
                      <w:rFonts w:hint="default" w:ascii="Times New Roman" w:hAnsi="Times New Roman" w:eastAsia="宋体" w:cs="Times New Roman"/>
                      <w:color w:val="auto"/>
                      <w:sz w:val="21"/>
                      <w:szCs w:val="21"/>
                      <w:highlight w:val="none"/>
                    </w:rPr>
                  </w:pPr>
                </w:p>
              </w:tc>
              <w:tc>
                <w:tcPr>
                  <w:tcW w:w="714" w:type="pct"/>
                  <w:tcBorders>
                    <w:tl2br w:val="nil"/>
                    <w:tr2bl w:val="nil"/>
                  </w:tcBorders>
                  <w:noWrap w:val="0"/>
                  <w:vAlign w:val="center"/>
                </w:tcPr>
                <w:p w14:paraId="460122B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二氧化硫</w:t>
                  </w:r>
                </w:p>
              </w:tc>
              <w:tc>
                <w:tcPr>
                  <w:tcW w:w="494" w:type="pct"/>
                  <w:tcBorders>
                    <w:tl2br w:val="nil"/>
                    <w:tr2bl w:val="nil"/>
                  </w:tcBorders>
                  <w:noWrap w:val="0"/>
                  <w:vAlign w:val="center"/>
                </w:tcPr>
                <w:p w14:paraId="57A1A06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w:t>
                  </w:r>
                </w:p>
              </w:tc>
              <w:tc>
                <w:tcPr>
                  <w:tcW w:w="501" w:type="pct"/>
                  <w:tcBorders>
                    <w:tl2br w:val="nil"/>
                    <w:tr2bl w:val="nil"/>
                  </w:tcBorders>
                  <w:noWrap w:val="0"/>
                  <w:vAlign w:val="center"/>
                </w:tcPr>
                <w:p w14:paraId="072BC01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537" w:type="pct"/>
                  <w:tcBorders>
                    <w:tl2br w:val="nil"/>
                    <w:tr2bl w:val="nil"/>
                  </w:tcBorders>
                  <w:noWrap w:val="0"/>
                  <w:vAlign w:val="center"/>
                </w:tcPr>
                <w:p w14:paraId="27215AC6">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c>
                <w:tcPr>
                  <w:tcW w:w="870" w:type="dxa"/>
                  <w:tcBorders>
                    <w:tl2br w:val="nil"/>
                    <w:tr2bl w:val="nil"/>
                  </w:tcBorders>
                  <w:noWrap w:val="0"/>
                  <w:vAlign w:val="center"/>
                </w:tcPr>
                <w:p w14:paraId="7EA1FF3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w:t>
                  </w:r>
                </w:p>
              </w:tc>
              <w:tc>
                <w:tcPr>
                  <w:tcW w:w="863" w:type="dxa"/>
                  <w:tcBorders>
                    <w:tl2br w:val="nil"/>
                    <w:tr2bl w:val="nil"/>
                  </w:tcBorders>
                  <w:noWrap w:val="0"/>
                  <w:vAlign w:val="center"/>
                </w:tcPr>
                <w:p w14:paraId="5F2B323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751" w:type="dxa"/>
                  <w:tcBorders>
                    <w:tl2br w:val="nil"/>
                    <w:tr2bl w:val="nil"/>
                  </w:tcBorders>
                  <w:noWrap w:val="0"/>
                  <w:vAlign w:val="center"/>
                </w:tcPr>
                <w:p w14:paraId="77FA4F27">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r>
            <w:tr w14:paraId="4A32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continue"/>
                  <w:tcBorders>
                    <w:tl2br w:val="nil"/>
                    <w:tr2bl w:val="nil"/>
                  </w:tcBorders>
                  <w:noWrap w:val="0"/>
                  <w:vAlign w:val="center"/>
                </w:tcPr>
                <w:p w14:paraId="16416675">
                  <w:pPr>
                    <w:jc w:val="center"/>
                    <w:rPr>
                      <w:rFonts w:hint="default" w:ascii="Times New Roman" w:hAnsi="Times New Roman" w:eastAsia="宋体" w:cs="Times New Roman"/>
                      <w:color w:val="auto"/>
                      <w:sz w:val="21"/>
                      <w:szCs w:val="21"/>
                      <w:highlight w:val="none"/>
                      <w:lang w:val="en-US"/>
                    </w:rPr>
                  </w:pPr>
                </w:p>
              </w:tc>
              <w:tc>
                <w:tcPr>
                  <w:tcW w:w="673" w:type="pct"/>
                  <w:vMerge w:val="continue"/>
                  <w:tcBorders>
                    <w:tl2br w:val="nil"/>
                    <w:tr2bl w:val="nil"/>
                  </w:tcBorders>
                  <w:noWrap w:val="0"/>
                  <w:vAlign w:val="center"/>
                </w:tcPr>
                <w:p w14:paraId="349FB8AF">
                  <w:pPr>
                    <w:tabs>
                      <w:tab w:val="left" w:pos="420"/>
                    </w:tabs>
                    <w:jc w:val="center"/>
                    <w:rPr>
                      <w:rFonts w:hint="default" w:ascii="Times New Roman" w:hAnsi="Times New Roman" w:eastAsia="宋体" w:cs="Times New Roman"/>
                      <w:color w:val="auto"/>
                      <w:sz w:val="21"/>
                      <w:szCs w:val="21"/>
                      <w:highlight w:val="none"/>
                    </w:rPr>
                  </w:pPr>
                </w:p>
              </w:tc>
              <w:tc>
                <w:tcPr>
                  <w:tcW w:w="714" w:type="pct"/>
                  <w:tcBorders>
                    <w:tl2br w:val="nil"/>
                    <w:tr2bl w:val="nil"/>
                  </w:tcBorders>
                  <w:noWrap w:val="0"/>
                  <w:vAlign w:val="center"/>
                </w:tcPr>
                <w:p w14:paraId="285C2086">
                  <w:pPr>
                    <w:tabs>
                      <w:tab w:val="left" w:pos="420"/>
                    </w:tabs>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氮氧化物</w:t>
                  </w:r>
                </w:p>
              </w:tc>
              <w:tc>
                <w:tcPr>
                  <w:tcW w:w="494" w:type="pct"/>
                  <w:tcBorders>
                    <w:tl2br w:val="nil"/>
                    <w:tr2bl w:val="nil"/>
                  </w:tcBorders>
                  <w:noWrap w:val="0"/>
                  <w:vAlign w:val="center"/>
                </w:tcPr>
                <w:p w14:paraId="5A8444A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935</w:t>
                  </w:r>
                </w:p>
              </w:tc>
              <w:tc>
                <w:tcPr>
                  <w:tcW w:w="501" w:type="pct"/>
                  <w:tcBorders>
                    <w:tl2br w:val="nil"/>
                    <w:tr2bl w:val="nil"/>
                  </w:tcBorders>
                  <w:noWrap w:val="0"/>
                  <w:vAlign w:val="center"/>
                </w:tcPr>
                <w:p w14:paraId="2628E35F">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p>
              </w:tc>
              <w:tc>
                <w:tcPr>
                  <w:tcW w:w="537" w:type="pct"/>
                  <w:tcBorders>
                    <w:tl2br w:val="nil"/>
                    <w:tr2bl w:val="nil"/>
                  </w:tcBorders>
                  <w:noWrap w:val="0"/>
                  <w:vAlign w:val="center"/>
                </w:tcPr>
                <w:p w14:paraId="27A53E25">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137.5</w:t>
                  </w:r>
                </w:p>
              </w:tc>
              <w:tc>
                <w:tcPr>
                  <w:tcW w:w="508" w:type="pct"/>
                  <w:tcBorders>
                    <w:tl2br w:val="nil"/>
                    <w:tr2bl w:val="nil"/>
                  </w:tcBorders>
                  <w:shd w:val="clear" w:color="auto" w:fill="auto"/>
                  <w:noWrap w:val="0"/>
                  <w:vAlign w:val="center"/>
                </w:tcPr>
                <w:p w14:paraId="0CE92199">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0.0468</w:t>
                  </w:r>
                </w:p>
              </w:tc>
              <w:tc>
                <w:tcPr>
                  <w:tcW w:w="504" w:type="pct"/>
                  <w:tcBorders>
                    <w:tl2br w:val="nil"/>
                    <w:tr2bl w:val="nil"/>
                  </w:tcBorders>
                  <w:noWrap w:val="0"/>
                  <w:vAlign w:val="center"/>
                </w:tcPr>
                <w:p w14:paraId="14B89680">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0.0195</w:t>
                  </w:r>
                </w:p>
              </w:tc>
              <w:tc>
                <w:tcPr>
                  <w:tcW w:w="438" w:type="pct"/>
                  <w:tcBorders>
                    <w:tl2br w:val="nil"/>
                    <w:tr2bl w:val="nil"/>
                  </w:tcBorders>
                  <w:noWrap w:val="0"/>
                  <w:vAlign w:val="center"/>
                </w:tcPr>
                <w:p w14:paraId="4CCBB073">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68.82</w:t>
                  </w:r>
                </w:p>
              </w:tc>
            </w:tr>
            <w:tr w14:paraId="54A1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restart"/>
                  <w:tcBorders>
                    <w:tl2br w:val="nil"/>
                    <w:tr2bl w:val="nil"/>
                  </w:tcBorders>
                  <w:noWrap w:val="0"/>
                  <w:vAlign w:val="center"/>
                </w:tcPr>
                <w:p w14:paraId="05ED90E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热风炉2#</w:t>
                  </w:r>
                </w:p>
              </w:tc>
              <w:tc>
                <w:tcPr>
                  <w:tcW w:w="673" w:type="pct"/>
                  <w:vMerge w:val="restart"/>
                  <w:tcBorders>
                    <w:tl2br w:val="nil"/>
                    <w:tr2bl w:val="nil"/>
                  </w:tcBorders>
                  <w:noWrap w:val="0"/>
                  <w:vAlign w:val="center"/>
                </w:tcPr>
                <w:p w14:paraId="64268F83">
                  <w:pPr>
                    <w:tabs>
                      <w:tab w:val="left" w:pos="420"/>
                    </w:tabs>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DA003</w:t>
                  </w:r>
                  <w:r>
                    <w:rPr>
                      <w:rFonts w:hint="default" w:ascii="Times New Roman" w:hAnsi="Times New Roman" w:eastAsia="宋体" w:cs="Times New Roman"/>
                      <w:color w:val="auto"/>
                      <w:sz w:val="21"/>
                      <w:szCs w:val="21"/>
                      <w:highlight w:val="none"/>
                      <w:lang w:eastAsia="zh-CN"/>
                    </w:rPr>
                    <w:t>）</w:t>
                  </w:r>
                </w:p>
              </w:tc>
              <w:tc>
                <w:tcPr>
                  <w:tcW w:w="714" w:type="pct"/>
                  <w:tcBorders>
                    <w:tl2br w:val="nil"/>
                    <w:tr2bl w:val="nil"/>
                  </w:tcBorders>
                  <w:noWrap w:val="0"/>
                  <w:vAlign w:val="center"/>
                </w:tcPr>
                <w:p w14:paraId="396F51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颗粒物</w:t>
                  </w:r>
                </w:p>
              </w:tc>
              <w:tc>
                <w:tcPr>
                  <w:tcW w:w="846" w:type="dxa"/>
                  <w:tcBorders>
                    <w:tl2br w:val="nil"/>
                    <w:tr2bl w:val="nil"/>
                  </w:tcBorders>
                  <w:noWrap w:val="0"/>
                  <w:vAlign w:val="center"/>
                </w:tcPr>
                <w:p w14:paraId="7C06E391">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0.0143</w:t>
                  </w:r>
                </w:p>
              </w:tc>
              <w:tc>
                <w:tcPr>
                  <w:tcW w:w="858" w:type="dxa"/>
                  <w:tcBorders>
                    <w:tl2br w:val="nil"/>
                    <w:tr2bl w:val="nil"/>
                  </w:tcBorders>
                  <w:noWrap w:val="0"/>
                  <w:vAlign w:val="center"/>
                </w:tcPr>
                <w:p w14:paraId="671B5EE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921" w:type="dxa"/>
                  <w:tcBorders>
                    <w:tl2br w:val="nil"/>
                    <w:tr2bl w:val="nil"/>
                  </w:tcBorders>
                  <w:noWrap w:val="0"/>
                  <w:vAlign w:val="center"/>
                </w:tcPr>
                <w:p w14:paraId="156ABEFD">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c>
                <w:tcPr>
                  <w:tcW w:w="870" w:type="dxa"/>
                  <w:tcBorders>
                    <w:tl2br w:val="nil"/>
                    <w:tr2bl w:val="nil"/>
                  </w:tcBorders>
                  <w:shd w:val="clear" w:color="auto" w:fill="auto"/>
                  <w:noWrap w:val="0"/>
                  <w:vAlign w:val="center"/>
                </w:tcPr>
                <w:p w14:paraId="1BCFDEED">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0.0143</w:t>
                  </w:r>
                </w:p>
              </w:tc>
              <w:tc>
                <w:tcPr>
                  <w:tcW w:w="863" w:type="dxa"/>
                  <w:tcBorders>
                    <w:tl2br w:val="nil"/>
                    <w:tr2bl w:val="nil"/>
                  </w:tcBorders>
                  <w:noWrap w:val="0"/>
                  <w:vAlign w:val="center"/>
                </w:tcPr>
                <w:p w14:paraId="7E71751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751" w:type="dxa"/>
                  <w:tcBorders>
                    <w:tl2br w:val="nil"/>
                    <w:tr2bl w:val="nil"/>
                  </w:tcBorders>
                  <w:noWrap w:val="0"/>
                  <w:vAlign w:val="center"/>
                </w:tcPr>
                <w:p w14:paraId="42897C05">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r>
            <w:tr w14:paraId="0C38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continue"/>
                  <w:tcBorders>
                    <w:tl2br w:val="nil"/>
                    <w:tr2bl w:val="nil"/>
                  </w:tcBorders>
                  <w:noWrap w:val="0"/>
                  <w:vAlign w:val="center"/>
                </w:tcPr>
                <w:p w14:paraId="34E67595">
                  <w:pPr>
                    <w:jc w:val="center"/>
                    <w:rPr>
                      <w:rFonts w:hint="default" w:ascii="Times New Roman" w:hAnsi="Times New Roman" w:eastAsia="宋体" w:cs="Times New Roman"/>
                      <w:color w:val="auto"/>
                      <w:sz w:val="21"/>
                      <w:szCs w:val="21"/>
                      <w:highlight w:val="none"/>
                      <w:lang w:val="en-US" w:eastAsia="zh-CN"/>
                    </w:rPr>
                  </w:pPr>
                </w:p>
              </w:tc>
              <w:tc>
                <w:tcPr>
                  <w:tcW w:w="673" w:type="pct"/>
                  <w:vMerge w:val="continue"/>
                  <w:tcBorders>
                    <w:tl2br w:val="nil"/>
                    <w:tr2bl w:val="nil"/>
                  </w:tcBorders>
                  <w:noWrap w:val="0"/>
                  <w:vAlign w:val="center"/>
                </w:tcPr>
                <w:p w14:paraId="003B84EF">
                  <w:pPr>
                    <w:tabs>
                      <w:tab w:val="left" w:pos="420"/>
                    </w:tabs>
                    <w:jc w:val="center"/>
                    <w:rPr>
                      <w:rFonts w:hint="default" w:ascii="Times New Roman" w:hAnsi="Times New Roman" w:eastAsia="宋体" w:cs="Times New Roman"/>
                      <w:color w:val="auto"/>
                      <w:sz w:val="21"/>
                      <w:szCs w:val="21"/>
                      <w:highlight w:val="none"/>
                      <w:lang w:val="en-US" w:eastAsia="zh-CN"/>
                    </w:rPr>
                  </w:pPr>
                </w:p>
              </w:tc>
              <w:tc>
                <w:tcPr>
                  <w:tcW w:w="714" w:type="pct"/>
                  <w:tcBorders>
                    <w:tl2br w:val="nil"/>
                    <w:tr2bl w:val="nil"/>
                  </w:tcBorders>
                  <w:noWrap w:val="0"/>
                  <w:vAlign w:val="center"/>
                </w:tcPr>
                <w:p w14:paraId="6DAFA5F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二氧化硫</w:t>
                  </w:r>
                </w:p>
              </w:tc>
              <w:tc>
                <w:tcPr>
                  <w:tcW w:w="846" w:type="dxa"/>
                  <w:tcBorders>
                    <w:tl2br w:val="nil"/>
                    <w:tr2bl w:val="nil"/>
                  </w:tcBorders>
                  <w:noWrap w:val="0"/>
                  <w:vAlign w:val="center"/>
                </w:tcPr>
                <w:p w14:paraId="1575F30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w:t>
                  </w:r>
                </w:p>
              </w:tc>
              <w:tc>
                <w:tcPr>
                  <w:tcW w:w="858" w:type="dxa"/>
                  <w:tcBorders>
                    <w:tl2br w:val="nil"/>
                    <w:tr2bl w:val="nil"/>
                  </w:tcBorders>
                  <w:noWrap w:val="0"/>
                  <w:vAlign w:val="center"/>
                </w:tcPr>
                <w:p w14:paraId="3732E9B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921" w:type="dxa"/>
                  <w:tcBorders>
                    <w:tl2br w:val="nil"/>
                    <w:tr2bl w:val="nil"/>
                  </w:tcBorders>
                  <w:noWrap w:val="0"/>
                  <w:vAlign w:val="center"/>
                </w:tcPr>
                <w:p w14:paraId="5C58B055">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c>
                <w:tcPr>
                  <w:tcW w:w="870" w:type="dxa"/>
                  <w:tcBorders>
                    <w:tl2br w:val="nil"/>
                    <w:tr2bl w:val="nil"/>
                  </w:tcBorders>
                  <w:shd w:val="clear" w:color="auto" w:fill="auto"/>
                  <w:noWrap w:val="0"/>
                  <w:vAlign w:val="center"/>
                </w:tcPr>
                <w:p w14:paraId="257236A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w:t>
                  </w:r>
                </w:p>
              </w:tc>
              <w:tc>
                <w:tcPr>
                  <w:tcW w:w="863" w:type="dxa"/>
                  <w:tcBorders>
                    <w:tl2br w:val="nil"/>
                    <w:tr2bl w:val="nil"/>
                  </w:tcBorders>
                  <w:noWrap w:val="0"/>
                  <w:vAlign w:val="center"/>
                </w:tcPr>
                <w:p w14:paraId="23B4853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751" w:type="dxa"/>
                  <w:tcBorders>
                    <w:tl2br w:val="nil"/>
                    <w:tr2bl w:val="nil"/>
                  </w:tcBorders>
                  <w:noWrap w:val="0"/>
                  <w:vAlign w:val="center"/>
                </w:tcPr>
                <w:p w14:paraId="7641E059">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r>
            <w:tr w14:paraId="63EA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6" w:type="pct"/>
                  <w:vMerge w:val="continue"/>
                  <w:tcBorders>
                    <w:tl2br w:val="nil"/>
                    <w:tr2bl w:val="nil"/>
                  </w:tcBorders>
                  <w:noWrap w:val="0"/>
                  <w:vAlign w:val="center"/>
                </w:tcPr>
                <w:p w14:paraId="62929A55">
                  <w:pPr>
                    <w:jc w:val="center"/>
                    <w:rPr>
                      <w:rFonts w:hint="default" w:ascii="Times New Roman" w:hAnsi="Times New Roman" w:eastAsia="宋体" w:cs="Times New Roman"/>
                      <w:color w:val="auto"/>
                      <w:sz w:val="21"/>
                      <w:szCs w:val="21"/>
                      <w:highlight w:val="none"/>
                      <w:lang w:val="en-US" w:eastAsia="zh-CN"/>
                    </w:rPr>
                  </w:pPr>
                </w:p>
              </w:tc>
              <w:tc>
                <w:tcPr>
                  <w:tcW w:w="673" w:type="pct"/>
                  <w:vMerge w:val="continue"/>
                  <w:tcBorders>
                    <w:tl2br w:val="nil"/>
                    <w:tr2bl w:val="nil"/>
                  </w:tcBorders>
                  <w:noWrap w:val="0"/>
                  <w:vAlign w:val="center"/>
                </w:tcPr>
                <w:p w14:paraId="61168EC4">
                  <w:pPr>
                    <w:tabs>
                      <w:tab w:val="left" w:pos="420"/>
                    </w:tabs>
                    <w:jc w:val="center"/>
                    <w:rPr>
                      <w:rFonts w:hint="default" w:ascii="Times New Roman" w:hAnsi="Times New Roman" w:eastAsia="宋体" w:cs="Times New Roman"/>
                      <w:color w:val="auto"/>
                      <w:sz w:val="21"/>
                      <w:szCs w:val="21"/>
                      <w:highlight w:val="none"/>
                      <w:lang w:val="en-US" w:eastAsia="zh-CN"/>
                    </w:rPr>
                  </w:pPr>
                </w:p>
              </w:tc>
              <w:tc>
                <w:tcPr>
                  <w:tcW w:w="714" w:type="pct"/>
                  <w:tcBorders>
                    <w:tl2br w:val="nil"/>
                    <w:tr2bl w:val="nil"/>
                  </w:tcBorders>
                  <w:noWrap w:val="0"/>
                  <w:vAlign w:val="center"/>
                </w:tcPr>
                <w:p w14:paraId="01E5666B">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氮氧化物</w:t>
                  </w:r>
                </w:p>
              </w:tc>
              <w:tc>
                <w:tcPr>
                  <w:tcW w:w="846" w:type="dxa"/>
                  <w:tcBorders>
                    <w:tl2br w:val="nil"/>
                    <w:tr2bl w:val="nil"/>
                  </w:tcBorders>
                  <w:noWrap w:val="0"/>
                  <w:vAlign w:val="center"/>
                </w:tcPr>
                <w:p w14:paraId="10D3F24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935</w:t>
                  </w:r>
                </w:p>
              </w:tc>
              <w:tc>
                <w:tcPr>
                  <w:tcW w:w="858" w:type="dxa"/>
                  <w:tcBorders>
                    <w:tl2br w:val="nil"/>
                    <w:tr2bl w:val="nil"/>
                  </w:tcBorders>
                  <w:noWrap w:val="0"/>
                  <w:vAlign w:val="center"/>
                </w:tcPr>
                <w:p w14:paraId="4CDB0DE1">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p>
              </w:tc>
              <w:tc>
                <w:tcPr>
                  <w:tcW w:w="921" w:type="dxa"/>
                  <w:tcBorders>
                    <w:tl2br w:val="nil"/>
                    <w:tr2bl w:val="nil"/>
                  </w:tcBorders>
                  <w:noWrap w:val="0"/>
                  <w:vAlign w:val="center"/>
                </w:tcPr>
                <w:p w14:paraId="36FC47A4">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137.5</w:t>
                  </w:r>
                </w:p>
              </w:tc>
              <w:tc>
                <w:tcPr>
                  <w:tcW w:w="870" w:type="dxa"/>
                  <w:tcBorders>
                    <w:tl2br w:val="nil"/>
                    <w:tr2bl w:val="nil"/>
                  </w:tcBorders>
                  <w:shd w:val="clear" w:color="auto" w:fill="auto"/>
                  <w:noWrap w:val="0"/>
                  <w:vAlign w:val="center"/>
                </w:tcPr>
                <w:p w14:paraId="69E3EF8E">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0.0468</w:t>
                  </w:r>
                </w:p>
              </w:tc>
              <w:tc>
                <w:tcPr>
                  <w:tcW w:w="863" w:type="dxa"/>
                  <w:tcBorders>
                    <w:tl2br w:val="nil"/>
                    <w:tr2bl w:val="nil"/>
                  </w:tcBorders>
                  <w:noWrap w:val="0"/>
                  <w:vAlign w:val="center"/>
                </w:tcPr>
                <w:p w14:paraId="6E68EE7B">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0.0195</w:t>
                  </w:r>
                </w:p>
              </w:tc>
              <w:tc>
                <w:tcPr>
                  <w:tcW w:w="751" w:type="dxa"/>
                  <w:tcBorders>
                    <w:tl2br w:val="nil"/>
                    <w:tr2bl w:val="nil"/>
                  </w:tcBorders>
                  <w:noWrap w:val="0"/>
                  <w:vAlign w:val="center"/>
                </w:tcPr>
                <w:p w14:paraId="1C51EEA2">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68.82</w:t>
                  </w:r>
                </w:p>
              </w:tc>
            </w:tr>
          </w:tbl>
          <w:p w14:paraId="0FC29F0D">
            <w:pPr>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本项目热风炉燃烧过程产生的废气通过低氮燃烧器处理后通过15m高的烟囱排放，颗粒物、二氧化硫、氮氧化物排放浓度满足《</w:t>
            </w:r>
            <w:r>
              <w:rPr>
                <w:rFonts w:hint="default" w:ascii="Times New Roman" w:hAnsi="Times New Roman" w:eastAsia="宋体" w:cs="Times New Roman"/>
                <w:color w:val="auto"/>
                <w:sz w:val="24"/>
                <w:szCs w:val="24"/>
                <w:highlight w:val="none"/>
                <w:lang w:val="en-US" w:eastAsia="zh-CN"/>
              </w:rPr>
              <w:t>新疆维吾尔自治区工业窑炉大气污染物综合治理实施方案》（新大气发〔2019〕127号）相关要求。</w:t>
            </w:r>
          </w:p>
          <w:p w14:paraId="2846A706">
            <w:pPr>
              <w:pStyle w:val="22"/>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2" w:firstLineChars="200"/>
              <w:textAlignment w:val="baseline"/>
              <w:rPr>
                <w:rFonts w:hint="default" w:ascii="Times New Roman" w:hAnsi="Times New Roman" w:eastAsia="宋体" w:cs="Times New Roman"/>
                <w:b/>
                <w:bCs/>
                <w:i w:val="0"/>
                <w:iCs w:val="0"/>
                <w:color w:val="auto"/>
                <w:sz w:val="24"/>
                <w:szCs w:val="24"/>
                <w:highlight w:val="none"/>
                <w:lang w:val="en-US" w:eastAsia="zh-CN"/>
              </w:rPr>
            </w:pPr>
            <w:r>
              <w:rPr>
                <w:rFonts w:hint="default" w:ascii="Times New Roman" w:hAnsi="Times New Roman" w:eastAsia="宋体" w:cs="Times New Roman"/>
                <w:b/>
                <w:bCs/>
                <w:i w:val="0"/>
                <w:iCs w:val="0"/>
                <w:color w:val="auto"/>
                <w:sz w:val="24"/>
                <w:szCs w:val="24"/>
                <w:highlight w:val="none"/>
                <w:lang w:val="en-US" w:eastAsia="zh-CN"/>
              </w:rPr>
              <w:t>3.刷漆、涂粉工序废气</w:t>
            </w:r>
          </w:p>
          <w:p w14:paraId="70C53B59">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80" w:firstLineChars="200"/>
              <w:textAlignment w:val="baseline"/>
              <w:rPr>
                <w:rFonts w:hint="default" w:ascii="Times New Roman" w:hAnsi="Times New Roman" w:cs="Times New Roman" w:eastAsiaTheme="minorEastAsia"/>
                <w:color w:val="auto"/>
                <w:kern w:val="0"/>
                <w:sz w:val="24"/>
                <w:szCs w:val="24"/>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rPr>
              <w:t>本项目刷漆、涂粉工序使用的原料为油漆、水性漆、塑粉。</w:t>
            </w:r>
          </w:p>
          <w:p w14:paraId="3863E6D3">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afterLines="0" w:line="360" w:lineRule="auto"/>
              <w:ind w:firstLine="480" w:firstLineChars="200"/>
              <w:textAlignment w:val="baseline"/>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本项目水性漆产污系数参考《排放源统计调查产排污核算方法和系数手册》“</w:t>
            </w:r>
            <w:r>
              <w:rPr>
                <w:rFonts w:hint="default" w:ascii="Times New Roman" w:hAnsi="Times New Roman" w:eastAsia="宋体" w:cs="Times New Roman"/>
                <w:color w:val="auto"/>
                <w:kern w:val="0"/>
                <w:sz w:val="24"/>
                <w:szCs w:val="24"/>
                <w:highlight w:val="none"/>
                <w:lang w:val="en-US" w:eastAsia="zh-CN" w:bidi="ar"/>
              </w:rPr>
              <w:t>33-37，431-434机械行业系数手册</w:t>
            </w:r>
            <w:r>
              <w:rPr>
                <w:rFonts w:hint="default" w:ascii="Times New Roman" w:hAnsi="Times New Roman" w:eastAsia="宋体" w:cs="Times New Roman"/>
                <w:b w:val="0"/>
                <w:bCs/>
                <w:color w:val="auto"/>
                <w:sz w:val="24"/>
                <w:szCs w:val="24"/>
                <w:highlight w:val="none"/>
                <w:lang w:val="en-US" w:eastAsia="zh-CN"/>
              </w:rPr>
              <w:t>中14涂装”：喷漆（水性漆），挥发性有机物产污系数135kg/t（原料）。油性漆产污系数参考“</w:t>
            </w:r>
            <w:r>
              <w:rPr>
                <w:rFonts w:hint="default" w:ascii="Times New Roman" w:hAnsi="Times New Roman" w:eastAsia="宋体" w:cs="Times New Roman"/>
                <w:color w:val="auto"/>
                <w:kern w:val="0"/>
                <w:sz w:val="24"/>
                <w:szCs w:val="24"/>
                <w:highlight w:val="none"/>
                <w:lang w:val="en-US" w:eastAsia="zh-CN" w:bidi="ar"/>
              </w:rPr>
              <w:t>33-37，431-434机械行业系数手册</w:t>
            </w:r>
            <w:r>
              <w:rPr>
                <w:rFonts w:hint="default" w:ascii="Times New Roman" w:hAnsi="Times New Roman" w:eastAsia="宋体" w:cs="Times New Roman"/>
                <w:b w:val="0"/>
                <w:bCs/>
                <w:color w:val="auto"/>
                <w:sz w:val="24"/>
                <w:szCs w:val="24"/>
                <w:highlight w:val="none"/>
                <w:lang w:val="en-US" w:eastAsia="zh-CN"/>
              </w:rPr>
              <w:t>中14涂装”：喷漆（油性漆），挥发性有机物产污系数486kg/t（原料）。塑粉工序产污系数参考“2</w:t>
            </w:r>
            <w:r>
              <w:rPr>
                <w:rFonts w:hint="default" w:ascii="Times New Roman" w:hAnsi="Times New Roman" w:eastAsia="宋体" w:cs="Times New Roman"/>
                <w:color w:val="auto"/>
                <w:kern w:val="0"/>
                <w:sz w:val="24"/>
                <w:szCs w:val="24"/>
                <w:highlight w:val="none"/>
                <w:lang w:val="en-US" w:eastAsia="zh-CN" w:bidi="ar"/>
              </w:rPr>
              <w:t>33-37，431-434机械行业系数手册</w:t>
            </w:r>
            <w:r>
              <w:rPr>
                <w:rFonts w:hint="default" w:ascii="Times New Roman" w:hAnsi="Times New Roman" w:eastAsia="宋体" w:cs="Times New Roman"/>
                <w:b w:val="0"/>
                <w:bCs/>
                <w:color w:val="auto"/>
                <w:sz w:val="24"/>
                <w:szCs w:val="24"/>
                <w:highlight w:val="none"/>
                <w:lang w:val="en-US" w:eastAsia="zh-CN"/>
              </w:rPr>
              <w:t>中14涂装”喷塑后烘干，挥发性有机物产污系数1.2kg/t（原料）；具体产污系数见表4-5。</w:t>
            </w:r>
          </w:p>
          <w:p w14:paraId="6D9022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表4-5  刷漆涂粉工序产污系数一览表</w:t>
            </w:r>
          </w:p>
          <w:tbl>
            <w:tblPr>
              <w:tblStyle w:val="30"/>
              <w:tblpPr w:leftFromText="180" w:rightFromText="180" w:vertAnchor="text" w:horzAnchor="page" w:tblpX="104" w:tblpY="255"/>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681"/>
              <w:gridCol w:w="1333"/>
              <w:gridCol w:w="871"/>
              <w:gridCol w:w="674"/>
              <w:gridCol w:w="843"/>
              <w:gridCol w:w="843"/>
              <w:gridCol w:w="949"/>
              <w:gridCol w:w="845"/>
              <w:gridCol w:w="845"/>
            </w:tblGrid>
            <w:tr w14:paraId="3A2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77" w:type="pct"/>
                  <w:vAlign w:val="center"/>
                </w:tcPr>
                <w:p w14:paraId="01CAB87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both"/>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工段名称</w:t>
                  </w:r>
                </w:p>
              </w:tc>
              <w:tc>
                <w:tcPr>
                  <w:tcW w:w="399" w:type="pct"/>
                  <w:vAlign w:val="center"/>
                </w:tcPr>
                <w:p w14:paraId="429D515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产品名称</w:t>
                  </w:r>
                </w:p>
              </w:tc>
              <w:tc>
                <w:tcPr>
                  <w:tcW w:w="781" w:type="pct"/>
                  <w:vAlign w:val="center"/>
                </w:tcPr>
                <w:p w14:paraId="437E646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原料名称</w:t>
                  </w:r>
                </w:p>
              </w:tc>
              <w:tc>
                <w:tcPr>
                  <w:tcW w:w="510" w:type="pct"/>
                  <w:vAlign w:val="center"/>
                </w:tcPr>
                <w:p w14:paraId="192302C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工艺名称</w:t>
                  </w:r>
                </w:p>
              </w:tc>
              <w:tc>
                <w:tcPr>
                  <w:tcW w:w="395" w:type="pct"/>
                  <w:vAlign w:val="center"/>
                </w:tcPr>
                <w:p w14:paraId="7C30280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规模等级</w:t>
                  </w:r>
                </w:p>
              </w:tc>
              <w:tc>
                <w:tcPr>
                  <w:tcW w:w="494" w:type="pct"/>
                  <w:vAlign w:val="center"/>
                </w:tcPr>
                <w:p w14:paraId="2D3D99D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污染物指标</w:t>
                  </w:r>
                </w:p>
              </w:tc>
              <w:tc>
                <w:tcPr>
                  <w:tcW w:w="494" w:type="pct"/>
                  <w:vAlign w:val="center"/>
                </w:tcPr>
                <w:p w14:paraId="1A28505B">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系数单位</w:t>
                  </w:r>
                </w:p>
              </w:tc>
              <w:tc>
                <w:tcPr>
                  <w:tcW w:w="556" w:type="pct"/>
                  <w:vAlign w:val="center"/>
                </w:tcPr>
                <w:p w14:paraId="267B7FB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产污系数</w:t>
                  </w:r>
                </w:p>
              </w:tc>
              <w:tc>
                <w:tcPr>
                  <w:tcW w:w="495" w:type="pct"/>
                  <w:vAlign w:val="center"/>
                </w:tcPr>
                <w:p w14:paraId="3A44610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2"/>
                      <w:sz w:val="21"/>
                      <w:szCs w:val="21"/>
                      <w:highlight w:val="none"/>
                      <w:lang w:val="en-US" w:eastAsia="zh-CN" w:bidi="ar"/>
                    </w:rPr>
                    <w:t>末端治理技术</w:t>
                  </w:r>
                </w:p>
              </w:tc>
              <w:tc>
                <w:tcPr>
                  <w:tcW w:w="495" w:type="pct"/>
                  <w:vAlign w:val="center"/>
                </w:tcPr>
                <w:p w14:paraId="2B164C7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去除效率</w:t>
                  </w:r>
                </w:p>
              </w:tc>
            </w:tr>
            <w:tr w14:paraId="29A2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377" w:type="pct"/>
                  <w:vMerge w:val="restart"/>
                  <w:tcBorders>
                    <w:tl2br w:val="nil"/>
                    <w:tr2bl w:val="nil"/>
                  </w:tcBorders>
                  <w:vAlign w:val="center"/>
                </w:tcPr>
                <w:p w14:paraId="3B5530BD">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涂装</w:t>
                  </w:r>
                </w:p>
              </w:tc>
              <w:tc>
                <w:tcPr>
                  <w:tcW w:w="399" w:type="pct"/>
                  <w:vMerge w:val="restart"/>
                  <w:tcBorders>
                    <w:tl2br w:val="nil"/>
                    <w:tr2bl w:val="nil"/>
                  </w:tcBorders>
                  <w:vAlign w:val="center"/>
                </w:tcPr>
                <w:p w14:paraId="05C8A1A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涂装件</w:t>
                  </w:r>
                </w:p>
              </w:tc>
              <w:tc>
                <w:tcPr>
                  <w:tcW w:w="781" w:type="pct"/>
                  <w:vMerge w:val="restart"/>
                  <w:tcBorders>
                    <w:tl2br w:val="nil"/>
                    <w:tr2bl w:val="nil"/>
                  </w:tcBorders>
                  <w:vAlign w:val="center"/>
                </w:tcPr>
                <w:p w14:paraId="47EA787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底漆、中涂漆、面漆、罩光漆、彩条漆、稀释剂</w:t>
                  </w:r>
                </w:p>
              </w:tc>
              <w:tc>
                <w:tcPr>
                  <w:tcW w:w="510" w:type="pct"/>
                  <w:tcBorders>
                    <w:tl2br w:val="nil"/>
                    <w:tr2bl w:val="nil"/>
                  </w:tcBorders>
                  <w:vAlign w:val="center"/>
                </w:tcPr>
                <w:p w14:paraId="41FB413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喷漆（水性漆）</w:t>
                  </w:r>
                </w:p>
              </w:tc>
              <w:tc>
                <w:tcPr>
                  <w:tcW w:w="395" w:type="pct"/>
                  <w:tcBorders>
                    <w:tl2br w:val="nil"/>
                    <w:tr2bl w:val="nil"/>
                  </w:tcBorders>
                  <w:vAlign w:val="center"/>
                </w:tcPr>
                <w:p w14:paraId="05B9A5C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vAlign w:val="center"/>
                </w:tcPr>
                <w:p w14:paraId="3852C9E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挥发性有机物</w:t>
                  </w:r>
                </w:p>
              </w:tc>
              <w:tc>
                <w:tcPr>
                  <w:tcW w:w="494" w:type="pct"/>
                  <w:tcBorders>
                    <w:tl2br w:val="nil"/>
                    <w:tr2bl w:val="nil"/>
                  </w:tcBorders>
                  <w:vAlign w:val="center"/>
                </w:tcPr>
                <w:p w14:paraId="0207061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千克</w:t>
                  </w:r>
                  <w:r>
                    <w:rPr>
                      <w:rFonts w:hint="default" w:ascii="Times New Roman" w:hAnsi="Times New Roman" w:eastAsia="宋体" w:cs="Times New Roman"/>
                      <w:color w:val="auto"/>
                      <w:sz w:val="21"/>
                      <w:szCs w:val="21"/>
                      <w:highlight w:val="none"/>
                      <w:vertAlign w:val="baseline"/>
                      <w:lang w:val="en-US" w:eastAsia="zh-CN"/>
                    </w:rPr>
                    <w:t>/吨-原料</w:t>
                  </w:r>
                </w:p>
              </w:tc>
              <w:tc>
                <w:tcPr>
                  <w:tcW w:w="556" w:type="pct"/>
                  <w:tcBorders>
                    <w:tl2br w:val="nil"/>
                    <w:tr2bl w:val="nil"/>
                  </w:tcBorders>
                  <w:vAlign w:val="center"/>
                </w:tcPr>
                <w:p w14:paraId="7EE14D3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135</w:t>
                  </w:r>
                </w:p>
              </w:tc>
              <w:tc>
                <w:tcPr>
                  <w:tcW w:w="495" w:type="pct"/>
                  <w:tcBorders>
                    <w:tl2br w:val="nil"/>
                    <w:tr2bl w:val="nil"/>
                  </w:tcBorders>
                  <w:vAlign w:val="center"/>
                </w:tcPr>
                <w:p w14:paraId="28C3643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吸附/催化燃烧法</w:t>
                  </w:r>
                </w:p>
              </w:tc>
              <w:tc>
                <w:tcPr>
                  <w:tcW w:w="495" w:type="pct"/>
                  <w:tcBorders>
                    <w:tl2br w:val="nil"/>
                    <w:tr2bl w:val="nil"/>
                  </w:tcBorders>
                  <w:vAlign w:val="center"/>
                </w:tcPr>
                <w:p w14:paraId="318D68CA">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77%</w:t>
                  </w:r>
                </w:p>
              </w:tc>
            </w:tr>
            <w:tr w14:paraId="40B2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77" w:type="pct"/>
                  <w:vMerge w:val="continue"/>
                  <w:tcBorders>
                    <w:tl2br w:val="nil"/>
                    <w:tr2bl w:val="nil"/>
                  </w:tcBorders>
                  <w:vAlign w:val="center"/>
                </w:tcPr>
                <w:p w14:paraId="00502FA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399" w:type="pct"/>
                  <w:vMerge w:val="continue"/>
                  <w:tcBorders>
                    <w:tl2br w:val="nil"/>
                    <w:tr2bl w:val="nil"/>
                  </w:tcBorders>
                  <w:vAlign w:val="center"/>
                </w:tcPr>
                <w:p w14:paraId="5B6358A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781" w:type="pct"/>
                  <w:vMerge w:val="continue"/>
                  <w:tcBorders>
                    <w:tl2br w:val="nil"/>
                    <w:tr2bl w:val="nil"/>
                  </w:tcBorders>
                  <w:vAlign w:val="center"/>
                </w:tcPr>
                <w:p w14:paraId="796AA74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510" w:type="pct"/>
                  <w:tcBorders>
                    <w:tl2br w:val="nil"/>
                    <w:tr2bl w:val="nil"/>
                  </w:tcBorders>
                  <w:vAlign w:val="center"/>
                </w:tcPr>
                <w:p w14:paraId="2639C224">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both"/>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喷漆（</w:t>
                  </w:r>
                  <w:r>
                    <w:rPr>
                      <w:rFonts w:hint="eastAsia" w:ascii="Times New Roman" w:hAnsi="Times New Roman" w:eastAsia="宋体" w:cs="Times New Roman"/>
                      <w:color w:val="auto"/>
                      <w:sz w:val="21"/>
                      <w:szCs w:val="21"/>
                      <w:highlight w:val="none"/>
                      <w:vertAlign w:val="baseline"/>
                      <w:lang w:val="en-US" w:eastAsia="zh-CN"/>
                    </w:rPr>
                    <w:t>油</w:t>
                  </w:r>
                  <w:r>
                    <w:rPr>
                      <w:rFonts w:hint="default" w:ascii="Times New Roman" w:hAnsi="Times New Roman" w:eastAsia="宋体" w:cs="Times New Roman"/>
                      <w:color w:val="auto"/>
                      <w:sz w:val="21"/>
                      <w:szCs w:val="21"/>
                      <w:highlight w:val="none"/>
                      <w:vertAlign w:val="baseline"/>
                      <w:lang w:val="en-US" w:eastAsia="zh-CN"/>
                    </w:rPr>
                    <w:t>性漆）</w:t>
                  </w:r>
                </w:p>
              </w:tc>
              <w:tc>
                <w:tcPr>
                  <w:tcW w:w="395" w:type="pct"/>
                  <w:tcBorders>
                    <w:tl2br w:val="nil"/>
                    <w:tr2bl w:val="nil"/>
                  </w:tcBorders>
                  <w:vAlign w:val="center"/>
                </w:tcPr>
                <w:p w14:paraId="447EF10B">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vAlign w:val="center"/>
                </w:tcPr>
                <w:p w14:paraId="1BB3D0C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挥发性有机物</w:t>
                  </w:r>
                </w:p>
              </w:tc>
              <w:tc>
                <w:tcPr>
                  <w:tcW w:w="494" w:type="pct"/>
                  <w:tcBorders>
                    <w:tl2br w:val="nil"/>
                    <w:tr2bl w:val="nil"/>
                  </w:tcBorders>
                  <w:vAlign w:val="center"/>
                </w:tcPr>
                <w:p w14:paraId="4B2A1E7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千克</w:t>
                  </w:r>
                  <w:r>
                    <w:rPr>
                      <w:rFonts w:hint="default" w:ascii="Times New Roman" w:hAnsi="Times New Roman" w:eastAsia="宋体" w:cs="Times New Roman"/>
                      <w:color w:val="auto"/>
                      <w:sz w:val="21"/>
                      <w:szCs w:val="21"/>
                      <w:highlight w:val="none"/>
                      <w:vertAlign w:val="baseline"/>
                      <w:lang w:val="en-US" w:eastAsia="zh-CN"/>
                    </w:rPr>
                    <w:t>/吨-原料</w:t>
                  </w:r>
                </w:p>
              </w:tc>
              <w:tc>
                <w:tcPr>
                  <w:tcW w:w="556" w:type="pct"/>
                  <w:tcBorders>
                    <w:tl2br w:val="nil"/>
                    <w:tr2bl w:val="nil"/>
                  </w:tcBorders>
                  <w:vAlign w:val="center"/>
                </w:tcPr>
                <w:p w14:paraId="0EC7F01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486</w:t>
                  </w:r>
                </w:p>
              </w:tc>
              <w:tc>
                <w:tcPr>
                  <w:tcW w:w="495" w:type="pct"/>
                  <w:tcBorders>
                    <w:tl2br w:val="nil"/>
                    <w:tr2bl w:val="nil"/>
                  </w:tcBorders>
                  <w:vAlign w:val="center"/>
                </w:tcPr>
                <w:p w14:paraId="5E2111FB">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吸附/催化燃烧法</w:t>
                  </w:r>
                </w:p>
              </w:tc>
              <w:tc>
                <w:tcPr>
                  <w:tcW w:w="495" w:type="pct"/>
                  <w:tcBorders>
                    <w:tl2br w:val="nil"/>
                    <w:tr2bl w:val="nil"/>
                  </w:tcBorders>
                  <w:vAlign w:val="center"/>
                </w:tcPr>
                <w:p w14:paraId="1767C77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77%</w:t>
                  </w:r>
                </w:p>
              </w:tc>
            </w:tr>
            <w:tr w14:paraId="22A4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377" w:type="pct"/>
                  <w:vMerge w:val="continue"/>
                  <w:tcBorders>
                    <w:tl2br w:val="nil"/>
                    <w:tr2bl w:val="nil"/>
                  </w:tcBorders>
                  <w:vAlign w:val="center"/>
                </w:tcPr>
                <w:p w14:paraId="3B74166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399" w:type="pct"/>
                  <w:vMerge w:val="continue"/>
                  <w:tcBorders>
                    <w:tl2br w:val="nil"/>
                    <w:tr2bl w:val="nil"/>
                  </w:tcBorders>
                  <w:vAlign w:val="center"/>
                </w:tcPr>
                <w:p w14:paraId="1E73AE6D">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781" w:type="pct"/>
                  <w:vMerge w:val="continue"/>
                  <w:tcBorders>
                    <w:tl2br w:val="nil"/>
                    <w:tr2bl w:val="nil"/>
                  </w:tcBorders>
                  <w:vAlign w:val="center"/>
                </w:tcPr>
                <w:p w14:paraId="41C96AC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510" w:type="pct"/>
                  <w:tcBorders>
                    <w:tl2br w:val="nil"/>
                    <w:tr2bl w:val="nil"/>
                  </w:tcBorders>
                  <w:vAlign w:val="center"/>
                </w:tcPr>
                <w:p w14:paraId="3CB5D5C7">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喷塑后烘干</w:t>
                  </w:r>
                </w:p>
              </w:tc>
              <w:tc>
                <w:tcPr>
                  <w:tcW w:w="395" w:type="pct"/>
                  <w:tcBorders>
                    <w:tl2br w:val="nil"/>
                    <w:tr2bl w:val="nil"/>
                  </w:tcBorders>
                  <w:vAlign w:val="center"/>
                </w:tcPr>
                <w:p w14:paraId="4EDC84A8">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所有规模</w:t>
                  </w:r>
                </w:p>
              </w:tc>
              <w:tc>
                <w:tcPr>
                  <w:tcW w:w="494" w:type="pct"/>
                  <w:tcBorders>
                    <w:tl2br w:val="nil"/>
                    <w:tr2bl w:val="nil"/>
                  </w:tcBorders>
                  <w:shd w:val="clear" w:color="auto" w:fill="auto"/>
                  <w:vAlign w:val="center"/>
                </w:tcPr>
                <w:p w14:paraId="0EC63D0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挥发性有机物</w:t>
                  </w:r>
                </w:p>
              </w:tc>
              <w:tc>
                <w:tcPr>
                  <w:tcW w:w="494" w:type="pct"/>
                  <w:tcBorders>
                    <w:tl2br w:val="nil"/>
                    <w:tr2bl w:val="nil"/>
                  </w:tcBorders>
                  <w:shd w:val="clear" w:color="auto" w:fill="auto"/>
                  <w:vAlign w:val="center"/>
                </w:tcPr>
                <w:p w14:paraId="7837B6B5">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千克</w:t>
                  </w:r>
                  <w:r>
                    <w:rPr>
                      <w:rFonts w:hint="default" w:ascii="Times New Roman" w:hAnsi="Times New Roman" w:eastAsia="宋体" w:cs="Times New Roman"/>
                      <w:color w:val="auto"/>
                      <w:sz w:val="21"/>
                      <w:szCs w:val="21"/>
                      <w:highlight w:val="none"/>
                      <w:vertAlign w:val="baseline"/>
                      <w:lang w:val="en-US" w:eastAsia="zh-CN"/>
                    </w:rPr>
                    <w:t>/吨-原料</w:t>
                  </w:r>
                </w:p>
              </w:tc>
              <w:tc>
                <w:tcPr>
                  <w:tcW w:w="556" w:type="pct"/>
                  <w:tcBorders>
                    <w:tl2br w:val="nil"/>
                    <w:tr2bl w:val="nil"/>
                  </w:tcBorders>
                  <w:vAlign w:val="center"/>
                </w:tcPr>
                <w:p w14:paraId="4B82F6B3">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1.2</w:t>
                  </w:r>
                </w:p>
              </w:tc>
              <w:tc>
                <w:tcPr>
                  <w:tcW w:w="495" w:type="pct"/>
                  <w:tcBorders>
                    <w:tl2br w:val="nil"/>
                    <w:tr2bl w:val="nil"/>
                  </w:tcBorders>
                  <w:vAlign w:val="center"/>
                </w:tcPr>
                <w:p w14:paraId="289AB00F">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吸附/催化燃烧法</w:t>
                  </w:r>
                </w:p>
              </w:tc>
              <w:tc>
                <w:tcPr>
                  <w:tcW w:w="495" w:type="pct"/>
                  <w:tcBorders>
                    <w:tl2br w:val="nil"/>
                    <w:tr2bl w:val="nil"/>
                  </w:tcBorders>
                  <w:vAlign w:val="center"/>
                </w:tcPr>
                <w:p w14:paraId="1A563F8E">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77%</w:t>
                  </w:r>
                </w:p>
              </w:tc>
            </w:tr>
          </w:tbl>
          <w:p w14:paraId="3A89C3AB">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80" w:firstLineChars="200"/>
              <w:textAlignment w:val="baseline"/>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rPr>
              <w:t>由于</w:t>
            </w:r>
            <w:r>
              <w:rPr>
                <w:rFonts w:hint="default" w:ascii="Times New Roman" w:hAnsi="Times New Roman" w:eastAsia="宋体" w:cs="Times New Roman"/>
                <w:b w:val="0"/>
                <w:bCs/>
                <w:color w:val="auto"/>
                <w:sz w:val="24"/>
                <w:szCs w:val="24"/>
                <w:highlight w:val="none"/>
                <w:lang w:val="en-US" w:eastAsia="zh-CN"/>
              </w:rPr>
              <w:t>油</w:t>
            </w:r>
            <w:r>
              <w:rPr>
                <w:rFonts w:hint="default" w:ascii="Times New Roman" w:hAnsi="Times New Roman" w:eastAsia="宋体" w:cs="Times New Roman"/>
                <w:b w:val="0"/>
                <w:bCs/>
                <w:color w:val="auto"/>
                <w:sz w:val="24"/>
                <w:szCs w:val="24"/>
                <w:highlight w:val="none"/>
              </w:rPr>
              <w:t>漆含有二甲苯等有机溶剂，</w:t>
            </w:r>
            <w:r>
              <w:rPr>
                <w:rFonts w:hint="default" w:ascii="Times New Roman" w:hAnsi="Times New Roman" w:eastAsia="宋体" w:cs="Times New Roman"/>
                <w:b w:val="0"/>
                <w:bCs/>
                <w:color w:val="auto"/>
                <w:sz w:val="24"/>
                <w:szCs w:val="24"/>
                <w:highlight w:val="none"/>
                <w:lang w:val="en-US" w:eastAsia="zh-CN"/>
              </w:rPr>
              <w:t>本项目刷漆、涂粉工序是在加热到280℃的高温管件上刷漆涂粉，</w:t>
            </w:r>
            <w:r>
              <w:rPr>
                <w:rFonts w:hint="default" w:ascii="Times New Roman" w:hAnsi="Times New Roman" w:eastAsia="宋体" w:cs="Times New Roman"/>
                <w:b w:val="0"/>
                <w:bCs/>
                <w:color w:val="auto"/>
                <w:sz w:val="24"/>
                <w:szCs w:val="24"/>
                <w:highlight w:val="none"/>
              </w:rPr>
              <w:t>在</w:t>
            </w:r>
            <w:r>
              <w:rPr>
                <w:rFonts w:hint="default" w:ascii="Times New Roman" w:hAnsi="Times New Roman" w:eastAsia="宋体" w:cs="Times New Roman"/>
                <w:b w:val="0"/>
                <w:bCs/>
                <w:color w:val="auto"/>
                <w:sz w:val="24"/>
                <w:szCs w:val="24"/>
                <w:highlight w:val="none"/>
                <w:lang w:val="en-US" w:eastAsia="zh-CN"/>
              </w:rPr>
              <w:t>刷漆、涂粉</w:t>
            </w:r>
            <w:r>
              <w:rPr>
                <w:rFonts w:hint="default" w:ascii="Times New Roman" w:hAnsi="Times New Roman" w:eastAsia="宋体" w:cs="Times New Roman"/>
                <w:b w:val="0"/>
                <w:bCs/>
                <w:color w:val="auto"/>
                <w:sz w:val="24"/>
                <w:szCs w:val="24"/>
                <w:highlight w:val="none"/>
              </w:rPr>
              <w:t>工序中，特别是在高温作用下，溶剂基本全部蒸发，从而产生挥发有机废气，主要污染物以二甲苯、总VOCs为表征。根据</w:t>
            </w:r>
            <w:r>
              <w:rPr>
                <w:rFonts w:hint="default" w:ascii="Times New Roman" w:hAnsi="Times New Roman" w:eastAsia="宋体" w:cs="Times New Roman"/>
                <w:b w:val="0"/>
                <w:bCs/>
                <w:color w:val="auto"/>
                <w:sz w:val="24"/>
                <w:szCs w:val="24"/>
                <w:highlight w:val="none"/>
                <w:lang w:val="en-US" w:eastAsia="zh-CN"/>
              </w:rPr>
              <w:t>第二章节</w:t>
            </w:r>
            <w:r>
              <w:rPr>
                <w:rFonts w:hint="default" w:ascii="Times New Roman" w:hAnsi="Times New Roman" w:eastAsia="宋体" w:cs="Times New Roman"/>
                <w:b w:val="0"/>
                <w:bCs/>
                <w:color w:val="auto"/>
                <w:sz w:val="24"/>
                <w:szCs w:val="24"/>
                <w:highlight w:val="none"/>
              </w:rPr>
              <w:t>油漆组分表</w:t>
            </w:r>
            <w:r>
              <w:rPr>
                <w:rFonts w:hint="eastAsia" w:ascii="Times New Roman" w:hAnsi="Times New Roman" w:eastAsia="宋体" w:cs="Times New Roman"/>
                <w:b w:val="0"/>
                <w:bCs/>
                <w:color w:val="auto"/>
                <w:sz w:val="24"/>
                <w:szCs w:val="24"/>
                <w:highlight w:val="none"/>
                <w:lang w:eastAsia="zh-CN"/>
              </w:rPr>
              <w:t>，</w:t>
            </w:r>
            <w:r>
              <w:rPr>
                <w:rFonts w:hint="eastAsia" w:ascii="Times New Roman" w:hAnsi="Times New Roman" w:eastAsia="宋体" w:cs="Times New Roman"/>
                <w:b w:val="0"/>
                <w:bCs/>
                <w:color w:val="auto"/>
                <w:sz w:val="24"/>
                <w:szCs w:val="24"/>
                <w:highlight w:val="none"/>
                <w:lang w:val="en-US" w:eastAsia="zh-CN"/>
              </w:rPr>
              <w:t>本项目使用油漆主要成分为环氧树脂及二甲苯，故仅</w:t>
            </w:r>
            <w:r>
              <w:rPr>
                <w:rFonts w:hint="default" w:ascii="Times New Roman" w:hAnsi="Times New Roman" w:eastAsia="宋体" w:cs="Times New Roman"/>
                <w:b w:val="0"/>
                <w:bCs/>
                <w:color w:val="auto"/>
                <w:sz w:val="24"/>
                <w:szCs w:val="24"/>
                <w:highlight w:val="none"/>
                <w:lang w:val="en-US" w:eastAsia="zh-CN"/>
              </w:rPr>
              <w:t>核算</w:t>
            </w:r>
            <w:r>
              <w:rPr>
                <w:rFonts w:hint="default" w:ascii="Times New Roman" w:hAnsi="Times New Roman" w:eastAsia="宋体" w:cs="Times New Roman"/>
                <w:b w:val="0"/>
                <w:bCs/>
                <w:color w:val="auto"/>
                <w:sz w:val="24"/>
                <w:szCs w:val="24"/>
                <w:highlight w:val="none"/>
              </w:rPr>
              <w:t>二甲苯</w:t>
            </w:r>
            <w:r>
              <w:rPr>
                <w:rFonts w:hint="default" w:ascii="Times New Roman" w:hAnsi="Times New Roman" w:eastAsia="宋体" w:cs="Times New Roman"/>
                <w:b w:val="0"/>
                <w:bCs/>
                <w:color w:val="auto"/>
                <w:sz w:val="24"/>
                <w:szCs w:val="24"/>
                <w:highlight w:val="none"/>
                <w:lang w:val="en-US" w:eastAsia="zh-CN"/>
              </w:rPr>
              <w:t>产生量，</w:t>
            </w:r>
            <w:r>
              <w:rPr>
                <w:rFonts w:hint="eastAsia" w:ascii="Times New Roman" w:hAnsi="Times New Roman" w:eastAsia="宋体" w:cs="Times New Roman"/>
                <w:b w:val="0"/>
                <w:bCs/>
                <w:color w:val="auto"/>
                <w:sz w:val="24"/>
                <w:szCs w:val="24"/>
                <w:highlight w:val="none"/>
                <w:lang w:val="en-US" w:eastAsia="zh-CN"/>
              </w:rPr>
              <w:t>油漆中二甲苯含量为10%，</w:t>
            </w:r>
            <w:r>
              <w:rPr>
                <w:rFonts w:hint="default" w:ascii="Times New Roman" w:hAnsi="Times New Roman" w:eastAsia="宋体" w:cs="Times New Roman"/>
                <w:b w:val="0"/>
                <w:bCs/>
                <w:color w:val="auto"/>
                <w:sz w:val="24"/>
                <w:szCs w:val="24"/>
                <w:highlight w:val="none"/>
              </w:rPr>
              <w:t>本项目油漆使用量</w:t>
            </w:r>
            <w:r>
              <w:rPr>
                <w:rFonts w:hint="eastAsia" w:ascii="Times New Roman" w:hAnsi="Times New Roman" w:eastAsia="宋体" w:cs="Times New Roman"/>
                <w:b w:val="0"/>
                <w:bCs/>
                <w:color w:val="auto"/>
                <w:sz w:val="24"/>
                <w:szCs w:val="24"/>
                <w:highlight w:val="none"/>
                <w:lang w:eastAsia="zh-CN"/>
              </w:rPr>
              <w:t>为</w:t>
            </w:r>
            <w:r>
              <w:rPr>
                <w:rFonts w:hint="default" w:ascii="Times New Roman" w:hAnsi="Times New Roman" w:eastAsia="宋体" w:cs="Times New Roman"/>
                <w:b w:val="0"/>
                <w:bCs/>
                <w:color w:val="auto"/>
                <w:sz w:val="24"/>
                <w:szCs w:val="24"/>
                <w:highlight w:val="none"/>
                <w:lang w:val="en-US" w:eastAsia="zh-CN"/>
              </w:rPr>
              <w:t>5.5</w:t>
            </w:r>
            <w:r>
              <w:rPr>
                <w:rFonts w:hint="default" w:ascii="Times New Roman" w:hAnsi="Times New Roman" w:eastAsia="宋体" w:cs="Times New Roman"/>
                <w:b w:val="0"/>
                <w:bCs/>
                <w:color w:val="auto"/>
                <w:sz w:val="24"/>
                <w:szCs w:val="24"/>
                <w:highlight w:val="none"/>
              </w:rPr>
              <w:t>t/a，</w:t>
            </w:r>
            <w:r>
              <w:rPr>
                <w:rFonts w:hint="eastAsia" w:ascii="Times New Roman" w:hAnsi="Times New Roman" w:eastAsia="宋体" w:cs="Times New Roman"/>
                <w:b w:val="0"/>
                <w:bCs/>
                <w:color w:val="auto"/>
                <w:sz w:val="24"/>
                <w:szCs w:val="24"/>
                <w:highlight w:val="none"/>
                <w:lang w:val="en-US" w:eastAsia="zh-CN"/>
              </w:rPr>
              <w:t>则</w:t>
            </w:r>
            <w:r>
              <w:rPr>
                <w:rFonts w:hint="default" w:ascii="Times New Roman" w:hAnsi="Times New Roman" w:eastAsia="宋体" w:cs="Times New Roman"/>
                <w:b w:val="0"/>
                <w:bCs/>
                <w:color w:val="auto"/>
                <w:sz w:val="24"/>
                <w:szCs w:val="24"/>
                <w:highlight w:val="none"/>
                <w:lang w:val="en-US" w:eastAsia="zh-CN"/>
              </w:rPr>
              <w:t>二甲苯产生量为</w:t>
            </w:r>
            <w:r>
              <w:rPr>
                <w:rFonts w:hint="eastAsia" w:ascii="Times New Roman" w:hAnsi="Times New Roman" w:eastAsia="宋体" w:cs="Times New Roman"/>
                <w:b w:val="0"/>
                <w:bCs/>
                <w:color w:val="auto"/>
                <w:sz w:val="24"/>
                <w:szCs w:val="24"/>
                <w:highlight w:val="none"/>
                <w:lang w:val="en-US" w:eastAsia="zh-CN"/>
              </w:rPr>
              <w:t>0.55</w:t>
            </w:r>
            <w:r>
              <w:rPr>
                <w:rFonts w:hint="default" w:ascii="Times New Roman" w:hAnsi="Times New Roman" w:eastAsia="宋体" w:cs="Times New Roman"/>
                <w:b w:val="0"/>
                <w:bCs/>
                <w:color w:val="auto"/>
                <w:sz w:val="24"/>
                <w:szCs w:val="24"/>
                <w:highlight w:val="none"/>
                <w:lang w:val="en-US" w:eastAsia="zh-CN"/>
              </w:rPr>
              <w:t>t/a</w:t>
            </w:r>
            <w:r>
              <w:rPr>
                <w:rFonts w:hint="eastAsia" w:ascii="Times New Roman" w:hAnsi="Times New Roman" w:eastAsia="宋体" w:cs="Times New Roman"/>
                <w:b w:val="0"/>
                <w:bCs/>
                <w:color w:val="auto"/>
                <w:sz w:val="24"/>
                <w:szCs w:val="24"/>
                <w:highlight w:val="none"/>
                <w:lang w:val="en-US" w:eastAsia="zh-CN"/>
              </w:rPr>
              <w:t>，非甲烷总烃产生量为2.673t/a。</w:t>
            </w:r>
            <w:r>
              <w:rPr>
                <w:rFonts w:hint="default" w:ascii="Times New Roman" w:hAnsi="Times New Roman" w:eastAsia="宋体" w:cs="Times New Roman"/>
                <w:b w:val="0"/>
                <w:bCs/>
                <w:color w:val="auto"/>
                <w:sz w:val="24"/>
                <w:szCs w:val="24"/>
                <w:highlight w:val="none"/>
                <w:lang w:val="en-US" w:eastAsia="zh-CN"/>
              </w:rPr>
              <w:t>本项目水性漆用量为3t/a，则非甲烷总烃产生量为0.405t/a。</w:t>
            </w:r>
            <w:r>
              <w:rPr>
                <w:rFonts w:hint="eastAsia" w:ascii="Times New Roman" w:hAnsi="Times New Roman" w:eastAsia="宋体" w:cs="Times New Roman"/>
                <w:b w:val="0"/>
                <w:bCs/>
                <w:color w:val="auto"/>
                <w:sz w:val="24"/>
                <w:szCs w:val="24"/>
                <w:highlight w:val="none"/>
                <w:lang w:val="en-US" w:eastAsia="zh-CN"/>
              </w:rPr>
              <w:t>塑粉用量为20</w:t>
            </w:r>
            <w:r>
              <w:rPr>
                <w:rFonts w:hint="default" w:ascii="Times New Roman" w:hAnsi="Times New Roman" w:eastAsia="宋体" w:cs="Times New Roman"/>
                <w:b w:val="0"/>
                <w:bCs/>
                <w:color w:val="auto"/>
                <w:sz w:val="24"/>
                <w:szCs w:val="24"/>
                <w:highlight w:val="none"/>
                <w:lang w:val="en-US" w:eastAsia="zh-CN"/>
              </w:rPr>
              <w:t>t/a；</w:t>
            </w:r>
            <w:r>
              <w:rPr>
                <w:rFonts w:hint="eastAsia" w:ascii="Times New Roman" w:hAnsi="Times New Roman" w:eastAsia="宋体" w:cs="Times New Roman"/>
                <w:b w:val="0"/>
                <w:bCs/>
                <w:color w:val="auto"/>
                <w:sz w:val="24"/>
                <w:szCs w:val="24"/>
                <w:highlight w:val="none"/>
                <w:lang w:val="en-US" w:eastAsia="zh-CN"/>
              </w:rPr>
              <w:t>则</w:t>
            </w:r>
            <w:r>
              <w:rPr>
                <w:rFonts w:hint="default" w:ascii="Times New Roman" w:hAnsi="Times New Roman" w:eastAsia="宋体" w:cs="Times New Roman"/>
                <w:b w:val="0"/>
                <w:bCs/>
                <w:color w:val="auto"/>
                <w:sz w:val="24"/>
                <w:szCs w:val="24"/>
                <w:highlight w:val="none"/>
                <w:lang w:val="en-US" w:eastAsia="zh-CN"/>
              </w:rPr>
              <w:t>涂塑粉工序非甲烷总烃产生量为0.024t/a。</w:t>
            </w:r>
            <w:r>
              <w:rPr>
                <w:rFonts w:hint="eastAsia" w:ascii="Times New Roman" w:hAnsi="Times New Roman" w:eastAsia="宋体" w:cs="Times New Roman"/>
                <w:b w:val="0"/>
                <w:bCs/>
                <w:color w:val="auto"/>
                <w:sz w:val="24"/>
                <w:szCs w:val="24"/>
                <w:highlight w:val="none"/>
                <w:lang w:val="en-US" w:eastAsia="zh-CN"/>
              </w:rPr>
              <w:t>故刷漆、涂粉工序产生的非甲烷总烃量为3.102</w:t>
            </w:r>
            <w:r>
              <w:rPr>
                <w:rFonts w:hint="default" w:ascii="Times New Roman" w:hAnsi="Times New Roman" w:eastAsia="宋体" w:cs="Times New Roman"/>
                <w:b w:val="0"/>
                <w:bCs/>
                <w:color w:val="auto"/>
                <w:sz w:val="24"/>
                <w:szCs w:val="24"/>
                <w:highlight w:val="none"/>
                <w:lang w:val="en-US" w:eastAsia="zh-CN"/>
              </w:rPr>
              <w:t>t/a</w:t>
            </w:r>
            <w:r>
              <w:rPr>
                <w:rFonts w:hint="eastAsia" w:ascii="Times New Roman" w:hAnsi="Times New Roman" w:eastAsia="宋体" w:cs="Times New Roman"/>
                <w:b w:val="0"/>
                <w:bCs/>
                <w:color w:val="auto"/>
                <w:sz w:val="24"/>
                <w:szCs w:val="24"/>
                <w:highlight w:val="none"/>
                <w:lang w:val="en-US" w:eastAsia="zh-CN"/>
              </w:rPr>
              <w:t>。</w:t>
            </w:r>
          </w:p>
          <w:p w14:paraId="662E9A97">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80" w:firstLineChars="200"/>
              <w:textAlignment w:val="baseline"/>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lang w:val="en-US" w:eastAsia="zh-CN"/>
              </w:rPr>
              <w:t>本项目刷漆、涂粉过程全封闭，废气收集效率按照90%计，废气负压集中收集后采用</w:t>
            </w:r>
            <w:r>
              <w:rPr>
                <w:rFonts w:hint="eastAsia" w:ascii="Times New Roman" w:hAnsi="Times New Roman" w:eastAsia="宋体" w:cs="Times New Roman"/>
                <w:b w:val="0"/>
                <w:bCs/>
                <w:color w:val="auto"/>
                <w:sz w:val="24"/>
                <w:szCs w:val="24"/>
                <w:highlight w:val="none"/>
                <w:lang w:val="en-US" w:eastAsia="zh-CN"/>
              </w:rPr>
              <w:t>活性炭</w:t>
            </w:r>
            <w:r>
              <w:rPr>
                <w:rFonts w:hint="default" w:ascii="Times New Roman" w:hAnsi="Times New Roman" w:eastAsia="宋体" w:cs="Times New Roman"/>
                <w:b w:val="0"/>
                <w:bCs/>
                <w:color w:val="auto"/>
                <w:sz w:val="24"/>
                <w:szCs w:val="24"/>
                <w:highlight w:val="none"/>
                <w:lang w:val="en-US" w:eastAsia="zh-CN"/>
              </w:rPr>
              <w:t>吸附/</w:t>
            </w:r>
            <w:r>
              <w:rPr>
                <w:rFonts w:hint="eastAsia" w:ascii="Times New Roman" w:hAnsi="Times New Roman" w:eastAsia="宋体" w:cs="Times New Roman"/>
                <w:b w:val="0"/>
                <w:bCs/>
                <w:color w:val="auto"/>
                <w:sz w:val="24"/>
                <w:szCs w:val="24"/>
                <w:highlight w:val="none"/>
                <w:lang w:val="en-US" w:eastAsia="zh-CN"/>
              </w:rPr>
              <w:t>脱附+</w:t>
            </w:r>
            <w:r>
              <w:rPr>
                <w:rFonts w:hint="default" w:ascii="Times New Roman" w:hAnsi="Times New Roman" w:eastAsia="宋体" w:cs="Times New Roman"/>
                <w:b w:val="0"/>
                <w:bCs/>
                <w:color w:val="auto"/>
                <w:sz w:val="24"/>
                <w:szCs w:val="24"/>
                <w:highlight w:val="none"/>
                <w:lang w:val="en-US" w:eastAsia="zh-CN"/>
              </w:rPr>
              <w:t>催化燃烧处理废气，废气处理效率为77%，风机风量为10000m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lang w:val="en-US" w:eastAsia="zh-CN"/>
              </w:rPr>
              <w:t>/h，废气产生排放</w:t>
            </w:r>
            <w:r>
              <w:rPr>
                <w:rFonts w:hint="default" w:ascii="Times New Roman" w:hAnsi="Times New Roman" w:eastAsia="宋体" w:cs="Times New Roman"/>
                <w:b w:val="0"/>
                <w:bCs/>
                <w:color w:val="auto"/>
                <w:sz w:val="24"/>
                <w:szCs w:val="24"/>
                <w:highlight w:val="none"/>
              </w:rPr>
              <w:t>情况见表4-</w:t>
            </w:r>
            <w:r>
              <w:rPr>
                <w:rFonts w:hint="default" w:ascii="Times New Roman" w:hAnsi="Times New Roman" w:eastAsia="宋体"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rPr>
              <w:t>。</w:t>
            </w:r>
          </w:p>
          <w:p w14:paraId="10526AC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表4-5    刷漆、涂粉工序废气产生排放量一览表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69"/>
              <w:gridCol w:w="1153"/>
              <w:gridCol w:w="1218"/>
              <w:gridCol w:w="842"/>
              <w:gridCol w:w="853"/>
              <w:gridCol w:w="917"/>
              <w:gridCol w:w="865"/>
              <w:gridCol w:w="860"/>
              <w:gridCol w:w="753"/>
            </w:tblGrid>
            <w:tr w14:paraId="3EA0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7" w:type="pct"/>
                  <w:vMerge w:val="restart"/>
                  <w:tcBorders>
                    <w:tl2br w:val="nil"/>
                    <w:tr2bl w:val="nil"/>
                  </w:tcBorders>
                  <w:noWrap w:val="0"/>
                  <w:vAlign w:val="center"/>
                </w:tcPr>
                <w:p w14:paraId="7D64B9C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污染物产生环节</w:t>
                  </w:r>
                </w:p>
              </w:tc>
              <w:tc>
                <w:tcPr>
                  <w:tcW w:w="672" w:type="pct"/>
                  <w:vMerge w:val="restart"/>
                  <w:tcBorders>
                    <w:tl2br w:val="nil"/>
                    <w:tr2bl w:val="nil"/>
                  </w:tcBorders>
                  <w:noWrap w:val="0"/>
                  <w:vAlign w:val="center"/>
                </w:tcPr>
                <w:p w14:paraId="2D8BB5FF">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w:t>
                  </w:r>
                </w:p>
                <w:p w14:paraId="5CFA53CF">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形式</w:t>
                  </w:r>
                </w:p>
              </w:tc>
              <w:tc>
                <w:tcPr>
                  <w:tcW w:w="714" w:type="pct"/>
                  <w:vMerge w:val="restart"/>
                  <w:tcBorders>
                    <w:tl2br w:val="nil"/>
                    <w:tr2bl w:val="nil"/>
                  </w:tcBorders>
                  <w:noWrap w:val="0"/>
                  <w:vAlign w:val="center"/>
                </w:tcPr>
                <w:p w14:paraId="2100C170">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532" w:type="pct"/>
                  <w:gridSpan w:val="3"/>
                  <w:tcBorders>
                    <w:tl2br w:val="nil"/>
                    <w:tr2bl w:val="nil"/>
                  </w:tcBorders>
                  <w:noWrap w:val="0"/>
                  <w:vAlign w:val="center"/>
                </w:tcPr>
                <w:p w14:paraId="0D3CC1C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产生情况</w:t>
                  </w:r>
                </w:p>
              </w:tc>
              <w:tc>
                <w:tcPr>
                  <w:tcW w:w="1452" w:type="pct"/>
                  <w:gridSpan w:val="3"/>
                  <w:tcBorders>
                    <w:tl2br w:val="nil"/>
                    <w:tr2bl w:val="nil"/>
                  </w:tcBorders>
                  <w:noWrap w:val="0"/>
                  <w:vAlign w:val="center"/>
                </w:tcPr>
                <w:p w14:paraId="731B0DE1">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排放情况</w:t>
                  </w:r>
                </w:p>
              </w:tc>
            </w:tr>
            <w:tr w14:paraId="4292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7" w:type="pct"/>
                  <w:vMerge w:val="continue"/>
                  <w:tcBorders>
                    <w:tl2br w:val="nil"/>
                    <w:tr2bl w:val="nil"/>
                  </w:tcBorders>
                  <w:noWrap w:val="0"/>
                  <w:vAlign w:val="center"/>
                </w:tcPr>
                <w:p w14:paraId="752921B2">
                  <w:pPr>
                    <w:jc w:val="center"/>
                    <w:rPr>
                      <w:rFonts w:hint="default" w:ascii="Times New Roman" w:hAnsi="Times New Roman" w:eastAsia="宋体" w:cs="Times New Roman"/>
                      <w:b/>
                      <w:bCs/>
                      <w:color w:val="auto"/>
                      <w:sz w:val="21"/>
                      <w:szCs w:val="21"/>
                      <w:highlight w:val="none"/>
                    </w:rPr>
                  </w:pPr>
                </w:p>
              </w:tc>
              <w:tc>
                <w:tcPr>
                  <w:tcW w:w="672" w:type="pct"/>
                  <w:vMerge w:val="continue"/>
                  <w:tcBorders>
                    <w:tl2br w:val="nil"/>
                    <w:tr2bl w:val="nil"/>
                  </w:tcBorders>
                  <w:noWrap w:val="0"/>
                  <w:vAlign w:val="center"/>
                </w:tcPr>
                <w:p w14:paraId="4BDF5C05">
                  <w:pPr>
                    <w:jc w:val="center"/>
                    <w:rPr>
                      <w:rFonts w:hint="default" w:ascii="Times New Roman" w:hAnsi="Times New Roman" w:eastAsia="宋体" w:cs="Times New Roman"/>
                      <w:b/>
                      <w:bCs/>
                      <w:color w:val="auto"/>
                      <w:sz w:val="21"/>
                      <w:szCs w:val="21"/>
                      <w:highlight w:val="none"/>
                    </w:rPr>
                  </w:pPr>
                </w:p>
              </w:tc>
              <w:tc>
                <w:tcPr>
                  <w:tcW w:w="714" w:type="pct"/>
                  <w:vMerge w:val="continue"/>
                  <w:tcBorders>
                    <w:tl2br w:val="nil"/>
                    <w:tr2bl w:val="nil"/>
                  </w:tcBorders>
                  <w:noWrap w:val="0"/>
                  <w:vAlign w:val="center"/>
                </w:tcPr>
                <w:p w14:paraId="683DC807">
                  <w:pPr>
                    <w:jc w:val="center"/>
                    <w:rPr>
                      <w:rFonts w:hint="default" w:ascii="Times New Roman" w:hAnsi="Times New Roman" w:eastAsia="宋体" w:cs="Times New Roman"/>
                      <w:b/>
                      <w:bCs/>
                      <w:color w:val="auto"/>
                      <w:sz w:val="21"/>
                      <w:szCs w:val="21"/>
                      <w:highlight w:val="none"/>
                    </w:rPr>
                  </w:pPr>
                </w:p>
              </w:tc>
              <w:tc>
                <w:tcPr>
                  <w:tcW w:w="494" w:type="pct"/>
                  <w:tcBorders>
                    <w:tl2br w:val="nil"/>
                    <w:tr2bl w:val="nil"/>
                  </w:tcBorders>
                  <w:noWrap w:val="0"/>
                  <w:vAlign w:val="center"/>
                </w:tcPr>
                <w:p w14:paraId="259C4C7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产生量</w:t>
                  </w:r>
                  <w:r>
                    <w:rPr>
                      <w:rFonts w:hint="default" w:ascii="Times New Roman" w:hAnsi="Times New Roman" w:eastAsia="宋体" w:cs="Times New Roman"/>
                      <w:b/>
                      <w:bCs/>
                      <w:color w:val="auto"/>
                      <w:kern w:val="0"/>
                      <w:sz w:val="21"/>
                      <w:szCs w:val="21"/>
                      <w:highlight w:val="none"/>
                    </w:rPr>
                    <w:t>t/a</w:t>
                  </w:r>
                </w:p>
              </w:tc>
              <w:tc>
                <w:tcPr>
                  <w:tcW w:w="500" w:type="pct"/>
                  <w:tcBorders>
                    <w:tl2br w:val="nil"/>
                    <w:tr2bl w:val="nil"/>
                  </w:tcBorders>
                  <w:noWrap w:val="0"/>
                  <w:vAlign w:val="center"/>
                </w:tcPr>
                <w:p w14:paraId="55504BA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476EB7B7">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536" w:type="pct"/>
                  <w:tcBorders>
                    <w:tl2br w:val="nil"/>
                    <w:tr2bl w:val="nil"/>
                  </w:tcBorders>
                  <w:noWrap w:val="0"/>
                  <w:vAlign w:val="center"/>
                </w:tcPr>
                <w:p w14:paraId="418640F6">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c>
                <w:tcPr>
                  <w:tcW w:w="507" w:type="pct"/>
                  <w:tcBorders>
                    <w:tl2br w:val="nil"/>
                    <w:tr2bl w:val="nil"/>
                  </w:tcBorders>
                  <w:noWrap w:val="0"/>
                  <w:vAlign w:val="center"/>
                </w:tcPr>
                <w:p w14:paraId="6DC8D420">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排放量</w:t>
                  </w:r>
                  <w:r>
                    <w:rPr>
                      <w:rFonts w:hint="default" w:ascii="Times New Roman" w:hAnsi="Times New Roman" w:eastAsia="宋体" w:cs="Times New Roman"/>
                      <w:b/>
                      <w:bCs/>
                      <w:color w:val="auto"/>
                      <w:kern w:val="0"/>
                      <w:sz w:val="21"/>
                      <w:szCs w:val="21"/>
                      <w:highlight w:val="none"/>
                    </w:rPr>
                    <w:t>t/a</w:t>
                  </w:r>
                </w:p>
              </w:tc>
              <w:tc>
                <w:tcPr>
                  <w:tcW w:w="504" w:type="pct"/>
                  <w:tcBorders>
                    <w:tl2br w:val="nil"/>
                    <w:tr2bl w:val="nil"/>
                  </w:tcBorders>
                  <w:noWrap w:val="0"/>
                  <w:vAlign w:val="center"/>
                </w:tcPr>
                <w:p w14:paraId="22B5A660">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速率</w:t>
                  </w:r>
                </w:p>
                <w:p w14:paraId="3A108F26">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kg/h</w:t>
                  </w:r>
                </w:p>
              </w:tc>
              <w:tc>
                <w:tcPr>
                  <w:tcW w:w="439" w:type="pct"/>
                  <w:tcBorders>
                    <w:tl2br w:val="nil"/>
                    <w:tr2bl w:val="nil"/>
                  </w:tcBorders>
                  <w:noWrap w:val="0"/>
                  <w:vAlign w:val="center"/>
                </w:tcPr>
                <w:p w14:paraId="69C602A9">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浓度mg/m³</w:t>
                  </w:r>
                </w:p>
              </w:tc>
            </w:tr>
            <w:tr w14:paraId="590B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jc w:val="center"/>
              </w:trPr>
              <w:tc>
                <w:tcPr>
                  <w:tcW w:w="627" w:type="pct"/>
                  <w:vMerge w:val="restart"/>
                  <w:tcBorders>
                    <w:tl2br w:val="nil"/>
                    <w:tr2bl w:val="nil"/>
                  </w:tcBorders>
                  <w:noWrap w:val="0"/>
                  <w:vAlign w:val="center"/>
                </w:tcPr>
                <w:p w14:paraId="705DF072">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刷漆、涂粉</w:t>
                  </w:r>
                </w:p>
              </w:tc>
              <w:tc>
                <w:tcPr>
                  <w:tcW w:w="672" w:type="pct"/>
                  <w:tcBorders>
                    <w:tl2br w:val="nil"/>
                    <w:tr2bl w:val="nil"/>
                  </w:tcBorders>
                  <w:noWrap w:val="0"/>
                  <w:vAlign w:val="center"/>
                </w:tcPr>
                <w:p w14:paraId="5691D7A1">
                  <w:pPr>
                    <w:tabs>
                      <w:tab w:val="left" w:pos="420"/>
                    </w:tabs>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DA004</w:t>
                  </w:r>
                  <w:r>
                    <w:rPr>
                      <w:rFonts w:hint="default" w:ascii="Times New Roman" w:hAnsi="Times New Roman" w:eastAsia="宋体" w:cs="Times New Roman"/>
                      <w:color w:val="auto"/>
                      <w:sz w:val="21"/>
                      <w:szCs w:val="21"/>
                      <w:highlight w:val="none"/>
                      <w:lang w:eastAsia="zh-CN"/>
                    </w:rPr>
                    <w:t>）</w:t>
                  </w:r>
                </w:p>
              </w:tc>
              <w:tc>
                <w:tcPr>
                  <w:tcW w:w="714" w:type="pct"/>
                  <w:vMerge w:val="restart"/>
                  <w:tcBorders>
                    <w:tl2br w:val="nil"/>
                    <w:tr2bl w:val="nil"/>
                  </w:tcBorders>
                  <w:noWrap w:val="0"/>
                  <w:vAlign w:val="center"/>
                </w:tcPr>
                <w:p w14:paraId="0C67882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tc>
              <w:tc>
                <w:tcPr>
                  <w:tcW w:w="494" w:type="pct"/>
                  <w:tcBorders>
                    <w:tl2br w:val="nil"/>
                    <w:tr2bl w:val="nil"/>
                  </w:tcBorders>
                  <w:noWrap w:val="0"/>
                  <w:vAlign w:val="center"/>
                </w:tcPr>
                <w:p w14:paraId="21873C7F">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2.792</w:t>
                  </w:r>
                </w:p>
              </w:tc>
              <w:tc>
                <w:tcPr>
                  <w:tcW w:w="500" w:type="pct"/>
                  <w:tcBorders>
                    <w:tl2br w:val="nil"/>
                    <w:tr2bl w:val="nil"/>
                  </w:tcBorders>
                  <w:noWrap w:val="0"/>
                  <w:vAlign w:val="center"/>
                </w:tcPr>
                <w:p w14:paraId="4CB05B04">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1.163</w:t>
                  </w:r>
                </w:p>
              </w:tc>
              <w:tc>
                <w:tcPr>
                  <w:tcW w:w="536" w:type="pct"/>
                  <w:tcBorders>
                    <w:tl2br w:val="nil"/>
                    <w:tr2bl w:val="nil"/>
                  </w:tcBorders>
                  <w:noWrap w:val="0"/>
                  <w:vAlign w:val="center"/>
                </w:tcPr>
                <w:p w14:paraId="32B8FA2E">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116.3</w:t>
                  </w:r>
                </w:p>
              </w:tc>
              <w:tc>
                <w:tcPr>
                  <w:tcW w:w="507" w:type="pct"/>
                  <w:tcBorders>
                    <w:tl2br w:val="nil"/>
                    <w:tr2bl w:val="nil"/>
                  </w:tcBorders>
                  <w:noWrap w:val="0"/>
                  <w:vAlign w:val="center"/>
                </w:tcPr>
                <w:p w14:paraId="60480057">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0.642</w:t>
                  </w:r>
                </w:p>
              </w:tc>
              <w:tc>
                <w:tcPr>
                  <w:tcW w:w="504" w:type="pct"/>
                  <w:tcBorders>
                    <w:tl2br w:val="nil"/>
                    <w:tr2bl w:val="nil"/>
                  </w:tcBorders>
                  <w:noWrap w:val="0"/>
                  <w:vAlign w:val="center"/>
                </w:tcPr>
                <w:p w14:paraId="6C12C578">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0.268</w:t>
                  </w:r>
                </w:p>
              </w:tc>
              <w:tc>
                <w:tcPr>
                  <w:tcW w:w="439" w:type="pct"/>
                  <w:tcBorders>
                    <w:tl2br w:val="nil"/>
                    <w:tr2bl w:val="nil"/>
                  </w:tcBorders>
                  <w:noWrap w:val="0"/>
                  <w:vAlign w:val="center"/>
                </w:tcPr>
                <w:p w14:paraId="0300910C">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26.8</w:t>
                  </w:r>
                </w:p>
              </w:tc>
            </w:tr>
            <w:tr w14:paraId="5FDD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7" w:type="pct"/>
                  <w:vMerge w:val="continue"/>
                  <w:tcBorders>
                    <w:tl2br w:val="nil"/>
                    <w:tr2bl w:val="nil"/>
                  </w:tcBorders>
                  <w:noWrap w:val="0"/>
                  <w:vAlign w:val="center"/>
                </w:tcPr>
                <w:p w14:paraId="3D94C021">
                  <w:pPr>
                    <w:tabs>
                      <w:tab w:val="left" w:pos="420"/>
                    </w:tabs>
                    <w:jc w:val="center"/>
                    <w:rPr>
                      <w:rFonts w:hint="default" w:ascii="Times New Roman" w:hAnsi="Times New Roman" w:eastAsia="宋体" w:cs="Times New Roman"/>
                      <w:color w:val="auto"/>
                      <w:sz w:val="21"/>
                      <w:szCs w:val="21"/>
                      <w:highlight w:val="none"/>
                    </w:rPr>
                  </w:pPr>
                </w:p>
              </w:tc>
              <w:tc>
                <w:tcPr>
                  <w:tcW w:w="672" w:type="pct"/>
                  <w:tcBorders>
                    <w:tl2br w:val="nil"/>
                    <w:tr2bl w:val="nil"/>
                  </w:tcBorders>
                  <w:noWrap w:val="0"/>
                  <w:vAlign w:val="center"/>
                </w:tcPr>
                <w:p w14:paraId="07496B96">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w:t>
                  </w:r>
                </w:p>
              </w:tc>
              <w:tc>
                <w:tcPr>
                  <w:tcW w:w="714" w:type="pct"/>
                  <w:vMerge w:val="continue"/>
                  <w:tcBorders>
                    <w:tl2br w:val="nil"/>
                    <w:tr2bl w:val="nil"/>
                  </w:tcBorders>
                  <w:noWrap w:val="0"/>
                  <w:vAlign w:val="center"/>
                </w:tcPr>
                <w:p w14:paraId="0FF468B4">
                  <w:pPr>
                    <w:jc w:val="center"/>
                    <w:rPr>
                      <w:rFonts w:hint="default" w:ascii="Times New Roman" w:hAnsi="Times New Roman" w:eastAsia="宋体" w:cs="Times New Roman"/>
                      <w:color w:val="auto"/>
                      <w:sz w:val="21"/>
                      <w:szCs w:val="21"/>
                      <w:highlight w:val="none"/>
                    </w:rPr>
                  </w:pPr>
                </w:p>
              </w:tc>
              <w:tc>
                <w:tcPr>
                  <w:tcW w:w="494" w:type="pct"/>
                  <w:tcBorders>
                    <w:tl2br w:val="nil"/>
                    <w:tr2bl w:val="nil"/>
                  </w:tcBorders>
                  <w:noWrap w:val="0"/>
                  <w:vAlign w:val="center"/>
                </w:tcPr>
                <w:p w14:paraId="2151C95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31</w:t>
                  </w:r>
                </w:p>
              </w:tc>
              <w:tc>
                <w:tcPr>
                  <w:tcW w:w="500" w:type="pct"/>
                  <w:tcBorders>
                    <w:tl2br w:val="nil"/>
                    <w:tr2bl w:val="nil"/>
                  </w:tcBorders>
                  <w:noWrap w:val="0"/>
                  <w:vAlign w:val="center"/>
                </w:tcPr>
                <w:p w14:paraId="65AD320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w:t>
                  </w:r>
                  <w:r>
                    <w:rPr>
                      <w:rFonts w:hint="eastAsia" w:ascii="Times New Roman" w:hAnsi="Times New Roman" w:eastAsia="宋体" w:cs="Times New Roman"/>
                      <w:color w:val="auto"/>
                      <w:sz w:val="21"/>
                      <w:szCs w:val="21"/>
                      <w:highlight w:val="none"/>
                      <w:lang w:val="en-US" w:eastAsia="zh-CN"/>
                    </w:rPr>
                    <w:t>29</w:t>
                  </w:r>
                </w:p>
              </w:tc>
              <w:tc>
                <w:tcPr>
                  <w:tcW w:w="536" w:type="pct"/>
                  <w:tcBorders>
                    <w:tl2br w:val="nil"/>
                    <w:tr2bl w:val="nil"/>
                  </w:tcBorders>
                  <w:noWrap w:val="0"/>
                  <w:vAlign w:val="center"/>
                </w:tcPr>
                <w:p w14:paraId="17CEF21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c>
                <w:tcPr>
                  <w:tcW w:w="507" w:type="pct"/>
                  <w:tcBorders>
                    <w:tl2br w:val="nil"/>
                    <w:tr2bl w:val="nil"/>
                  </w:tcBorders>
                  <w:shd w:val="clear" w:color="auto" w:fill="auto"/>
                  <w:noWrap w:val="0"/>
                  <w:vAlign w:val="center"/>
                </w:tcPr>
                <w:p w14:paraId="24FE30D8">
                  <w:pPr>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31</w:t>
                  </w:r>
                </w:p>
              </w:tc>
              <w:tc>
                <w:tcPr>
                  <w:tcW w:w="504" w:type="pct"/>
                  <w:tcBorders>
                    <w:tl2br w:val="nil"/>
                    <w:tr2bl w:val="nil"/>
                  </w:tcBorders>
                  <w:shd w:val="clear" w:color="auto" w:fill="auto"/>
                  <w:noWrap w:val="0"/>
                  <w:vAlign w:val="center"/>
                </w:tcPr>
                <w:p w14:paraId="7148C1E1">
                  <w:pPr>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w:t>
                  </w:r>
                  <w:r>
                    <w:rPr>
                      <w:rFonts w:hint="eastAsia" w:ascii="Times New Roman" w:hAnsi="Times New Roman" w:eastAsia="宋体" w:cs="Times New Roman"/>
                      <w:color w:val="auto"/>
                      <w:sz w:val="21"/>
                      <w:szCs w:val="21"/>
                      <w:highlight w:val="none"/>
                      <w:lang w:val="en-US" w:eastAsia="zh-CN"/>
                    </w:rPr>
                    <w:t>29</w:t>
                  </w:r>
                </w:p>
              </w:tc>
              <w:tc>
                <w:tcPr>
                  <w:tcW w:w="439" w:type="pct"/>
                  <w:tcBorders>
                    <w:tl2br w:val="nil"/>
                    <w:tr2bl w:val="nil"/>
                  </w:tcBorders>
                  <w:noWrap w:val="0"/>
                  <w:vAlign w:val="center"/>
                </w:tcPr>
                <w:p w14:paraId="7FFA9C5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r>
            <w:tr w14:paraId="6B7C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7" w:type="pct"/>
                  <w:vMerge w:val="continue"/>
                  <w:tcBorders>
                    <w:tl2br w:val="nil"/>
                    <w:tr2bl w:val="nil"/>
                  </w:tcBorders>
                  <w:noWrap w:val="0"/>
                  <w:vAlign w:val="center"/>
                </w:tcPr>
                <w:p w14:paraId="244400D1">
                  <w:pPr>
                    <w:tabs>
                      <w:tab w:val="left" w:pos="420"/>
                    </w:tabs>
                    <w:jc w:val="center"/>
                    <w:rPr>
                      <w:rFonts w:hint="default" w:ascii="Times New Roman" w:hAnsi="Times New Roman" w:eastAsia="宋体" w:cs="Times New Roman"/>
                      <w:color w:val="auto"/>
                      <w:sz w:val="21"/>
                      <w:szCs w:val="21"/>
                      <w:highlight w:val="none"/>
                      <w:lang w:val="en-US" w:eastAsia="zh-CN"/>
                    </w:rPr>
                  </w:pPr>
                </w:p>
              </w:tc>
              <w:tc>
                <w:tcPr>
                  <w:tcW w:w="672" w:type="pct"/>
                  <w:tcBorders>
                    <w:tl2br w:val="nil"/>
                    <w:tr2bl w:val="nil"/>
                  </w:tcBorders>
                  <w:noWrap w:val="0"/>
                  <w:vAlign w:val="center"/>
                </w:tcPr>
                <w:p w14:paraId="20F1F0C9">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有组织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DA004</w:t>
                  </w:r>
                  <w:r>
                    <w:rPr>
                      <w:rFonts w:hint="default" w:ascii="Times New Roman" w:hAnsi="Times New Roman" w:eastAsia="宋体" w:cs="Times New Roman"/>
                      <w:color w:val="auto"/>
                      <w:sz w:val="21"/>
                      <w:szCs w:val="21"/>
                      <w:highlight w:val="none"/>
                      <w:lang w:eastAsia="zh-CN"/>
                    </w:rPr>
                    <w:t>）</w:t>
                  </w:r>
                </w:p>
              </w:tc>
              <w:tc>
                <w:tcPr>
                  <w:tcW w:w="714" w:type="pct"/>
                  <w:vMerge w:val="restart"/>
                  <w:tcBorders>
                    <w:tl2br w:val="nil"/>
                    <w:tr2bl w:val="nil"/>
                  </w:tcBorders>
                  <w:noWrap w:val="0"/>
                  <w:vAlign w:val="center"/>
                </w:tcPr>
                <w:p w14:paraId="65083C84">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二甲苯</w:t>
                  </w:r>
                </w:p>
              </w:tc>
              <w:tc>
                <w:tcPr>
                  <w:tcW w:w="494" w:type="pct"/>
                  <w:tcBorders>
                    <w:tl2br w:val="nil"/>
                    <w:tr2bl w:val="nil"/>
                  </w:tcBorders>
                  <w:noWrap w:val="0"/>
                  <w:vAlign w:val="center"/>
                </w:tcPr>
                <w:p w14:paraId="2C3A97E7">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495</w:t>
                  </w:r>
                </w:p>
              </w:tc>
              <w:tc>
                <w:tcPr>
                  <w:tcW w:w="500" w:type="pct"/>
                  <w:tcBorders>
                    <w:tl2br w:val="nil"/>
                    <w:tr2bl w:val="nil"/>
                  </w:tcBorders>
                  <w:noWrap w:val="0"/>
                  <w:vAlign w:val="center"/>
                </w:tcPr>
                <w:p w14:paraId="24FB9CE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206</w:t>
                  </w:r>
                </w:p>
              </w:tc>
              <w:tc>
                <w:tcPr>
                  <w:tcW w:w="536" w:type="pct"/>
                  <w:tcBorders>
                    <w:tl2br w:val="nil"/>
                    <w:tr2bl w:val="nil"/>
                  </w:tcBorders>
                  <w:noWrap w:val="0"/>
                  <w:vAlign w:val="center"/>
                </w:tcPr>
                <w:p w14:paraId="11A67ED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0.6</w:t>
                  </w:r>
                </w:p>
              </w:tc>
              <w:tc>
                <w:tcPr>
                  <w:tcW w:w="507" w:type="pct"/>
                  <w:tcBorders>
                    <w:tl2br w:val="nil"/>
                    <w:tr2bl w:val="nil"/>
                  </w:tcBorders>
                  <w:noWrap w:val="0"/>
                  <w:vAlign w:val="center"/>
                </w:tcPr>
                <w:p w14:paraId="287F5D2B">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0.114</w:t>
                  </w:r>
                </w:p>
              </w:tc>
              <w:tc>
                <w:tcPr>
                  <w:tcW w:w="504" w:type="pct"/>
                  <w:tcBorders>
                    <w:tl2br w:val="nil"/>
                    <w:tr2bl w:val="nil"/>
                  </w:tcBorders>
                  <w:noWrap w:val="0"/>
                  <w:vAlign w:val="center"/>
                </w:tcPr>
                <w:p w14:paraId="4326A9B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48</w:t>
                  </w:r>
                </w:p>
              </w:tc>
              <w:tc>
                <w:tcPr>
                  <w:tcW w:w="439" w:type="pct"/>
                  <w:tcBorders>
                    <w:tl2br w:val="nil"/>
                    <w:tr2bl w:val="nil"/>
                  </w:tcBorders>
                  <w:noWrap w:val="0"/>
                  <w:vAlign w:val="center"/>
                </w:tcPr>
                <w:p w14:paraId="78DCF2D4">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w:t>
                  </w:r>
                </w:p>
              </w:tc>
            </w:tr>
            <w:tr w14:paraId="64F3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27" w:type="pct"/>
                  <w:vMerge w:val="continue"/>
                  <w:tcBorders>
                    <w:tl2br w:val="nil"/>
                    <w:tr2bl w:val="nil"/>
                  </w:tcBorders>
                  <w:noWrap w:val="0"/>
                  <w:vAlign w:val="center"/>
                </w:tcPr>
                <w:p w14:paraId="6FF64E69">
                  <w:pPr>
                    <w:jc w:val="center"/>
                    <w:rPr>
                      <w:rFonts w:hint="default" w:ascii="Times New Roman" w:hAnsi="Times New Roman" w:eastAsia="宋体" w:cs="Times New Roman"/>
                      <w:color w:val="auto"/>
                      <w:sz w:val="21"/>
                      <w:szCs w:val="21"/>
                      <w:highlight w:val="none"/>
                      <w:lang w:val="en-US"/>
                    </w:rPr>
                  </w:pPr>
                </w:p>
              </w:tc>
              <w:tc>
                <w:tcPr>
                  <w:tcW w:w="672" w:type="pct"/>
                  <w:tcBorders>
                    <w:tl2br w:val="nil"/>
                    <w:tr2bl w:val="nil"/>
                  </w:tcBorders>
                  <w:noWrap w:val="0"/>
                  <w:vAlign w:val="center"/>
                </w:tcPr>
                <w:p w14:paraId="4F942122">
                  <w:pPr>
                    <w:tabs>
                      <w:tab w:val="left" w:pos="420"/>
                    </w:tabs>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rPr>
                    <w:t>组织</w:t>
                  </w:r>
                </w:p>
              </w:tc>
              <w:tc>
                <w:tcPr>
                  <w:tcW w:w="714" w:type="pct"/>
                  <w:vMerge w:val="continue"/>
                  <w:tcBorders>
                    <w:tl2br w:val="nil"/>
                    <w:tr2bl w:val="nil"/>
                  </w:tcBorders>
                  <w:noWrap w:val="0"/>
                  <w:vAlign w:val="center"/>
                </w:tcPr>
                <w:p w14:paraId="719DAB89">
                  <w:pPr>
                    <w:tabs>
                      <w:tab w:val="left" w:pos="420"/>
                    </w:tabs>
                    <w:jc w:val="center"/>
                    <w:rPr>
                      <w:rFonts w:hint="default" w:ascii="Times New Roman" w:hAnsi="Times New Roman" w:eastAsia="宋体" w:cs="Times New Roman"/>
                      <w:color w:val="auto"/>
                      <w:sz w:val="21"/>
                      <w:szCs w:val="21"/>
                      <w:highlight w:val="none"/>
                    </w:rPr>
                  </w:pPr>
                </w:p>
              </w:tc>
              <w:tc>
                <w:tcPr>
                  <w:tcW w:w="494" w:type="pct"/>
                  <w:tcBorders>
                    <w:tl2br w:val="nil"/>
                    <w:tr2bl w:val="nil"/>
                  </w:tcBorders>
                  <w:noWrap w:val="0"/>
                  <w:vAlign w:val="center"/>
                </w:tcPr>
                <w:p w14:paraId="6D61239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55</w:t>
                  </w:r>
                </w:p>
              </w:tc>
              <w:tc>
                <w:tcPr>
                  <w:tcW w:w="500" w:type="pct"/>
                  <w:tcBorders>
                    <w:tl2br w:val="nil"/>
                    <w:tr2bl w:val="nil"/>
                  </w:tcBorders>
                  <w:noWrap w:val="0"/>
                  <w:vAlign w:val="center"/>
                </w:tcPr>
                <w:p w14:paraId="5F5E7FB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w:t>
                  </w:r>
                  <w:r>
                    <w:rPr>
                      <w:rFonts w:hint="eastAsia" w:ascii="Times New Roman" w:hAnsi="Times New Roman" w:eastAsia="宋体" w:cs="Times New Roman"/>
                      <w:color w:val="auto"/>
                      <w:sz w:val="21"/>
                      <w:szCs w:val="21"/>
                      <w:highlight w:val="none"/>
                      <w:lang w:val="en-US" w:eastAsia="zh-CN"/>
                    </w:rPr>
                    <w:t>3</w:t>
                  </w:r>
                </w:p>
              </w:tc>
              <w:tc>
                <w:tcPr>
                  <w:tcW w:w="536" w:type="pct"/>
                  <w:tcBorders>
                    <w:tl2br w:val="nil"/>
                    <w:tr2bl w:val="nil"/>
                  </w:tcBorders>
                  <w:noWrap w:val="0"/>
                  <w:vAlign w:val="center"/>
                </w:tcPr>
                <w:p w14:paraId="3B81E6D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859" w:type="dxa"/>
                  <w:tcBorders>
                    <w:tl2br w:val="nil"/>
                    <w:tr2bl w:val="nil"/>
                  </w:tcBorders>
                  <w:shd w:val="clear" w:color="auto" w:fill="auto"/>
                  <w:noWrap w:val="0"/>
                  <w:vAlign w:val="center"/>
                </w:tcPr>
                <w:p w14:paraId="5054AB5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55</w:t>
                  </w:r>
                </w:p>
              </w:tc>
              <w:tc>
                <w:tcPr>
                  <w:tcW w:w="854" w:type="dxa"/>
                  <w:tcBorders>
                    <w:tl2br w:val="nil"/>
                    <w:tr2bl w:val="nil"/>
                  </w:tcBorders>
                  <w:noWrap w:val="0"/>
                  <w:vAlign w:val="center"/>
                </w:tcPr>
                <w:p w14:paraId="506A895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w:t>
                  </w:r>
                  <w:r>
                    <w:rPr>
                      <w:rFonts w:hint="eastAsia" w:ascii="Times New Roman" w:hAnsi="Times New Roman" w:eastAsia="宋体" w:cs="Times New Roman"/>
                      <w:color w:val="auto"/>
                      <w:sz w:val="21"/>
                      <w:szCs w:val="21"/>
                      <w:highlight w:val="none"/>
                      <w:lang w:val="en-US" w:eastAsia="zh-CN"/>
                    </w:rPr>
                    <w:t>3</w:t>
                  </w:r>
                </w:p>
              </w:tc>
              <w:tc>
                <w:tcPr>
                  <w:tcW w:w="439" w:type="pct"/>
                  <w:tcBorders>
                    <w:tl2br w:val="nil"/>
                    <w:tr2bl w:val="nil"/>
                  </w:tcBorders>
                  <w:noWrap w:val="0"/>
                  <w:vAlign w:val="center"/>
                </w:tcPr>
                <w:p w14:paraId="48390DE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bl>
          <w:p w14:paraId="18958F1F">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本项目刷漆、涂粉过程全封闭，废气负压收集后，经活性炭吸附/催化燃烧处理后通过15m的排气筒排放，处理后的非甲烷总烃、二甲苯</w:t>
            </w:r>
            <w:r>
              <w:rPr>
                <w:rFonts w:hint="default" w:ascii="Times New Roman" w:hAnsi="Times New Roman" w:eastAsia="宋体" w:cs="Times New Roman"/>
                <w:i w:val="0"/>
                <w:iCs w:val="0"/>
                <w:color w:val="auto"/>
                <w:sz w:val="24"/>
                <w:szCs w:val="24"/>
                <w:highlight w:val="none"/>
                <w:vertAlign w:val="baseline"/>
                <w:lang w:val="en-US" w:eastAsia="zh-CN"/>
              </w:rPr>
              <w:t>排放浓度满足</w:t>
            </w:r>
            <w:r>
              <w:rPr>
                <w:rFonts w:hint="default" w:ascii="Times New Roman" w:hAnsi="Times New Roman" w:eastAsia="宋体" w:cs="Times New Roman"/>
                <w:color w:val="auto"/>
                <w:sz w:val="24"/>
                <w:szCs w:val="24"/>
                <w:highlight w:val="none"/>
                <w:lang w:val="en-US" w:eastAsia="zh-CN"/>
              </w:rPr>
              <w:t>《大气污染物综合排放标准》（GB16297-1996）表2中排放浓度限值要求。</w:t>
            </w:r>
          </w:p>
          <w:p w14:paraId="642480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sz w:val="24"/>
                <w:highlight w:val="none"/>
                <w:lang w:val="en-US" w:eastAsia="zh-CN"/>
              </w:rPr>
              <w:t>废气治理措施可行性分析</w:t>
            </w:r>
          </w:p>
          <w:p w14:paraId="7C17B5C3">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 吸附</w:t>
            </w:r>
          </w:p>
          <w:p w14:paraId="3B793D6D">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收集的废气，经过合理的布风，使其均匀地通过固定吸附床内的蜂窝活性炭层的过流断面，在一定的停留时间，由于活性炭表面与有机废气分子间相互引力的作用产生。物理吸附，从而将废气中的有机</w:t>
            </w:r>
            <w:r>
              <w:rPr>
                <w:rFonts w:hint="eastAsia" w:eastAsia="宋体" w:cs="Times New Roman"/>
                <w:color w:val="auto"/>
                <w:sz w:val="24"/>
                <w:szCs w:val="24"/>
                <w:highlight w:val="none"/>
                <w:lang w:val="en-US" w:eastAsia="zh-CN"/>
              </w:rPr>
              <w:t>成分</w:t>
            </w:r>
            <w:r>
              <w:rPr>
                <w:rFonts w:hint="default" w:ascii="Times New Roman" w:hAnsi="Times New Roman" w:eastAsia="宋体" w:cs="Times New Roman"/>
                <w:color w:val="auto"/>
                <w:sz w:val="24"/>
                <w:szCs w:val="24"/>
                <w:highlight w:val="none"/>
                <w:lang w:val="en-US" w:eastAsia="zh-CN"/>
              </w:rPr>
              <w:t>吸附在活性炭的</w:t>
            </w:r>
            <w:r>
              <w:rPr>
                <w:rFonts w:hint="eastAsia" w:ascii="Times New Roman" w:hAnsi="Times New Roman" w:eastAsia="宋体" w:cs="Times New Roman"/>
                <w:color w:val="auto"/>
                <w:sz w:val="24"/>
                <w:szCs w:val="24"/>
                <w:highlight w:val="none"/>
                <w:lang w:val="en-US" w:eastAsia="zh-CN"/>
              </w:rPr>
              <w:t>表面</w:t>
            </w:r>
            <w:r>
              <w:rPr>
                <w:rFonts w:hint="default" w:ascii="Times New Roman" w:hAnsi="Times New Roman" w:eastAsia="宋体" w:cs="Times New Roman"/>
                <w:color w:val="auto"/>
                <w:sz w:val="24"/>
                <w:szCs w:val="24"/>
                <w:highlight w:val="none"/>
                <w:lang w:val="en-US" w:eastAsia="zh-CN"/>
              </w:rPr>
              <w:t>，从而使废气得到净化，净化后的洁净气体通过风机及烟囱达标排放；系统设两台吸附床，即废气从其中一台吸附床经过，另一台处于脱附再生阶段或备用阶段，从而使吸附过程可连续进行，不影响车间生产。</w:t>
            </w:r>
          </w:p>
          <w:p w14:paraId="5E55613F">
            <w:pPr>
              <w:keepNext/>
              <w:keepLines w:val="0"/>
              <w:widowControl w:val="0"/>
              <w:suppressLineNumbers w:val="0"/>
              <w:autoSpaceDE w:val="0"/>
              <w:autoSpaceDN/>
              <w:spacing w:line="360" w:lineRule="auto"/>
              <w:ind w:left="0" w:right="0" w:firstLine="480" w:firstLineChars="200"/>
              <w:rPr>
                <w:rFonts w:hint="default" w:ascii="Times New Roman" w:hAnsi="Times New Roman" w:eastAsia="宋体" w:cs="Times New Roman"/>
                <w:b w:val="0"/>
                <w:bCs/>
                <w:color w:val="auto"/>
                <w:spacing w:val="0"/>
                <w:kern w:val="2"/>
                <w:sz w:val="24"/>
                <w:szCs w:val="24"/>
                <w:highlight w:val="none"/>
              </w:rPr>
            </w:pPr>
            <w:r>
              <w:rPr>
                <w:rFonts w:hint="default" w:ascii="Times New Roman" w:hAnsi="Times New Roman" w:eastAsia="宋体" w:cs="Times New Roman"/>
                <w:b w:val="0"/>
                <w:bCs/>
                <w:color w:val="auto"/>
                <w:spacing w:val="0"/>
                <w:kern w:val="2"/>
                <w:sz w:val="24"/>
                <w:szCs w:val="24"/>
                <w:highlight w:val="none"/>
                <w:lang w:val="en-US" w:eastAsia="zh-CN"/>
              </w:rPr>
              <w:t xml:space="preserve">② </w:t>
            </w:r>
            <w:r>
              <w:rPr>
                <w:rFonts w:hint="default" w:ascii="Times New Roman" w:hAnsi="Times New Roman" w:eastAsia="宋体" w:cs="Times New Roman"/>
                <w:b w:val="0"/>
                <w:bCs/>
                <w:color w:val="auto"/>
                <w:spacing w:val="0"/>
                <w:kern w:val="2"/>
                <w:sz w:val="24"/>
                <w:szCs w:val="24"/>
                <w:highlight w:val="none"/>
              </w:rPr>
              <w:t>脱附--催化燃烧法</w:t>
            </w:r>
          </w:p>
          <w:p w14:paraId="244D1F81">
            <w:pPr>
              <w:keepNext/>
              <w:keepLines w:val="0"/>
              <w:widowControl w:val="0"/>
              <w:suppressLineNumbers w:val="0"/>
              <w:autoSpaceDE w:val="0"/>
              <w:autoSpaceDN/>
              <w:spacing w:line="360" w:lineRule="auto"/>
              <w:ind w:left="0" w:right="0" w:firstLine="480" w:firstLineChars="200"/>
              <w:rPr>
                <w:rFonts w:hint="default" w:ascii="Times New Roman" w:hAnsi="Times New Roman" w:eastAsia="宋体" w:cs="Times New Roman"/>
                <w:b w:val="0"/>
                <w:bCs/>
                <w:color w:val="auto"/>
                <w:spacing w:val="0"/>
                <w:kern w:val="2"/>
                <w:sz w:val="24"/>
                <w:szCs w:val="24"/>
                <w:highlight w:val="none"/>
              </w:rPr>
            </w:pPr>
            <w:r>
              <w:rPr>
                <w:rFonts w:hint="default" w:ascii="Times New Roman" w:hAnsi="Times New Roman" w:eastAsia="宋体" w:cs="Times New Roman"/>
                <w:b w:val="0"/>
                <w:bCs/>
                <w:color w:val="auto"/>
                <w:spacing w:val="0"/>
                <w:kern w:val="2"/>
                <w:sz w:val="24"/>
                <w:szCs w:val="24"/>
                <w:highlight w:val="none"/>
              </w:rPr>
              <w:t>催化燃烧法第一步是催化剂对VOC分子的吸附，提高了反应物的浓度，第二步是催化氧化阶段降低反应的活化能，提高了反应速率。借助催化剂可使有机废气在较低的起燃温度下，发生无氧燃烧，分解成CO</w:t>
            </w:r>
            <w:r>
              <w:rPr>
                <w:rFonts w:hint="default" w:ascii="Times New Roman" w:hAnsi="Times New Roman" w:eastAsia="宋体" w:cs="Times New Roman"/>
                <w:b w:val="0"/>
                <w:bCs/>
                <w:color w:val="auto"/>
                <w:spacing w:val="0"/>
                <w:kern w:val="2"/>
                <w:sz w:val="24"/>
                <w:szCs w:val="24"/>
                <w:highlight w:val="none"/>
                <w:vertAlign w:val="subscript"/>
              </w:rPr>
              <w:t>2</w:t>
            </w:r>
            <w:r>
              <w:rPr>
                <w:rFonts w:hint="default" w:ascii="Times New Roman" w:hAnsi="Times New Roman" w:eastAsia="宋体" w:cs="Times New Roman"/>
                <w:b w:val="0"/>
                <w:bCs/>
                <w:color w:val="auto"/>
                <w:spacing w:val="0"/>
                <w:kern w:val="2"/>
                <w:sz w:val="24"/>
                <w:szCs w:val="24"/>
                <w:highlight w:val="none"/>
              </w:rPr>
              <w:t>和H</w:t>
            </w:r>
            <w:r>
              <w:rPr>
                <w:rFonts w:hint="default" w:ascii="Times New Roman" w:hAnsi="Times New Roman" w:eastAsia="宋体" w:cs="Times New Roman"/>
                <w:b w:val="0"/>
                <w:bCs/>
                <w:color w:val="auto"/>
                <w:spacing w:val="0"/>
                <w:kern w:val="2"/>
                <w:sz w:val="24"/>
                <w:szCs w:val="24"/>
                <w:highlight w:val="none"/>
                <w:vertAlign w:val="subscript"/>
              </w:rPr>
              <w:t>2</w:t>
            </w:r>
            <w:r>
              <w:rPr>
                <w:rFonts w:hint="default" w:ascii="Times New Roman" w:hAnsi="Times New Roman" w:eastAsia="宋体" w:cs="Times New Roman"/>
                <w:b w:val="0"/>
                <w:bCs/>
                <w:color w:val="auto"/>
                <w:spacing w:val="0"/>
                <w:kern w:val="2"/>
                <w:sz w:val="24"/>
                <w:szCs w:val="24"/>
                <w:highlight w:val="none"/>
              </w:rPr>
              <w:t>O放出大量的热，与直接燃烧相比，具有起燃温度低，能耗小的特点，某些情况下达到起燃温度后无需外界供热。</w:t>
            </w:r>
          </w:p>
          <w:p w14:paraId="224AB12D">
            <w:pPr>
              <w:keepNext/>
              <w:keepLines w:val="0"/>
              <w:widowControl w:val="0"/>
              <w:suppressLineNumbers w:val="0"/>
              <w:autoSpaceDE w:val="0"/>
              <w:autoSpaceDN/>
              <w:spacing w:line="360" w:lineRule="auto"/>
              <w:ind w:left="0" w:right="0" w:firstLine="480" w:firstLineChars="200"/>
              <w:rPr>
                <w:rFonts w:hint="default" w:ascii="Times New Roman" w:hAnsi="Times New Roman" w:eastAsia="宋体" w:cs="Times New Roman"/>
                <w:b w:val="0"/>
                <w:bCs/>
                <w:color w:val="auto"/>
                <w:spacing w:val="0"/>
                <w:kern w:val="2"/>
                <w:sz w:val="24"/>
                <w:szCs w:val="24"/>
                <w:highlight w:val="none"/>
              </w:rPr>
            </w:pPr>
            <w:r>
              <w:rPr>
                <w:rFonts w:hint="default" w:ascii="Times New Roman" w:hAnsi="Times New Roman" w:eastAsia="宋体" w:cs="Times New Roman"/>
                <w:b w:val="0"/>
                <w:bCs/>
                <w:color w:val="auto"/>
                <w:spacing w:val="0"/>
                <w:kern w:val="2"/>
                <w:sz w:val="24"/>
                <w:szCs w:val="24"/>
                <w:highlight w:val="none"/>
              </w:rPr>
              <w:t>催化剂为金属催化剂（Pt、Pd和Au），具有起燃温度低（280℃起燃），去除效率高，具有较高催化活性，同时</w:t>
            </w:r>
            <w:r>
              <w:rPr>
                <w:rFonts w:hint="eastAsia" w:cs="Times New Roman"/>
                <w:b w:val="0"/>
                <w:bCs/>
                <w:color w:val="auto"/>
                <w:spacing w:val="0"/>
                <w:kern w:val="2"/>
                <w:sz w:val="24"/>
                <w:szCs w:val="24"/>
                <w:highlight w:val="none"/>
                <w:lang w:eastAsia="zh-CN"/>
              </w:rPr>
              <w:t>耐高温</w:t>
            </w:r>
            <w:r>
              <w:rPr>
                <w:rFonts w:hint="default" w:ascii="Times New Roman" w:hAnsi="Times New Roman" w:eastAsia="宋体" w:cs="Times New Roman"/>
                <w:b w:val="0"/>
                <w:bCs/>
                <w:color w:val="auto"/>
                <w:spacing w:val="0"/>
                <w:kern w:val="2"/>
                <w:sz w:val="24"/>
                <w:szCs w:val="24"/>
                <w:highlight w:val="none"/>
              </w:rPr>
              <w:t>、抗氧化、耐腐蚀。催化剂改变化学反应速度而本身又不参与反应，反应前后基本没有消耗，使用寿命长。</w:t>
            </w:r>
          </w:p>
          <w:p w14:paraId="502791AC">
            <w:pPr>
              <w:keepNext/>
              <w:keepLines w:val="0"/>
              <w:widowControl w:val="0"/>
              <w:suppressLineNumbers w:val="0"/>
              <w:autoSpaceDE w:val="0"/>
              <w:autoSpaceDN/>
              <w:spacing w:line="360" w:lineRule="auto"/>
              <w:ind w:left="0" w:right="0" w:firstLine="480" w:firstLineChars="200"/>
              <w:rPr>
                <w:rFonts w:hint="default" w:ascii="Times New Roman" w:hAnsi="Times New Roman" w:cs="Times New Roman"/>
                <w:color w:val="auto"/>
                <w:highlight w:val="none"/>
                <w:lang w:val="en-US" w:eastAsia="zh-CN"/>
              </w:rPr>
            </w:pPr>
            <w:r>
              <w:rPr>
                <w:rFonts w:hint="default" w:ascii="Times New Roman" w:hAnsi="Times New Roman" w:eastAsia="宋体" w:cs="Times New Roman"/>
                <w:b w:val="0"/>
                <w:bCs/>
                <w:color w:val="auto"/>
                <w:spacing w:val="0"/>
                <w:kern w:val="2"/>
                <w:sz w:val="24"/>
                <w:szCs w:val="24"/>
                <w:highlight w:val="none"/>
              </w:rPr>
              <w:t>在化学反应过程中，利用催化剂降低燃烧温度，加速有毒有害气体完全氧化的方法，</w:t>
            </w:r>
            <w:r>
              <w:rPr>
                <w:rFonts w:hint="eastAsia" w:ascii="Times New Roman" w:hAnsi="Times New Roman" w:eastAsia="宋体" w:cs="Times New Roman"/>
                <w:b w:val="0"/>
                <w:bCs/>
                <w:color w:val="auto"/>
                <w:spacing w:val="0"/>
                <w:kern w:val="2"/>
                <w:sz w:val="24"/>
                <w:szCs w:val="24"/>
                <w:highlight w:val="none"/>
                <w:lang w:eastAsia="zh-CN"/>
              </w:rPr>
              <w:t>叫作</w:t>
            </w:r>
            <w:r>
              <w:rPr>
                <w:rFonts w:hint="default" w:ascii="Times New Roman" w:hAnsi="Times New Roman" w:eastAsia="宋体" w:cs="Times New Roman"/>
                <w:b w:val="0"/>
                <w:bCs/>
                <w:color w:val="auto"/>
                <w:spacing w:val="0"/>
                <w:kern w:val="2"/>
                <w:sz w:val="24"/>
                <w:szCs w:val="24"/>
                <w:highlight w:val="none"/>
              </w:rPr>
              <w:t>催化燃烧法。由于催化剂的载体是由多孔材料制作的，具有较大的比表面积和合适的孔径，当加热到300</w:t>
            </w:r>
            <w:r>
              <w:rPr>
                <w:rFonts w:hint="default" w:ascii="Times New Roman" w:hAnsi="Times New Roman" w:eastAsia="宋体" w:cs="Times New Roman"/>
                <w:b w:val="0"/>
                <w:bCs/>
                <w:color w:val="auto"/>
                <w:spacing w:val="0"/>
                <w:kern w:val="2"/>
                <w:sz w:val="24"/>
                <w:szCs w:val="24"/>
                <w:highlight w:val="none"/>
                <w:lang w:val="en-US" w:eastAsia="zh-CN"/>
              </w:rPr>
              <w:t>~</w:t>
            </w:r>
            <w:r>
              <w:rPr>
                <w:rFonts w:hint="default" w:ascii="Times New Roman" w:hAnsi="Times New Roman" w:eastAsia="宋体" w:cs="Times New Roman"/>
                <w:b w:val="0"/>
                <w:bCs/>
                <w:color w:val="auto"/>
                <w:spacing w:val="0"/>
                <w:kern w:val="2"/>
                <w:sz w:val="24"/>
                <w:szCs w:val="24"/>
                <w:highlight w:val="none"/>
              </w:rPr>
              <w:t>450℃的有机气体通过催化层时，氧和有机气体被吸附在多孔材料表层的催化剂上，增加了氧和有机气体接触碰撞的机会，提高了活性，使有机气体与氧产生剧烈的化学反应而生成CO</w:t>
            </w:r>
            <w:r>
              <w:rPr>
                <w:rFonts w:hint="default" w:ascii="Times New Roman" w:hAnsi="Times New Roman" w:eastAsia="宋体" w:cs="Times New Roman"/>
                <w:b w:val="0"/>
                <w:bCs/>
                <w:color w:val="auto"/>
                <w:spacing w:val="0"/>
                <w:kern w:val="2"/>
                <w:sz w:val="24"/>
                <w:szCs w:val="24"/>
                <w:highlight w:val="none"/>
                <w:vertAlign w:val="subscript"/>
              </w:rPr>
              <w:t>2</w:t>
            </w:r>
            <w:r>
              <w:rPr>
                <w:rFonts w:hint="default" w:ascii="Times New Roman" w:hAnsi="Times New Roman" w:eastAsia="宋体" w:cs="Times New Roman"/>
                <w:b w:val="0"/>
                <w:bCs/>
                <w:color w:val="auto"/>
                <w:spacing w:val="0"/>
                <w:kern w:val="2"/>
                <w:sz w:val="24"/>
                <w:szCs w:val="24"/>
                <w:highlight w:val="none"/>
              </w:rPr>
              <w:t>和H</w:t>
            </w:r>
            <w:r>
              <w:rPr>
                <w:rFonts w:hint="default" w:ascii="Times New Roman" w:hAnsi="Times New Roman" w:eastAsia="宋体" w:cs="Times New Roman"/>
                <w:b w:val="0"/>
                <w:bCs/>
                <w:color w:val="auto"/>
                <w:spacing w:val="0"/>
                <w:kern w:val="2"/>
                <w:sz w:val="24"/>
                <w:szCs w:val="24"/>
                <w:highlight w:val="none"/>
                <w:vertAlign w:val="subscript"/>
              </w:rPr>
              <w:t>2</w:t>
            </w:r>
            <w:r>
              <w:rPr>
                <w:rFonts w:hint="default" w:ascii="Times New Roman" w:hAnsi="Times New Roman" w:eastAsia="宋体" w:cs="Times New Roman"/>
                <w:b w:val="0"/>
                <w:bCs/>
                <w:color w:val="auto"/>
                <w:spacing w:val="0"/>
                <w:kern w:val="2"/>
                <w:sz w:val="24"/>
                <w:szCs w:val="24"/>
                <w:highlight w:val="none"/>
              </w:rPr>
              <w:t>O，同时产生热量，从而使得有机气体变成无害气体。</w:t>
            </w:r>
          </w:p>
          <w:p w14:paraId="1F65E240">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60" w:lineRule="auto"/>
              <w:ind w:firstLine="480" w:firstLineChars="200"/>
              <w:textAlignment w:val="baseline"/>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依据</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排污许可证申请与核发技术规范</w:t>
            </w:r>
            <w:r>
              <w:rPr>
                <w:rFonts w:hint="default" w:ascii="Times New Roman" w:hAnsi="Times New Roman" w:eastAsia="宋体" w:cs="Times New Roman"/>
                <w:color w:val="auto"/>
                <w:sz w:val="24"/>
                <w:szCs w:val="24"/>
                <w:highlight w:val="none"/>
                <w:lang w:eastAsia="zh-CN"/>
              </w:rPr>
              <w:t xml:space="preserve"> </w:t>
            </w:r>
            <w:r>
              <w:rPr>
                <w:rFonts w:hint="eastAsia" w:ascii="Times New Roman" w:hAnsi="Times New Roman" w:eastAsia="宋体" w:cs="Times New Roman"/>
                <w:color w:val="auto"/>
                <w:sz w:val="24"/>
                <w:szCs w:val="24"/>
                <w:highlight w:val="none"/>
                <w:lang w:val="en-US" w:eastAsia="zh-CN"/>
              </w:rPr>
              <w:t>电镀行业</w:t>
            </w:r>
            <w:r>
              <w:rPr>
                <w:rFonts w:hint="default" w:ascii="Times New Roman" w:hAnsi="Times New Roman" w:eastAsia="宋体" w:cs="Times New Roman"/>
                <w:color w:val="auto"/>
                <w:sz w:val="24"/>
                <w:szCs w:val="24"/>
                <w:highlight w:val="none"/>
                <w:lang w:eastAsia="zh-CN"/>
              </w:rPr>
              <w:t xml:space="preserve">》（HJ </w:t>
            </w:r>
            <w:r>
              <w:rPr>
                <w:rFonts w:hint="eastAsia" w:ascii="Times New Roman" w:hAnsi="Times New Roman" w:eastAsia="宋体" w:cs="Times New Roman"/>
                <w:color w:val="auto"/>
                <w:sz w:val="24"/>
                <w:szCs w:val="24"/>
                <w:highlight w:val="none"/>
                <w:lang w:val="en-US" w:eastAsia="zh-CN"/>
              </w:rPr>
              <w:t>885-2017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排污许可证申请与核发技术规范 工业炉窑</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HJ1121-2020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中</w:t>
            </w:r>
            <w:r>
              <w:rPr>
                <w:rFonts w:hint="eastAsia" w:ascii="Times New Roman" w:hAnsi="Times New Roman" w:eastAsia="宋体" w:cs="Times New Roman"/>
                <w:color w:val="auto"/>
                <w:spacing w:val="0"/>
                <w:sz w:val="24"/>
                <w:szCs w:val="24"/>
                <w:highlight w:val="none"/>
                <w:lang w:val="en-US" w:eastAsia="zh-CN"/>
              </w:rPr>
              <w:t>的要求本项目排放口属于一般排放口，</w:t>
            </w:r>
            <w:r>
              <w:rPr>
                <w:rFonts w:hint="default" w:ascii="Times New Roman" w:hAnsi="Times New Roman" w:eastAsia="宋体" w:cs="Times New Roman"/>
                <w:color w:val="auto"/>
                <w:sz w:val="24"/>
                <w:szCs w:val="24"/>
                <w:highlight w:val="none"/>
                <w:lang w:eastAsia="zh-CN"/>
              </w:rPr>
              <w:t>新疆东瑞精工管道制造有限公司</w:t>
            </w:r>
            <w:r>
              <w:rPr>
                <w:rFonts w:hint="eastAsia" w:ascii="Times New Roman" w:hAnsi="Times New Roman" w:eastAsia="宋体" w:cs="Times New Roman"/>
                <w:color w:val="auto"/>
                <w:sz w:val="24"/>
                <w:szCs w:val="24"/>
                <w:highlight w:val="none"/>
                <w:lang w:val="en-US" w:eastAsia="zh-CN"/>
              </w:rPr>
              <w:t>不属于重点排污单位。</w:t>
            </w:r>
          </w:p>
          <w:p w14:paraId="35A6BC12">
            <w:pPr>
              <w:pStyle w:val="5"/>
              <w:keepNext w:val="0"/>
              <w:keepLines/>
              <w:pageBreakBefore w:val="0"/>
              <w:widowControl w:val="0"/>
              <w:numPr>
                <w:ilvl w:val="2"/>
                <w:numId w:val="0"/>
              </w:numPr>
              <w:kinsoku/>
              <w:wordWrap/>
              <w:overflowPunct/>
              <w:topLinePunct w:val="0"/>
              <w:autoSpaceDE/>
              <w:autoSpaceDN/>
              <w:bidi w:val="0"/>
              <w:adjustRightInd w:val="0"/>
              <w:snapToGrid w:val="0"/>
              <w:spacing w:before="0" w:beforeLines="100" w:line="240" w:lineRule="auto"/>
              <w:jc w:val="center"/>
              <w:textAlignment w:val="bottom"/>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表4-</w:t>
            </w:r>
            <w:r>
              <w:rPr>
                <w:rFonts w:hint="default" w:ascii="Times New Roman" w:hAnsi="Times New Roman" w:eastAsia="宋体" w:cs="Times New Roman"/>
                <w:b/>
                <w:bCs/>
                <w:color w:val="auto"/>
                <w:spacing w:val="0"/>
                <w:sz w:val="21"/>
                <w:szCs w:val="21"/>
                <w:highlight w:val="none"/>
                <w:lang w:val="en-US" w:eastAsia="zh-CN"/>
              </w:rPr>
              <w:t>6</w:t>
            </w:r>
            <w:r>
              <w:rPr>
                <w:rFonts w:hint="default" w:ascii="Times New Roman" w:hAnsi="Times New Roman" w:eastAsia="宋体" w:cs="Times New Roman"/>
                <w:b/>
                <w:bCs/>
                <w:color w:val="auto"/>
                <w:spacing w:val="0"/>
                <w:sz w:val="21"/>
                <w:szCs w:val="21"/>
                <w:highlight w:val="none"/>
              </w:rPr>
              <w:t xml:space="preserve">  废气污染物排气筒情况</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88"/>
              <w:gridCol w:w="1668"/>
              <w:gridCol w:w="2933"/>
              <w:gridCol w:w="633"/>
              <w:gridCol w:w="617"/>
              <w:gridCol w:w="660"/>
              <w:gridCol w:w="1224"/>
            </w:tblGrid>
            <w:tr w14:paraId="2740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62" w:type="pct"/>
                  <w:tcBorders>
                    <w:tl2br w:val="nil"/>
                    <w:tr2bl w:val="nil"/>
                  </w:tcBorders>
                  <w:noWrap w:val="0"/>
                  <w:vAlign w:val="center"/>
                </w:tcPr>
                <w:p w14:paraId="6A919B3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编号</w:t>
                  </w:r>
                </w:p>
              </w:tc>
              <w:tc>
                <w:tcPr>
                  <w:tcW w:w="978" w:type="pct"/>
                  <w:tcBorders>
                    <w:tl2br w:val="nil"/>
                    <w:tr2bl w:val="nil"/>
                  </w:tcBorders>
                  <w:noWrap w:val="0"/>
                  <w:vAlign w:val="center"/>
                </w:tcPr>
                <w:p w14:paraId="37B4FCA6">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名称</w:t>
                  </w:r>
                </w:p>
              </w:tc>
              <w:tc>
                <w:tcPr>
                  <w:tcW w:w="1720" w:type="pct"/>
                  <w:tcBorders>
                    <w:tl2br w:val="nil"/>
                    <w:tr2bl w:val="nil"/>
                  </w:tcBorders>
                  <w:noWrap w:val="0"/>
                  <w:vAlign w:val="center"/>
                </w:tcPr>
                <w:p w14:paraId="779AD34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lang w:eastAsia="zh-CN"/>
                    </w:rPr>
                  </w:pPr>
                  <w:r>
                    <w:rPr>
                      <w:rFonts w:hint="default" w:ascii="Times New Roman" w:hAnsi="Times New Roman" w:eastAsia="宋体" w:cs="Times New Roman"/>
                      <w:b/>
                      <w:bCs/>
                      <w:color w:val="auto"/>
                      <w:spacing w:val="0"/>
                      <w:sz w:val="21"/>
                      <w:szCs w:val="21"/>
                      <w:highlight w:val="none"/>
                      <w:lang w:eastAsia="zh-CN"/>
                    </w:rPr>
                    <w:t>地理坐标</w:t>
                  </w:r>
                </w:p>
              </w:tc>
              <w:tc>
                <w:tcPr>
                  <w:tcW w:w="371" w:type="pct"/>
                  <w:tcBorders>
                    <w:tl2br w:val="nil"/>
                    <w:tr2bl w:val="nil"/>
                  </w:tcBorders>
                  <w:noWrap w:val="0"/>
                  <w:vAlign w:val="center"/>
                </w:tcPr>
                <w:p w14:paraId="1A7546D7">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高度</w:t>
                  </w:r>
                </w:p>
              </w:tc>
              <w:tc>
                <w:tcPr>
                  <w:tcW w:w="362" w:type="pct"/>
                  <w:tcBorders>
                    <w:tl2br w:val="nil"/>
                    <w:tr2bl w:val="nil"/>
                  </w:tcBorders>
                  <w:noWrap w:val="0"/>
                  <w:vAlign w:val="center"/>
                </w:tcPr>
                <w:p w14:paraId="1320C427">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内径</w:t>
                  </w:r>
                </w:p>
              </w:tc>
              <w:tc>
                <w:tcPr>
                  <w:tcW w:w="387" w:type="pct"/>
                  <w:tcBorders>
                    <w:tl2br w:val="nil"/>
                    <w:tr2bl w:val="nil"/>
                  </w:tcBorders>
                  <w:noWrap w:val="0"/>
                  <w:vAlign w:val="center"/>
                </w:tcPr>
                <w:p w14:paraId="4A5F5215">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温度</w:t>
                  </w:r>
                </w:p>
              </w:tc>
              <w:tc>
                <w:tcPr>
                  <w:tcW w:w="718" w:type="pct"/>
                  <w:tcBorders>
                    <w:tl2br w:val="nil"/>
                    <w:tr2bl w:val="nil"/>
                  </w:tcBorders>
                  <w:noWrap w:val="0"/>
                  <w:vAlign w:val="center"/>
                </w:tcPr>
                <w:p w14:paraId="3983ADFE">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类型</w:t>
                  </w:r>
                </w:p>
              </w:tc>
            </w:tr>
            <w:tr w14:paraId="16EA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62" w:type="pct"/>
                  <w:tcBorders>
                    <w:tl2br w:val="nil"/>
                    <w:tr2bl w:val="nil"/>
                  </w:tcBorders>
                  <w:noWrap w:val="0"/>
                  <w:vAlign w:val="center"/>
                </w:tcPr>
                <w:p w14:paraId="57DE4841">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DA001</w:t>
                  </w:r>
                </w:p>
              </w:tc>
              <w:tc>
                <w:tcPr>
                  <w:tcW w:w="978" w:type="pct"/>
                  <w:tcBorders>
                    <w:tl2br w:val="nil"/>
                    <w:tr2bl w:val="nil"/>
                  </w:tcBorders>
                  <w:noWrap w:val="0"/>
                  <w:vAlign w:val="center"/>
                </w:tcPr>
                <w:p w14:paraId="7F91770D">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切割、喷砂工序废气排气筒</w:t>
                  </w:r>
                </w:p>
              </w:tc>
              <w:tc>
                <w:tcPr>
                  <w:tcW w:w="1720" w:type="pct"/>
                  <w:tcBorders>
                    <w:tl2br w:val="nil"/>
                    <w:tr2bl w:val="nil"/>
                  </w:tcBorders>
                  <w:noWrap w:val="0"/>
                  <w:vAlign w:val="center"/>
                </w:tcPr>
                <w:p w14:paraId="4D248E08">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firstLine="0" w:firstLineChars="0"/>
                    <w:jc w:val="center"/>
                    <w:textAlignment w:val="bottom"/>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t>87.236262140,43.877825809</w:t>
                  </w:r>
                </w:p>
              </w:tc>
              <w:tc>
                <w:tcPr>
                  <w:tcW w:w="371" w:type="pct"/>
                  <w:tcBorders>
                    <w:tl2br w:val="nil"/>
                    <w:tr2bl w:val="nil"/>
                  </w:tcBorders>
                  <w:noWrap w:val="0"/>
                  <w:vAlign w:val="center"/>
                </w:tcPr>
                <w:p w14:paraId="268D1742">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15</w:t>
                  </w:r>
                  <w:r>
                    <w:rPr>
                      <w:rFonts w:hint="default" w:ascii="Times New Roman" w:hAnsi="Times New Roman" w:eastAsia="宋体" w:cs="Times New Roman"/>
                      <w:color w:val="auto"/>
                      <w:spacing w:val="0"/>
                      <w:sz w:val="21"/>
                      <w:szCs w:val="21"/>
                      <w:highlight w:val="none"/>
                    </w:rPr>
                    <w:t>m</w:t>
                  </w:r>
                </w:p>
              </w:tc>
              <w:tc>
                <w:tcPr>
                  <w:tcW w:w="362" w:type="pct"/>
                  <w:tcBorders>
                    <w:tl2br w:val="nil"/>
                    <w:tr2bl w:val="nil"/>
                  </w:tcBorders>
                  <w:noWrap w:val="0"/>
                  <w:vAlign w:val="center"/>
                </w:tcPr>
                <w:p w14:paraId="26CFB3F0">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0.5m</w:t>
                  </w:r>
                </w:p>
              </w:tc>
              <w:tc>
                <w:tcPr>
                  <w:tcW w:w="387" w:type="pct"/>
                  <w:tcBorders>
                    <w:tl2br w:val="nil"/>
                    <w:tr2bl w:val="nil"/>
                  </w:tcBorders>
                  <w:noWrap w:val="0"/>
                  <w:vAlign w:val="center"/>
                </w:tcPr>
                <w:p w14:paraId="6F343DFA">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20℃</w:t>
                  </w:r>
                </w:p>
              </w:tc>
              <w:tc>
                <w:tcPr>
                  <w:tcW w:w="718" w:type="pct"/>
                  <w:tcBorders>
                    <w:tl2br w:val="nil"/>
                    <w:tr2bl w:val="nil"/>
                  </w:tcBorders>
                  <w:noWrap w:val="0"/>
                  <w:vAlign w:val="center"/>
                </w:tcPr>
                <w:p w14:paraId="62678D1F">
                  <w:pPr>
                    <w:keepNext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一般排放口</w:t>
                  </w:r>
                </w:p>
              </w:tc>
            </w:tr>
            <w:tr w14:paraId="795D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62" w:type="pct"/>
                  <w:tcBorders>
                    <w:tl2br w:val="nil"/>
                    <w:tr2bl w:val="nil"/>
                  </w:tcBorders>
                  <w:noWrap w:val="0"/>
                  <w:vAlign w:val="center"/>
                </w:tcPr>
                <w:p w14:paraId="5748FE13">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DA002</w:t>
                  </w:r>
                </w:p>
              </w:tc>
              <w:tc>
                <w:tcPr>
                  <w:tcW w:w="978" w:type="pct"/>
                  <w:tcBorders>
                    <w:tl2br w:val="nil"/>
                    <w:tr2bl w:val="nil"/>
                  </w:tcBorders>
                  <w:noWrap w:val="0"/>
                  <w:vAlign w:val="center"/>
                </w:tcPr>
                <w:p w14:paraId="32BF9165">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热处理炉1#排气筒</w:t>
                  </w:r>
                </w:p>
              </w:tc>
              <w:tc>
                <w:tcPr>
                  <w:tcW w:w="1720" w:type="pct"/>
                  <w:tcBorders>
                    <w:tl2br w:val="nil"/>
                    <w:tr2bl w:val="nil"/>
                  </w:tcBorders>
                  <w:noWrap w:val="0"/>
                  <w:vAlign w:val="center"/>
                </w:tcPr>
                <w:p w14:paraId="1929A2C5">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firstLine="0" w:firstLineChars="0"/>
                    <w:jc w:val="center"/>
                    <w:textAlignment w:val="bottom"/>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pPr>
                  <w:r>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t>87.235382375,43.876967502</w:t>
                  </w:r>
                </w:p>
              </w:tc>
              <w:tc>
                <w:tcPr>
                  <w:tcW w:w="371" w:type="pct"/>
                  <w:tcBorders>
                    <w:tl2br w:val="nil"/>
                    <w:tr2bl w:val="nil"/>
                  </w:tcBorders>
                  <w:noWrap w:val="0"/>
                  <w:vAlign w:val="center"/>
                </w:tcPr>
                <w:p w14:paraId="7BEE2704">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15m</w:t>
                  </w:r>
                </w:p>
              </w:tc>
              <w:tc>
                <w:tcPr>
                  <w:tcW w:w="362" w:type="pct"/>
                  <w:tcBorders>
                    <w:tl2br w:val="nil"/>
                    <w:tr2bl w:val="nil"/>
                  </w:tcBorders>
                  <w:noWrap w:val="0"/>
                  <w:vAlign w:val="center"/>
                </w:tcPr>
                <w:p w14:paraId="494D5C5F">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0.5m</w:t>
                  </w:r>
                </w:p>
              </w:tc>
              <w:tc>
                <w:tcPr>
                  <w:tcW w:w="387" w:type="pct"/>
                  <w:tcBorders>
                    <w:tl2br w:val="nil"/>
                    <w:tr2bl w:val="nil"/>
                  </w:tcBorders>
                  <w:noWrap w:val="0"/>
                  <w:vAlign w:val="center"/>
                </w:tcPr>
                <w:p w14:paraId="066611C0">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75</w:t>
                  </w:r>
                  <w:r>
                    <w:rPr>
                      <w:rFonts w:hint="default" w:ascii="Times New Roman" w:hAnsi="Times New Roman" w:eastAsia="宋体" w:cs="Times New Roman"/>
                      <w:color w:val="auto"/>
                      <w:spacing w:val="0"/>
                      <w:sz w:val="21"/>
                      <w:szCs w:val="21"/>
                      <w:highlight w:val="none"/>
                    </w:rPr>
                    <w:t>℃</w:t>
                  </w:r>
                </w:p>
              </w:tc>
              <w:tc>
                <w:tcPr>
                  <w:tcW w:w="718" w:type="pct"/>
                  <w:tcBorders>
                    <w:tl2br w:val="nil"/>
                    <w:tr2bl w:val="nil"/>
                  </w:tcBorders>
                  <w:noWrap w:val="0"/>
                  <w:vAlign w:val="center"/>
                </w:tcPr>
                <w:p w14:paraId="525450EB">
                  <w:pPr>
                    <w:keepNext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一般排放口</w:t>
                  </w:r>
                </w:p>
              </w:tc>
            </w:tr>
            <w:tr w14:paraId="5B33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62" w:type="pct"/>
                  <w:tcBorders>
                    <w:tl2br w:val="nil"/>
                    <w:tr2bl w:val="nil"/>
                  </w:tcBorders>
                  <w:noWrap w:val="0"/>
                  <w:vAlign w:val="center"/>
                </w:tcPr>
                <w:p w14:paraId="0AF8A719">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DA003</w:t>
                  </w:r>
                </w:p>
              </w:tc>
              <w:tc>
                <w:tcPr>
                  <w:tcW w:w="978" w:type="pct"/>
                  <w:tcBorders>
                    <w:tl2br w:val="nil"/>
                    <w:tr2bl w:val="nil"/>
                  </w:tcBorders>
                  <w:noWrap w:val="0"/>
                  <w:vAlign w:val="center"/>
                </w:tcPr>
                <w:p w14:paraId="6F4DD6B0">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热处理炉2#排气筒</w:t>
                  </w:r>
                </w:p>
              </w:tc>
              <w:tc>
                <w:tcPr>
                  <w:tcW w:w="1720" w:type="pct"/>
                  <w:tcBorders>
                    <w:tl2br w:val="nil"/>
                    <w:tr2bl w:val="nil"/>
                  </w:tcBorders>
                  <w:noWrap w:val="0"/>
                  <w:vAlign w:val="center"/>
                </w:tcPr>
                <w:p w14:paraId="5730BA2E">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firstLine="0" w:firstLineChars="0"/>
                    <w:jc w:val="center"/>
                    <w:textAlignment w:val="bottom"/>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pPr>
                  <w:r>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t>87.235419926,43.876929951</w:t>
                  </w:r>
                </w:p>
              </w:tc>
              <w:tc>
                <w:tcPr>
                  <w:tcW w:w="634" w:type="dxa"/>
                  <w:tcBorders>
                    <w:tl2br w:val="nil"/>
                    <w:tr2bl w:val="nil"/>
                  </w:tcBorders>
                  <w:noWrap w:val="0"/>
                  <w:vAlign w:val="center"/>
                </w:tcPr>
                <w:p w14:paraId="67FC773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15m</w:t>
                  </w:r>
                </w:p>
              </w:tc>
              <w:tc>
                <w:tcPr>
                  <w:tcW w:w="619" w:type="dxa"/>
                  <w:tcBorders>
                    <w:tl2br w:val="nil"/>
                    <w:tr2bl w:val="nil"/>
                  </w:tcBorders>
                  <w:noWrap w:val="0"/>
                  <w:vAlign w:val="center"/>
                </w:tcPr>
                <w:p w14:paraId="220065B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0.5m</w:t>
                  </w:r>
                </w:p>
              </w:tc>
              <w:tc>
                <w:tcPr>
                  <w:tcW w:w="662" w:type="dxa"/>
                  <w:tcBorders>
                    <w:tl2br w:val="nil"/>
                    <w:tr2bl w:val="nil"/>
                  </w:tcBorders>
                  <w:noWrap w:val="0"/>
                  <w:vAlign w:val="center"/>
                </w:tcPr>
                <w:p w14:paraId="557A9C0C">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75</w:t>
                  </w:r>
                  <w:r>
                    <w:rPr>
                      <w:rFonts w:hint="default" w:ascii="Times New Roman" w:hAnsi="Times New Roman" w:eastAsia="宋体" w:cs="Times New Roman"/>
                      <w:color w:val="auto"/>
                      <w:spacing w:val="0"/>
                      <w:sz w:val="21"/>
                      <w:szCs w:val="21"/>
                      <w:highlight w:val="none"/>
                    </w:rPr>
                    <w:t>℃</w:t>
                  </w:r>
                </w:p>
              </w:tc>
              <w:tc>
                <w:tcPr>
                  <w:tcW w:w="1229" w:type="dxa"/>
                  <w:tcBorders>
                    <w:tl2br w:val="nil"/>
                    <w:tr2bl w:val="nil"/>
                  </w:tcBorders>
                  <w:noWrap w:val="0"/>
                  <w:vAlign w:val="center"/>
                </w:tcPr>
                <w:p w14:paraId="5D02B9B3">
                  <w:pPr>
                    <w:keepNext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一般排放口</w:t>
                  </w:r>
                </w:p>
              </w:tc>
            </w:tr>
            <w:tr w14:paraId="7E32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62" w:type="pct"/>
                  <w:tcBorders>
                    <w:tl2br w:val="nil"/>
                    <w:tr2bl w:val="nil"/>
                  </w:tcBorders>
                  <w:noWrap w:val="0"/>
                  <w:vAlign w:val="center"/>
                </w:tcPr>
                <w:p w14:paraId="3B3D5B71">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DA004</w:t>
                  </w:r>
                </w:p>
              </w:tc>
              <w:tc>
                <w:tcPr>
                  <w:tcW w:w="978" w:type="pct"/>
                  <w:tcBorders>
                    <w:tl2br w:val="nil"/>
                    <w:tr2bl w:val="nil"/>
                  </w:tcBorders>
                  <w:noWrap w:val="0"/>
                  <w:vAlign w:val="center"/>
                </w:tcPr>
                <w:p w14:paraId="49DEF94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刷漆、涂粉工序排气筒</w:t>
                  </w:r>
                </w:p>
              </w:tc>
              <w:tc>
                <w:tcPr>
                  <w:tcW w:w="1720" w:type="pct"/>
                  <w:tcBorders>
                    <w:tl2br w:val="nil"/>
                    <w:tr2bl w:val="nil"/>
                  </w:tcBorders>
                  <w:noWrap w:val="0"/>
                  <w:vAlign w:val="center"/>
                </w:tcPr>
                <w:p w14:paraId="44CD372F">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firstLine="0" w:firstLineChars="0"/>
                    <w:jc w:val="center"/>
                    <w:textAlignment w:val="bottom"/>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pPr>
                  <w:r>
                    <w:rPr>
                      <w:rFonts w:hint="default" w:ascii="Times New Roman" w:hAnsi="Times New Roman" w:eastAsia="宋体" w:cs="Times New Roman"/>
                      <w:b w:val="0"/>
                      <w:bCs w:val="0"/>
                      <w:color w:val="auto"/>
                      <w:spacing w:val="0"/>
                      <w:kern w:val="0"/>
                      <w:sz w:val="21"/>
                      <w:szCs w:val="21"/>
                      <w:highlight w:val="none"/>
                      <w:vertAlign w:val="baseline"/>
                      <w:lang w:val="en-US" w:eastAsia="zh-CN" w:bidi="ar-SA"/>
                    </w:rPr>
                    <w:t>87.235489664,43.877326918</w:t>
                  </w:r>
                </w:p>
              </w:tc>
              <w:tc>
                <w:tcPr>
                  <w:tcW w:w="634" w:type="dxa"/>
                  <w:tcBorders>
                    <w:tl2br w:val="nil"/>
                    <w:tr2bl w:val="nil"/>
                  </w:tcBorders>
                  <w:noWrap w:val="0"/>
                  <w:vAlign w:val="center"/>
                </w:tcPr>
                <w:p w14:paraId="1ED1CC76">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15</w:t>
                  </w:r>
                  <w:r>
                    <w:rPr>
                      <w:rFonts w:hint="default" w:ascii="Times New Roman" w:hAnsi="Times New Roman" w:eastAsia="宋体" w:cs="Times New Roman"/>
                      <w:color w:val="auto"/>
                      <w:spacing w:val="0"/>
                      <w:sz w:val="21"/>
                      <w:szCs w:val="21"/>
                      <w:highlight w:val="none"/>
                    </w:rPr>
                    <w:t>m</w:t>
                  </w:r>
                </w:p>
              </w:tc>
              <w:tc>
                <w:tcPr>
                  <w:tcW w:w="619" w:type="dxa"/>
                  <w:tcBorders>
                    <w:tl2br w:val="nil"/>
                    <w:tr2bl w:val="nil"/>
                  </w:tcBorders>
                  <w:noWrap w:val="0"/>
                  <w:vAlign w:val="center"/>
                </w:tcPr>
                <w:p w14:paraId="0175A00B">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0.5m</w:t>
                  </w:r>
                </w:p>
              </w:tc>
              <w:tc>
                <w:tcPr>
                  <w:tcW w:w="662" w:type="dxa"/>
                  <w:tcBorders>
                    <w:tl2br w:val="nil"/>
                    <w:tr2bl w:val="nil"/>
                  </w:tcBorders>
                  <w:noWrap w:val="0"/>
                  <w:vAlign w:val="center"/>
                </w:tcPr>
                <w:p w14:paraId="141EC636">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20℃</w:t>
                  </w:r>
                </w:p>
              </w:tc>
              <w:tc>
                <w:tcPr>
                  <w:tcW w:w="1229" w:type="dxa"/>
                  <w:tcBorders>
                    <w:tl2br w:val="nil"/>
                    <w:tr2bl w:val="nil"/>
                  </w:tcBorders>
                  <w:noWrap w:val="0"/>
                  <w:vAlign w:val="center"/>
                </w:tcPr>
                <w:p w14:paraId="18DEA88C">
                  <w:pPr>
                    <w:keepNext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一般排放口</w:t>
                  </w:r>
                </w:p>
              </w:tc>
            </w:tr>
          </w:tbl>
          <w:p w14:paraId="60C734E4">
            <w:pPr>
              <w:keepNext w:val="0"/>
              <w:keepLines w:val="0"/>
              <w:pageBreakBefore w:val="0"/>
              <w:widowControl w:val="0"/>
              <w:kinsoku/>
              <w:wordWrap/>
              <w:overflowPunct/>
              <w:topLinePunct w:val="0"/>
              <w:autoSpaceDE/>
              <w:autoSpaceDN/>
              <w:bidi w:val="0"/>
              <w:adjustRightInd w:val="0"/>
              <w:snapToGrid w:val="0"/>
              <w:spacing w:before="0" w:beforeLines="50"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（三）非正常工况废气源强核算</w:t>
            </w:r>
          </w:p>
          <w:p w14:paraId="66D3EE92">
            <w:pPr>
              <w:keepNext w:val="0"/>
              <w:keepLines w:val="0"/>
              <w:pageBreakBefore w:val="0"/>
              <w:widowControl/>
              <w:kinsoku/>
              <w:wordWrap/>
              <w:overflowPunct/>
              <w:topLinePunct w:val="0"/>
              <w:bidi w:val="0"/>
              <w:adjustRightInd w:val="0"/>
              <w:snapToGrid w:val="0"/>
              <w:spacing w:line="360" w:lineRule="auto"/>
              <w:ind w:firstLine="480" w:firstLineChars="200"/>
              <w:jc w:val="both"/>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本项目非正常工况为有机废气处理设备、颗粒物故障，</w:t>
            </w:r>
            <w:r>
              <w:rPr>
                <w:rFonts w:hint="default" w:ascii="Times New Roman" w:hAnsi="Times New Roman" w:eastAsia="宋体" w:cs="Times New Roman"/>
                <w:bCs/>
                <w:color w:val="auto"/>
                <w:spacing w:val="0"/>
                <w:sz w:val="24"/>
                <w:szCs w:val="24"/>
                <w:highlight w:val="none"/>
              </w:rPr>
              <w:t>污染物排放量会骤然增加</w:t>
            </w:r>
            <w:r>
              <w:rPr>
                <w:rFonts w:hint="default" w:ascii="Times New Roman" w:hAnsi="Times New Roman" w:eastAsia="宋体" w:cs="Times New Roman"/>
                <w:color w:val="auto"/>
                <w:spacing w:val="0"/>
                <w:sz w:val="24"/>
                <w:szCs w:val="24"/>
                <w:highlight w:val="none"/>
                <w:lang w:val="en-US" w:eastAsia="zh-CN"/>
              </w:rPr>
              <w:t>的情况，非正常工况废气污染物产生及排放情况详见表4-7。</w:t>
            </w:r>
          </w:p>
          <w:p w14:paraId="39ECA8FB">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Chars="0"/>
              <w:jc w:val="center"/>
              <w:textAlignment w:val="bottom"/>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表4-7  非正常工况废气污染物产生及排放情况</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66"/>
              <w:gridCol w:w="1016"/>
              <w:gridCol w:w="1180"/>
              <w:gridCol w:w="1180"/>
              <w:gridCol w:w="1162"/>
              <w:gridCol w:w="606"/>
              <w:gridCol w:w="1755"/>
              <w:gridCol w:w="963"/>
            </w:tblGrid>
            <w:tr w14:paraId="4E42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391" w:type="pct"/>
                  <w:tcBorders>
                    <w:tl2br w:val="nil"/>
                    <w:tr2bl w:val="nil"/>
                  </w:tcBorders>
                  <w:noWrap w:val="0"/>
                  <w:vAlign w:val="center"/>
                </w:tcPr>
                <w:p w14:paraId="14EA3C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eastAsia="zh-CN"/>
                    </w:rPr>
                  </w:pPr>
                  <w:r>
                    <w:rPr>
                      <w:rFonts w:hint="default" w:ascii="Times New Roman" w:hAnsi="Times New Roman" w:eastAsia="宋体" w:cs="Times New Roman"/>
                      <w:b/>
                      <w:bCs/>
                      <w:color w:val="auto"/>
                      <w:spacing w:val="0"/>
                      <w:sz w:val="21"/>
                      <w:szCs w:val="21"/>
                      <w:highlight w:val="none"/>
                      <w:lang w:eastAsia="zh-CN"/>
                    </w:rPr>
                    <w:t>排放源</w:t>
                  </w:r>
                </w:p>
              </w:tc>
              <w:tc>
                <w:tcPr>
                  <w:tcW w:w="595" w:type="pct"/>
                  <w:tcBorders>
                    <w:tl2br w:val="nil"/>
                    <w:tr2bl w:val="nil"/>
                  </w:tcBorders>
                  <w:noWrap w:val="0"/>
                  <w:vAlign w:val="center"/>
                </w:tcPr>
                <w:p w14:paraId="28AE0F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污染物</w:t>
                  </w:r>
                </w:p>
              </w:tc>
              <w:tc>
                <w:tcPr>
                  <w:tcW w:w="691" w:type="pct"/>
                  <w:tcBorders>
                    <w:tl2br w:val="nil"/>
                    <w:tr2bl w:val="nil"/>
                  </w:tcBorders>
                  <w:noWrap w:val="0"/>
                  <w:vAlign w:val="center"/>
                </w:tcPr>
                <w:p w14:paraId="2A3132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b/>
                      <w:bCs/>
                      <w:color w:val="auto"/>
                      <w:spacing w:val="0"/>
                      <w:sz w:val="21"/>
                      <w:szCs w:val="21"/>
                      <w:highlight w:val="none"/>
                      <w:lang w:val="en-US" w:eastAsia="zh-CN"/>
                    </w:rPr>
                    <w:t>排放浓度</w:t>
                  </w:r>
                  <w:r>
                    <w:rPr>
                      <w:rFonts w:hint="default" w:ascii="Times New Roman" w:hAnsi="Times New Roman" w:eastAsia="宋体" w:cs="Times New Roman"/>
                      <w:b/>
                      <w:bCs/>
                      <w:color w:val="auto"/>
                      <w:sz w:val="21"/>
                      <w:szCs w:val="21"/>
                      <w:highlight w:val="none"/>
                    </w:rPr>
                    <w:t>mg/m³</w:t>
                  </w:r>
                </w:p>
              </w:tc>
              <w:tc>
                <w:tcPr>
                  <w:tcW w:w="691" w:type="pct"/>
                  <w:tcBorders>
                    <w:tl2br w:val="nil"/>
                    <w:tr2bl w:val="nil"/>
                  </w:tcBorders>
                  <w:noWrap w:val="0"/>
                  <w:vAlign w:val="center"/>
                </w:tcPr>
                <w:p w14:paraId="03DB99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排放量</w:t>
                  </w:r>
                  <w:r>
                    <w:rPr>
                      <w:rFonts w:hint="default" w:ascii="Times New Roman" w:hAnsi="Times New Roman" w:eastAsia="宋体" w:cs="Times New Roman"/>
                      <w:b/>
                      <w:bCs/>
                      <w:color w:val="auto"/>
                      <w:spacing w:val="0"/>
                      <w:sz w:val="21"/>
                      <w:szCs w:val="21"/>
                      <w:highlight w:val="none"/>
                      <w:lang w:val="en-US" w:eastAsia="zh-CN"/>
                    </w:rPr>
                    <w:t>kg/h</w:t>
                  </w:r>
                </w:p>
              </w:tc>
              <w:tc>
                <w:tcPr>
                  <w:tcW w:w="681" w:type="pct"/>
                  <w:tcBorders>
                    <w:tl2br w:val="nil"/>
                    <w:tr2bl w:val="nil"/>
                  </w:tcBorders>
                  <w:noWrap w:val="0"/>
                  <w:vAlign w:val="center"/>
                </w:tcPr>
                <w:p w14:paraId="3AF1BC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eastAsia="zh-CN"/>
                    </w:rPr>
                    <w:t>持续时间</w:t>
                  </w:r>
                </w:p>
              </w:tc>
              <w:tc>
                <w:tcPr>
                  <w:tcW w:w="355" w:type="pct"/>
                  <w:tcBorders>
                    <w:tl2br w:val="nil"/>
                    <w:tr2bl w:val="nil"/>
                  </w:tcBorders>
                  <w:noWrap w:val="0"/>
                  <w:vAlign w:val="center"/>
                </w:tcPr>
                <w:p w14:paraId="6441C2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eastAsia="zh-CN"/>
                    </w:rPr>
                  </w:pPr>
                  <w:r>
                    <w:rPr>
                      <w:rFonts w:hint="default" w:ascii="Times New Roman" w:hAnsi="Times New Roman" w:eastAsia="宋体" w:cs="Times New Roman"/>
                      <w:b/>
                      <w:bCs/>
                      <w:color w:val="auto"/>
                      <w:spacing w:val="0"/>
                      <w:sz w:val="21"/>
                      <w:szCs w:val="21"/>
                      <w:highlight w:val="none"/>
                      <w:lang w:eastAsia="zh-CN"/>
                    </w:rPr>
                    <w:t>频次</w:t>
                  </w:r>
                </w:p>
              </w:tc>
              <w:tc>
                <w:tcPr>
                  <w:tcW w:w="1028" w:type="pct"/>
                  <w:tcBorders>
                    <w:tl2br w:val="nil"/>
                    <w:tr2bl w:val="nil"/>
                  </w:tcBorders>
                  <w:noWrap w:val="0"/>
                  <w:vAlign w:val="center"/>
                </w:tcPr>
                <w:p w14:paraId="710CBD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eastAsia="zh-CN"/>
                    </w:rPr>
                  </w:pPr>
                  <w:r>
                    <w:rPr>
                      <w:rFonts w:hint="default" w:ascii="Times New Roman" w:hAnsi="Times New Roman" w:eastAsia="宋体" w:cs="Times New Roman"/>
                      <w:b/>
                      <w:bCs/>
                      <w:color w:val="auto"/>
                      <w:spacing w:val="0"/>
                      <w:sz w:val="21"/>
                      <w:szCs w:val="21"/>
                      <w:highlight w:val="none"/>
                      <w:lang w:eastAsia="zh-CN"/>
                    </w:rPr>
                    <w:t>非正常工况</w:t>
                  </w:r>
                </w:p>
              </w:tc>
              <w:tc>
                <w:tcPr>
                  <w:tcW w:w="564" w:type="pct"/>
                  <w:tcBorders>
                    <w:tl2br w:val="nil"/>
                    <w:tr2bl w:val="nil"/>
                  </w:tcBorders>
                  <w:noWrap w:val="0"/>
                  <w:vAlign w:val="center"/>
                </w:tcPr>
                <w:p w14:paraId="78E805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应对措施</w:t>
                  </w:r>
                </w:p>
              </w:tc>
            </w:tr>
            <w:tr w14:paraId="2AF2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391" w:type="pct"/>
                  <w:tcBorders>
                    <w:tl2br w:val="nil"/>
                    <w:tr2bl w:val="nil"/>
                  </w:tcBorders>
                  <w:noWrap w:val="0"/>
                  <w:vAlign w:val="center"/>
                </w:tcPr>
                <w:p w14:paraId="422C51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切割机、喷砂装置</w:t>
                  </w:r>
                </w:p>
              </w:tc>
              <w:tc>
                <w:tcPr>
                  <w:tcW w:w="595" w:type="pct"/>
                  <w:tcBorders>
                    <w:tl2br w:val="nil"/>
                    <w:tr2bl w:val="nil"/>
                  </w:tcBorders>
                  <w:noWrap w:val="0"/>
                  <w:vAlign w:val="center"/>
                </w:tcPr>
                <w:p w14:paraId="0CA8F7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691" w:type="pct"/>
                  <w:tcBorders>
                    <w:tl2br w:val="nil"/>
                    <w:tr2bl w:val="nil"/>
                  </w:tcBorders>
                  <w:noWrap w:val="0"/>
                  <w:vAlign w:val="center"/>
                </w:tcPr>
                <w:p w14:paraId="5B10E0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0"/>
                      <w:sz w:val="21"/>
                      <w:szCs w:val="21"/>
                      <w:highlight w:val="none"/>
                      <w:lang w:val="en-US" w:eastAsia="zh-CN"/>
                    </w:rPr>
                  </w:pPr>
                  <w:r>
                    <w:rPr>
                      <w:rFonts w:hint="eastAsia" w:ascii="Times New Roman" w:hAnsi="Times New Roman" w:cs="Times New Roman" w:eastAsiaTheme="minorEastAsia"/>
                      <w:color w:val="auto"/>
                      <w:kern w:val="0"/>
                      <w:sz w:val="21"/>
                      <w:szCs w:val="21"/>
                      <w:highlight w:val="none"/>
                      <w:lang w:val="en-US" w:eastAsia="zh-CN"/>
                    </w:rPr>
                    <w:t>323.953</w:t>
                  </w:r>
                </w:p>
              </w:tc>
              <w:tc>
                <w:tcPr>
                  <w:tcW w:w="691" w:type="pct"/>
                  <w:tcBorders>
                    <w:tl2br w:val="nil"/>
                    <w:tr2bl w:val="nil"/>
                  </w:tcBorders>
                  <w:noWrap w:val="0"/>
                  <w:vAlign w:val="center"/>
                </w:tcPr>
                <w:p w14:paraId="562B97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rPr>
                    <w:t>4.613</w:t>
                  </w:r>
                </w:p>
              </w:tc>
              <w:tc>
                <w:tcPr>
                  <w:tcW w:w="681" w:type="pct"/>
                  <w:tcBorders>
                    <w:tl2br w:val="nil"/>
                    <w:tr2bl w:val="nil"/>
                  </w:tcBorders>
                  <w:noWrap w:val="0"/>
                  <w:vAlign w:val="center"/>
                </w:tcPr>
                <w:p w14:paraId="5818D4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60</w:t>
                  </w:r>
                  <w:r>
                    <w:rPr>
                      <w:rFonts w:hint="default" w:ascii="Times New Roman" w:hAnsi="Times New Roman" w:eastAsia="宋体" w:cs="Times New Roman"/>
                      <w:color w:val="auto"/>
                      <w:spacing w:val="0"/>
                      <w:sz w:val="21"/>
                      <w:szCs w:val="21"/>
                      <w:highlight w:val="none"/>
                    </w:rPr>
                    <w:t>min</w:t>
                  </w:r>
                </w:p>
              </w:tc>
              <w:tc>
                <w:tcPr>
                  <w:tcW w:w="355" w:type="pct"/>
                  <w:tcBorders>
                    <w:tl2br w:val="nil"/>
                    <w:tr2bl w:val="nil"/>
                  </w:tcBorders>
                  <w:noWrap w:val="0"/>
                  <w:vAlign w:val="center"/>
                </w:tcPr>
                <w:p w14:paraId="717520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w:t>
                  </w:r>
                </w:p>
              </w:tc>
              <w:tc>
                <w:tcPr>
                  <w:tcW w:w="1028" w:type="pct"/>
                  <w:tcBorders>
                    <w:tl2br w:val="nil"/>
                    <w:tr2bl w:val="nil"/>
                  </w:tcBorders>
                  <w:noWrap w:val="0"/>
                  <w:vAlign w:val="center"/>
                </w:tcPr>
                <w:p w14:paraId="1433DC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sz w:val="21"/>
                      <w:szCs w:val="21"/>
                      <w:highlight w:val="none"/>
                    </w:rPr>
                    <w:t>布袋除尘器装置处置效率降低</w:t>
                  </w:r>
                </w:p>
              </w:tc>
              <w:tc>
                <w:tcPr>
                  <w:tcW w:w="564" w:type="pct"/>
                  <w:tcBorders>
                    <w:tl2br w:val="nil"/>
                    <w:tr2bl w:val="nil"/>
                  </w:tcBorders>
                  <w:noWrap w:val="0"/>
                  <w:vAlign w:val="center"/>
                </w:tcPr>
                <w:p w14:paraId="2F809D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停产检修</w:t>
                  </w:r>
                </w:p>
              </w:tc>
            </w:tr>
            <w:tr w14:paraId="3CBF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restart"/>
                  <w:tcBorders>
                    <w:tl2br w:val="nil"/>
                    <w:tr2bl w:val="nil"/>
                  </w:tcBorders>
                  <w:noWrap w:val="0"/>
                  <w:vAlign w:val="center"/>
                </w:tcPr>
                <w:p w14:paraId="4D59F9DA">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热处理炉1#</w:t>
                  </w:r>
                </w:p>
              </w:tc>
              <w:tc>
                <w:tcPr>
                  <w:tcW w:w="595" w:type="pct"/>
                  <w:tcBorders>
                    <w:tl2br w:val="nil"/>
                    <w:tr2bl w:val="nil"/>
                  </w:tcBorders>
                  <w:noWrap w:val="0"/>
                  <w:vAlign w:val="center"/>
                </w:tcPr>
                <w:p w14:paraId="43F400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183" w:type="dxa"/>
                  <w:tcBorders>
                    <w:tl2br w:val="nil"/>
                    <w:tr2bl w:val="nil"/>
                  </w:tcBorders>
                  <w:noWrap w:val="0"/>
                  <w:vAlign w:val="center"/>
                </w:tcPr>
                <w:p w14:paraId="52BEF221">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c>
                <w:tcPr>
                  <w:tcW w:w="1183" w:type="dxa"/>
                  <w:tcBorders>
                    <w:tl2br w:val="nil"/>
                    <w:tr2bl w:val="nil"/>
                  </w:tcBorders>
                  <w:noWrap w:val="0"/>
                  <w:vAlign w:val="center"/>
                </w:tcPr>
                <w:p w14:paraId="5939E476">
                  <w:pPr>
                    <w:jc w:val="center"/>
                    <w:rPr>
                      <w:rFonts w:hint="default" w:ascii="Times New Roman" w:hAnsi="Times New Roman" w:cs="Times New Roman" w:eastAsiaTheme="minorEastAsia"/>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681" w:type="pct"/>
                  <w:vMerge w:val="restart"/>
                  <w:tcBorders>
                    <w:tl2br w:val="nil"/>
                    <w:tr2bl w:val="nil"/>
                  </w:tcBorders>
                  <w:noWrap w:val="0"/>
                  <w:vAlign w:val="center"/>
                </w:tcPr>
                <w:p w14:paraId="752E93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60</w:t>
                  </w:r>
                  <w:r>
                    <w:rPr>
                      <w:rFonts w:hint="default" w:ascii="Times New Roman" w:hAnsi="Times New Roman" w:eastAsia="宋体" w:cs="Times New Roman"/>
                      <w:color w:val="auto"/>
                      <w:spacing w:val="0"/>
                      <w:sz w:val="21"/>
                      <w:szCs w:val="21"/>
                      <w:highlight w:val="none"/>
                    </w:rPr>
                    <w:t>min</w:t>
                  </w:r>
                </w:p>
              </w:tc>
              <w:tc>
                <w:tcPr>
                  <w:tcW w:w="355" w:type="pct"/>
                  <w:vMerge w:val="restart"/>
                  <w:tcBorders>
                    <w:tl2br w:val="nil"/>
                    <w:tr2bl w:val="nil"/>
                  </w:tcBorders>
                  <w:noWrap w:val="0"/>
                  <w:vAlign w:val="center"/>
                </w:tcPr>
                <w:p w14:paraId="603DF3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w:t>
                  </w:r>
                </w:p>
              </w:tc>
              <w:tc>
                <w:tcPr>
                  <w:tcW w:w="1028" w:type="pct"/>
                  <w:vMerge w:val="restart"/>
                  <w:tcBorders>
                    <w:tl2br w:val="nil"/>
                    <w:tr2bl w:val="nil"/>
                  </w:tcBorders>
                  <w:noWrap w:val="0"/>
                  <w:vAlign w:val="center"/>
                </w:tcPr>
                <w:p w14:paraId="33D1B7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低氮燃烧器处理效率低</w:t>
                  </w:r>
                </w:p>
              </w:tc>
              <w:tc>
                <w:tcPr>
                  <w:tcW w:w="564" w:type="pct"/>
                  <w:vMerge w:val="restart"/>
                  <w:tcBorders>
                    <w:tl2br w:val="nil"/>
                    <w:tr2bl w:val="nil"/>
                  </w:tcBorders>
                  <w:noWrap w:val="0"/>
                  <w:vAlign w:val="center"/>
                </w:tcPr>
                <w:p w14:paraId="45AE7F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停产检修</w:t>
                  </w:r>
                </w:p>
              </w:tc>
            </w:tr>
            <w:tr w14:paraId="534D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continue"/>
                  <w:tcBorders>
                    <w:tl2br w:val="nil"/>
                    <w:tr2bl w:val="nil"/>
                  </w:tcBorders>
                  <w:noWrap w:val="0"/>
                  <w:vAlign w:val="center"/>
                </w:tcPr>
                <w:p w14:paraId="1E1FE8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p>
              </w:tc>
              <w:tc>
                <w:tcPr>
                  <w:tcW w:w="595" w:type="pct"/>
                  <w:tcBorders>
                    <w:tl2br w:val="nil"/>
                    <w:tr2bl w:val="nil"/>
                  </w:tcBorders>
                  <w:noWrap w:val="0"/>
                  <w:vAlign w:val="center"/>
                </w:tcPr>
                <w:p w14:paraId="591726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二氧化硫</w:t>
                  </w:r>
                </w:p>
              </w:tc>
              <w:tc>
                <w:tcPr>
                  <w:tcW w:w="1183" w:type="dxa"/>
                  <w:tcBorders>
                    <w:tl2br w:val="nil"/>
                    <w:tr2bl w:val="nil"/>
                  </w:tcBorders>
                  <w:noWrap w:val="0"/>
                  <w:vAlign w:val="center"/>
                </w:tcPr>
                <w:p w14:paraId="58E70FD2">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c>
                <w:tcPr>
                  <w:tcW w:w="1183" w:type="dxa"/>
                  <w:tcBorders>
                    <w:tl2br w:val="nil"/>
                    <w:tr2bl w:val="nil"/>
                  </w:tcBorders>
                  <w:noWrap w:val="0"/>
                  <w:vAlign w:val="center"/>
                </w:tcPr>
                <w:p w14:paraId="34026C32">
                  <w:pPr>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681" w:type="pct"/>
                  <w:vMerge w:val="continue"/>
                  <w:tcBorders>
                    <w:tl2br w:val="nil"/>
                    <w:tr2bl w:val="nil"/>
                  </w:tcBorders>
                  <w:noWrap w:val="0"/>
                  <w:vAlign w:val="center"/>
                </w:tcPr>
                <w:p w14:paraId="67F270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55" w:type="pct"/>
                  <w:vMerge w:val="continue"/>
                  <w:tcBorders>
                    <w:tl2br w:val="nil"/>
                    <w:tr2bl w:val="nil"/>
                  </w:tcBorders>
                  <w:noWrap w:val="0"/>
                  <w:vAlign w:val="center"/>
                </w:tcPr>
                <w:p w14:paraId="265837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28" w:type="pct"/>
                  <w:vMerge w:val="continue"/>
                  <w:tcBorders>
                    <w:tl2br w:val="nil"/>
                    <w:tr2bl w:val="nil"/>
                  </w:tcBorders>
                  <w:noWrap w:val="0"/>
                  <w:vAlign w:val="center"/>
                </w:tcPr>
                <w:p w14:paraId="6B6A4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64" w:type="pct"/>
                  <w:vMerge w:val="continue"/>
                  <w:tcBorders>
                    <w:tl2br w:val="nil"/>
                    <w:tr2bl w:val="nil"/>
                  </w:tcBorders>
                  <w:noWrap w:val="0"/>
                  <w:vAlign w:val="center"/>
                </w:tcPr>
                <w:p w14:paraId="29B5F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648E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continue"/>
                  <w:tcBorders>
                    <w:tl2br w:val="nil"/>
                    <w:tr2bl w:val="nil"/>
                  </w:tcBorders>
                  <w:noWrap w:val="0"/>
                  <w:vAlign w:val="center"/>
                </w:tcPr>
                <w:p w14:paraId="4A5837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95" w:type="pct"/>
                  <w:tcBorders>
                    <w:tl2br w:val="nil"/>
                    <w:tr2bl w:val="nil"/>
                  </w:tcBorders>
                  <w:noWrap w:val="0"/>
                  <w:vAlign w:val="center"/>
                </w:tcPr>
                <w:p w14:paraId="49CC7F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氮氧化物</w:t>
                  </w:r>
                </w:p>
              </w:tc>
              <w:tc>
                <w:tcPr>
                  <w:tcW w:w="1183" w:type="dxa"/>
                  <w:tcBorders>
                    <w:tl2br w:val="nil"/>
                    <w:tr2bl w:val="nil"/>
                  </w:tcBorders>
                  <w:noWrap w:val="0"/>
                  <w:vAlign w:val="center"/>
                </w:tcPr>
                <w:p w14:paraId="64FC13CF">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137.5</w:t>
                  </w:r>
                </w:p>
              </w:tc>
              <w:tc>
                <w:tcPr>
                  <w:tcW w:w="1183" w:type="dxa"/>
                  <w:tcBorders>
                    <w:tl2br w:val="nil"/>
                    <w:tr2bl w:val="nil"/>
                  </w:tcBorders>
                  <w:noWrap w:val="0"/>
                  <w:vAlign w:val="center"/>
                </w:tcPr>
                <w:p w14:paraId="6ACB8BFB">
                  <w:pPr>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p>
              </w:tc>
              <w:tc>
                <w:tcPr>
                  <w:tcW w:w="681" w:type="pct"/>
                  <w:vMerge w:val="continue"/>
                  <w:tcBorders>
                    <w:tl2br w:val="nil"/>
                    <w:tr2bl w:val="nil"/>
                  </w:tcBorders>
                  <w:noWrap w:val="0"/>
                  <w:vAlign w:val="center"/>
                </w:tcPr>
                <w:p w14:paraId="72937F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55" w:type="pct"/>
                  <w:vMerge w:val="continue"/>
                  <w:tcBorders>
                    <w:tl2br w:val="nil"/>
                    <w:tr2bl w:val="nil"/>
                  </w:tcBorders>
                  <w:noWrap w:val="0"/>
                  <w:vAlign w:val="center"/>
                </w:tcPr>
                <w:p w14:paraId="0489BA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28" w:type="pct"/>
                  <w:vMerge w:val="continue"/>
                  <w:tcBorders>
                    <w:tl2br w:val="nil"/>
                    <w:tr2bl w:val="nil"/>
                  </w:tcBorders>
                  <w:noWrap w:val="0"/>
                  <w:vAlign w:val="center"/>
                </w:tcPr>
                <w:p w14:paraId="52AA83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64" w:type="pct"/>
                  <w:vMerge w:val="continue"/>
                  <w:tcBorders>
                    <w:tl2br w:val="nil"/>
                    <w:tr2bl w:val="nil"/>
                  </w:tcBorders>
                  <w:noWrap w:val="0"/>
                  <w:vAlign w:val="center"/>
                </w:tcPr>
                <w:p w14:paraId="46AAC9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71BA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restart"/>
                  <w:tcBorders>
                    <w:tl2br w:val="nil"/>
                    <w:tr2bl w:val="nil"/>
                  </w:tcBorders>
                  <w:noWrap w:val="0"/>
                  <w:vAlign w:val="center"/>
                </w:tcPr>
                <w:p w14:paraId="2943054C">
                  <w:pPr>
                    <w:pStyle w:val="5"/>
                    <w:keepNext w:val="0"/>
                    <w:pageBreakBefore w:val="0"/>
                    <w:widowControl w:val="0"/>
                    <w:numPr>
                      <w:ilvl w:val="2"/>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热处理炉2#</w:t>
                  </w:r>
                </w:p>
              </w:tc>
              <w:tc>
                <w:tcPr>
                  <w:tcW w:w="595" w:type="pct"/>
                  <w:tcBorders>
                    <w:tl2br w:val="nil"/>
                    <w:tr2bl w:val="nil"/>
                  </w:tcBorders>
                  <w:noWrap w:val="0"/>
                  <w:vAlign w:val="center"/>
                </w:tcPr>
                <w:p w14:paraId="40B0BD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183" w:type="dxa"/>
                  <w:tcBorders>
                    <w:tl2br w:val="nil"/>
                    <w:tr2bl w:val="nil"/>
                  </w:tcBorders>
                  <w:noWrap w:val="0"/>
                  <w:vAlign w:val="center"/>
                </w:tcPr>
                <w:p w14:paraId="46D2C3A6">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21.03</w:t>
                  </w:r>
                </w:p>
              </w:tc>
              <w:tc>
                <w:tcPr>
                  <w:tcW w:w="1183" w:type="dxa"/>
                  <w:tcBorders>
                    <w:tl2br w:val="nil"/>
                    <w:tr2bl w:val="nil"/>
                  </w:tcBorders>
                  <w:noWrap w:val="0"/>
                  <w:vAlign w:val="center"/>
                </w:tcPr>
                <w:p w14:paraId="523C4328">
                  <w:pPr>
                    <w:jc w:val="center"/>
                    <w:rPr>
                      <w:rFonts w:hint="default" w:ascii="Times New Roman" w:hAnsi="Times New Roman" w:cs="Times New Roman" w:eastAsiaTheme="minorEastAsia"/>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ascii="Times New Roman" w:hAnsi="Times New Roman" w:eastAsia="宋体" w:cs="Times New Roman"/>
                      <w:color w:val="auto"/>
                      <w:sz w:val="21"/>
                      <w:szCs w:val="21"/>
                      <w:highlight w:val="none"/>
                      <w:lang w:val="en-US" w:eastAsia="zh-CN"/>
                    </w:rPr>
                    <w:t>6</w:t>
                  </w:r>
                </w:p>
              </w:tc>
              <w:tc>
                <w:tcPr>
                  <w:tcW w:w="681" w:type="pct"/>
                  <w:vMerge w:val="restart"/>
                  <w:tcBorders>
                    <w:tl2br w:val="nil"/>
                    <w:tr2bl w:val="nil"/>
                  </w:tcBorders>
                  <w:noWrap w:val="0"/>
                  <w:vAlign w:val="center"/>
                </w:tcPr>
                <w:p w14:paraId="3DEEB9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60</w:t>
                  </w:r>
                  <w:r>
                    <w:rPr>
                      <w:rFonts w:hint="default" w:ascii="Times New Roman" w:hAnsi="Times New Roman" w:eastAsia="宋体" w:cs="Times New Roman"/>
                      <w:color w:val="auto"/>
                      <w:spacing w:val="0"/>
                      <w:sz w:val="21"/>
                      <w:szCs w:val="21"/>
                      <w:highlight w:val="none"/>
                    </w:rPr>
                    <w:t>min</w:t>
                  </w:r>
                </w:p>
              </w:tc>
              <w:tc>
                <w:tcPr>
                  <w:tcW w:w="355" w:type="pct"/>
                  <w:vMerge w:val="restart"/>
                  <w:tcBorders>
                    <w:tl2br w:val="nil"/>
                    <w:tr2bl w:val="nil"/>
                  </w:tcBorders>
                  <w:noWrap w:val="0"/>
                  <w:vAlign w:val="center"/>
                </w:tcPr>
                <w:p w14:paraId="797EB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w:t>
                  </w:r>
                </w:p>
              </w:tc>
              <w:tc>
                <w:tcPr>
                  <w:tcW w:w="1028" w:type="pct"/>
                  <w:vMerge w:val="restart"/>
                  <w:tcBorders>
                    <w:tl2br w:val="nil"/>
                    <w:tr2bl w:val="nil"/>
                  </w:tcBorders>
                  <w:noWrap w:val="0"/>
                  <w:vAlign w:val="center"/>
                </w:tcPr>
                <w:p w14:paraId="5162DB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低氮燃烧器处理效率低</w:t>
                  </w:r>
                </w:p>
              </w:tc>
              <w:tc>
                <w:tcPr>
                  <w:tcW w:w="564" w:type="pct"/>
                  <w:vMerge w:val="restart"/>
                  <w:tcBorders>
                    <w:tl2br w:val="nil"/>
                    <w:tr2bl w:val="nil"/>
                  </w:tcBorders>
                  <w:noWrap w:val="0"/>
                  <w:vAlign w:val="center"/>
                </w:tcPr>
                <w:p w14:paraId="3E6578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停产检修</w:t>
                  </w:r>
                </w:p>
              </w:tc>
            </w:tr>
            <w:tr w14:paraId="6262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continue"/>
                  <w:tcBorders>
                    <w:tl2br w:val="nil"/>
                    <w:tr2bl w:val="nil"/>
                  </w:tcBorders>
                  <w:noWrap w:val="0"/>
                  <w:vAlign w:val="center"/>
                </w:tcPr>
                <w:p w14:paraId="3C9C9E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p>
              </w:tc>
              <w:tc>
                <w:tcPr>
                  <w:tcW w:w="595" w:type="pct"/>
                  <w:tcBorders>
                    <w:tl2br w:val="nil"/>
                    <w:tr2bl w:val="nil"/>
                  </w:tcBorders>
                  <w:noWrap w:val="0"/>
                  <w:vAlign w:val="center"/>
                </w:tcPr>
                <w:p w14:paraId="77031B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二氧化硫</w:t>
                  </w:r>
                </w:p>
              </w:tc>
              <w:tc>
                <w:tcPr>
                  <w:tcW w:w="1183" w:type="dxa"/>
                  <w:tcBorders>
                    <w:tl2br w:val="nil"/>
                    <w:tr2bl w:val="nil"/>
                  </w:tcBorders>
                  <w:noWrap w:val="0"/>
                  <w:vAlign w:val="center"/>
                </w:tcPr>
                <w:p w14:paraId="6EE9E5F4">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14.71</w:t>
                  </w:r>
                </w:p>
              </w:tc>
              <w:tc>
                <w:tcPr>
                  <w:tcW w:w="1183" w:type="dxa"/>
                  <w:tcBorders>
                    <w:tl2br w:val="nil"/>
                    <w:tr2bl w:val="nil"/>
                  </w:tcBorders>
                  <w:noWrap w:val="0"/>
                  <w:vAlign w:val="center"/>
                </w:tcPr>
                <w:p w14:paraId="43281BFA">
                  <w:pPr>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0.0042</w:t>
                  </w:r>
                </w:p>
              </w:tc>
              <w:tc>
                <w:tcPr>
                  <w:tcW w:w="681" w:type="pct"/>
                  <w:vMerge w:val="continue"/>
                  <w:tcBorders>
                    <w:tl2br w:val="nil"/>
                    <w:tr2bl w:val="nil"/>
                  </w:tcBorders>
                  <w:noWrap w:val="0"/>
                  <w:vAlign w:val="center"/>
                </w:tcPr>
                <w:p w14:paraId="7228A6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55" w:type="pct"/>
                  <w:vMerge w:val="continue"/>
                  <w:tcBorders>
                    <w:tl2br w:val="nil"/>
                    <w:tr2bl w:val="nil"/>
                  </w:tcBorders>
                  <w:noWrap w:val="0"/>
                  <w:vAlign w:val="center"/>
                </w:tcPr>
                <w:p w14:paraId="547A31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28" w:type="pct"/>
                  <w:vMerge w:val="continue"/>
                  <w:tcBorders>
                    <w:tl2br w:val="nil"/>
                    <w:tr2bl w:val="nil"/>
                  </w:tcBorders>
                  <w:noWrap w:val="0"/>
                  <w:vAlign w:val="center"/>
                </w:tcPr>
                <w:p w14:paraId="0CF45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64" w:type="pct"/>
                  <w:vMerge w:val="continue"/>
                  <w:tcBorders>
                    <w:tl2br w:val="nil"/>
                    <w:tr2bl w:val="nil"/>
                  </w:tcBorders>
                  <w:noWrap w:val="0"/>
                  <w:vAlign w:val="center"/>
                </w:tcPr>
                <w:p w14:paraId="6E80AA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11B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 w:hRule="atLeast"/>
                <w:jc w:val="center"/>
              </w:trPr>
              <w:tc>
                <w:tcPr>
                  <w:tcW w:w="391" w:type="pct"/>
                  <w:vMerge w:val="continue"/>
                  <w:tcBorders>
                    <w:tl2br w:val="nil"/>
                    <w:tr2bl w:val="nil"/>
                  </w:tcBorders>
                  <w:noWrap w:val="0"/>
                  <w:vAlign w:val="center"/>
                </w:tcPr>
                <w:p w14:paraId="5AC516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95" w:type="pct"/>
                  <w:tcBorders>
                    <w:tl2br w:val="nil"/>
                    <w:tr2bl w:val="nil"/>
                  </w:tcBorders>
                  <w:noWrap w:val="0"/>
                  <w:vAlign w:val="center"/>
                </w:tcPr>
                <w:p w14:paraId="3A4E1E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氮氧化物</w:t>
                  </w:r>
                </w:p>
              </w:tc>
              <w:tc>
                <w:tcPr>
                  <w:tcW w:w="1183" w:type="dxa"/>
                  <w:tcBorders>
                    <w:tl2br w:val="nil"/>
                    <w:tr2bl w:val="nil"/>
                  </w:tcBorders>
                  <w:noWrap w:val="0"/>
                  <w:vAlign w:val="center"/>
                </w:tcPr>
                <w:p w14:paraId="482B53CB">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137.5</w:t>
                  </w:r>
                </w:p>
              </w:tc>
              <w:tc>
                <w:tcPr>
                  <w:tcW w:w="1183" w:type="dxa"/>
                  <w:tcBorders>
                    <w:tl2br w:val="nil"/>
                    <w:tr2bl w:val="nil"/>
                  </w:tcBorders>
                  <w:noWrap w:val="0"/>
                  <w:vAlign w:val="center"/>
                </w:tcPr>
                <w:p w14:paraId="01CE241C">
                  <w:pPr>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p>
              </w:tc>
              <w:tc>
                <w:tcPr>
                  <w:tcW w:w="681" w:type="pct"/>
                  <w:vMerge w:val="continue"/>
                  <w:tcBorders>
                    <w:tl2br w:val="nil"/>
                    <w:tr2bl w:val="nil"/>
                  </w:tcBorders>
                  <w:noWrap w:val="0"/>
                  <w:vAlign w:val="center"/>
                </w:tcPr>
                <w:p w14:paraId="776061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55" w:type="pct"/>
                  <w:vMerge w:val="continue"/>
                  <w:tcBorders>
                    <w:tl2br w:val="nil"/>
                    <w:tr2bl w:val="nil"/>
                  </w:tcBorders>
                  <w:noWrap w:val="0"/>
                  <w:vAlign w:val="center"/>
                </w:tcPr>
                <w:p w14:paraId="64DC0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28" w:type="pct"/>
                  <w:vMerge w:val="continue"/>
                  <w:tcBorders>
                    <w:tl2br w:val="nil"/>
                    <w:tr2bl w:val="nil"/>
                  </w:tcBorders>
                  <w:noWrap w:val="0"/>
                  <w:vAlign w:val="center"/>
                </w:tcPr>
                <w:p w14:paraId="004AFC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64" w:type="pct"/>
                  <w:vMerge w:val="continue"/>
                  <w:tcBorders>
                    <w:tl2br w:val="nil"/>
                    <w:tr2bl w:val="nil"/>
                  </w:tcBorders>
                  <w:noWrap w:val="0"/>
                  <w:vAlign w:val="center"/>
                </w:tcPr>
                <w:p w14:paraId="56950D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61CC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391" w:type="pct"/>
                  <w:vMerge w:val="restart"/>
                  <w:tcBorders>
                    <w:tl2br w:val="nil"/>
                    <w:tr2bl w:val="nil"/>
                  </w:tcBorders>
                  <w:noWrap w:val="0"/>
                  <w:vAlign w:val="center"/>
                </w:tcPr>
                <w:p w14:paraId="708309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有机废气治理设备</w:t>
                  </w:r>
                </w:p>
              </w:tc>
              <w:tc>
                <w:tcPr>
                  <w:tcW w:w="595" w:type="pct"/>
                  <w:tcBorders>
                    <w:tl2br w:val="nil"/>
                    <w:tr2bl w:val="nil"/>
                  </w:tcBorders>
                  <w:noWrap w:val="0"/>
                  <w:vAlign w:val="center"/>
                </w:tcPr>
                <w:p w14:paraId="59602B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非甲烷总烃</w:t>
                  </w:r>
                </w:p>
              </w:tc>
              <w:tc>
                <w:tcPr>
                  <w:tcW w:w="691" w:type="pct"/>
                  <w:tcBorders>
                    <w:tl2br w:val="nil"/>
                    <w:tr2bl w:val="nil"/>
                  </w:tcBorders>
                  <w:noWrap w:val="0"/>
                  <w:vAlign w:val="center"/>
                </w:tcPr>
                <w:p w14:paraId="6F75DA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116.3</w:t>
                  </w:r>
                </w:p>
              </w:tc>
              <w:tc>
                <w:tcPr>
                  <w:tcW w:w="691" w:type="pct"/>
                  <w:tcBorders>
                    <w:tl2br w:val="nil"/>
                    <w:tr2bl w:val="nil"/>
                  </w:tcBorders>
                  <w:noWrap w:val="0"/>
                  <w:vAlign w:val="center"/>
                </w:tcPr>
                <w:p w14:paraId="622818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1.163</w:t>
                  </w:r>
                </w:p>
              </w:tc>
              <w:tc>
                <w:tcPr>
                  <w:tcW w:w="681" w:type="pct"/>
                  <w:vMerge w:val="restart"/>
                  <w:tcBorders>
                    <w:tl2br w:val="nil"/>
                    <w:tr2bl w:val="nil"/>
                  </w:tcBorders>
                  <w:noWrap w:val="0"/>
                  <w:vAlign w:val="center"/>
                </w:tcPr>
                <w:p w14:paraId="4EE3CF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60</w:t>
                  </w:r>
                  <w:r>
                    <w:rPr>
                      <w:rFonts w:hint="default" w:ascii="Times New Roman" w:hAnsi="Times New Roman" w:eastAsia="宋体" w:cs="Times New Roman"/>
                      <w:color w:val="auto"/>
                      <w:spacing w:val="0"/>
                      <w:sz w:val="21"/>
                      <w:szCs w:val="21"/>
                      <w:highlight w:val="none"/>
                    </w:rPr>
                    <w:t>min</w:t>
                  </w:r>
                </w:p>
              </w:tc>
              <w:tc>
                <w:tcPr>
                  <w:tcW w:w="355" w:type="pct"/>
                  <w:vMerge w:val="restart"/>
                  <w:tcBorders>
                    <w:tl2br w:val="nil"/>
                    <w:tr2bl w:val="nil"/>
                  </w:tcBorders>
                  <w:noWrap w:val="0"/>
                  <w:vAlign w:val="center"/>
                </w:tcPr>
                <w:p w14:paraId="3BAD92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w:t>
                  </w:r>
                </w:p>
              </w:tc>
              <w:tc>
                <w:tcPr>
                  <w:tcW w:w="1028" w:type="pct"/>
                  <w:vMerge w:val="restart"/>
                  <w:tcBorders>
                    <w:tl2br w:val="nil"/>
                    <w:tr2bl w:val="nil"/>
                  </w:tcBorders>
                  <w:noWrap w:val="0"/>
                  <w:vAlign w:val="center"/>
                </w:tcPr>
                <w:p w14:paraId="112DD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活性炭吸附/</w:t>
                  </w:r>
                  <w:r>
                    <w:rPr>
                      <w:rFonts w:hint="eastAsia" w:ascii="Times New Roman" w:hAnsi="Times New Roman" w:eastAsia="宋体" w:cs="Times New Roman"/>
                      <w:color w:val="auto"/>
                      <w:spacing w:val="0"/>
                      <w:sz w:val="21"/>
                      <w:szCs w:val="21"/>
                      <w:highlight w:val="none"/>
                      <w:lang w:val="en-US" w:eastAsia="zh-CN"/>
                    </w:rPr>
                    <w:t>脱附+</w:t>
                  </w:r>
                  <w:r>
                    <w:rPr>
                      <w:rFonts w:hint="default" w:ascii="Times New Roman" w:hAnsi="Times New Roman" w:eastAsia="宋体" w:cs="Times New Roman"/>
                      <w:color w:val="auto"/>
                      <w:spacing w:val="0"/>
                      <w:sz w:val="21"/>
                      <w:szCs w:val="21"/>
                      <w:highlight w:val="none"/>
                      <w:lang w:val="en-US" w:eastAsia="zh-CN"/>
                    </w:rPr>
                    <w:t>催化燃烧处理效率低</w:t>
                  </w:r>
                </w:p>
              </w:tc>
              <w:tc>
                <w:tcPr>
                  <w:tcW w:w="564" w:type="pct"/>
                  <w:vMerge w:val="restart"/>
                  <w:tcBorders>
                    <w:tl2br w:val="nil"/>
                    <w:tr2bl w:val="nil"/>
                  </w:tcBorders>
                  <w:noWrap w:val="0"/>
                  <w:vAlign w:val="center"/>
                </w:tcPr>
                <w:p w14:paraId="74D76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停产检修</w:t>
                  </w:r>
                </w:p>
              </w:tc>
            </w:tr>
            <w:tr w14:paraId="5E3E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391" w:type="pct"/>
                  <w:vMerge w:val="continue"/>
                  <w:tcBorders>
                    <w:tl2br w:val="nil"/>
                    <w:tr2bl w:val="nil"/>
                  </w:tcBorders>
                  <w:noWrap w:val="0"/>
                  <w:vAlign w:val="center"/>
                </w:tcPr>
                <w:p w14:paraId="02B1DE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p>
              </w:tc>
              <w:tc>
                <w:tcPr>
                  <w:tcW w:w="595" w:type="pct"/>
                  <w:tcBorders>
                    <w:tl2br w:val="nil"/>
                    <w:tr2bl w:val="nil"/>
                  </w:tcBorders>
                  <w:noWrap w:val="0"/>
                  <w:vAlign w:val="center"/>
                </w:tcPr>
                <w:p w14:paraId="3869D6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二甲苯</w:t>
                  </w:r>
                </w:p>
              </w:tc>
              <w:tc>
                <w:tcPr>
                  <w:tcW w:w="691" w:type="pct"/>
                  <w:tcBorders>
                    <w:tl2br w:val="nil"/>
                    <w:tr2bl w:val="nil"/>
                  </w:tcBorders>
                  <w:noWrap w:val="0"/>
                  <w:vAlign w:val="center"/>
                </w:tcPr>
                <w:p w14:paraId="3759FC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0.6</w:t>
                  </w:r>
                </w:p>
              </w:tc>
              <w:tc>
                <w:tcPr>
                  <w:tcW w:w="691" w:type="pct"/>
                  <w:tcBorders>
                    <w:tl2br w:val="nil"/>
                    <w:tr2bl w:val="nil"/>
                  </w:tcBorders>
                  <w:noWrap w:val="0"/>
                  <w:vAlign w:val="center"/>
                </w:tcPr>
                <w:p w14:paraId="445E7C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206</w:t>
                  </w:r>
                </w:p>
              </w:tc>
              <w:tc>
                <w:tcPr>
                  <w:tcW w:w="681" w:type="pct"/>
                  <w:vMerge w:val="continue"/>
                  <w:tcBorders>
                    <w:tl2br w:val="nil"/>
                    <w:tr2bl w:val="nil"/>
                  </w:tcBorders>
                  <w:noWrap w:val="0"/>
                  <w:vAlign w:val="center"/>
                </w:tcPr>
                <w:p w14:paraId="2184AA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55" w:type="pct"/>
                  <w:vMerge w:val="continue"/>
                  <w:tcBorders>
                    <w:tl2br w:val="nil"/>
                    <w:tr2bl w:val="nil"/>
                  </w:tcBorders>
                  <w:noWrap w:val="0"/>
                  <w:vAlign w:val="center"/>
                </w:tcPr>
                <w:p w14:paraId="4FB362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28" w:type="pct"/>
                  <w:vMerge w:val="continue"/>
                  <w:tcBorders>
                    <w:tl2br w:val="nil"/>
                    <w:tr2bl w:val="nil"/>
                  </w:tcBorders>
                  <w:noWrap w:val="0"/>
                  <w:vAlign w:val="center"/>
                </w:tcPr>
                <w:p w14:paraId="4B5493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564" w:type="pct"/>
                  <w:vMerge w:val="continue"/>
                  <w:tcBorders>
                    <w:tl2br w:val="nil"/>
                    <w:tr2bl w:val="nil"/>
                  </w:tcBorders>
                  <w:noWrap w:val="0"/>
                  <w:vAlign w:val="center"/>
                </w:tcPr>
                <w:p w14:paraId="252A9A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p>
              </w:tc>
            </w:tr>
          </w:tbl>
          <w:p w14:paraId="21AB41E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由上表可知非正常工况下会导致污染物排放量骤然增加，加重周边环境污染，参考同类企业运行情况，非正常工况出现的概率极低，为防止生产废气非正常工况排放，企业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2B4AE1A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1.安排专人负责环保设备的日常维护和管理，</w:t>
            </w:r>
            <w:r>
              <w:rPr>
                <w:rFonts w:hint="eastAsia" w:ascii="Times New Roman" w:hAnsi="Times New Roman" w:eastAsia="宋体" w:cs="Times New Roman"/>
                <w:color w:val="auto"/>
                <w:spacing w:val="0"/>
                <w:sz w:val="24"/>
                <w:szCs w:val="24"/>
                <w:highlight w:val="none"/>
                <w:lang w:val="en-US" w:eastAsia="zh-CN"/>
              </w:rPr>
              <w:t>每隔</w:t>
            </w:r>
            <w:r>
              <w:rPr>
                <w:rFonts w:hint="default" w:ascii="Times New Roman" w:hAnsi="Times New Roman" w:eastAsia="宋体" w:cs="Times New Roman"/>
                <w:color w:val="auto"/>
                <w:spacing w:val="0"/>
                <w:sz w:val="24"/>
                <w:szCs w:val="24"/>
                <w:highlight w:val="none"/>
                <w:lang w:val="en-US" w:eastAsia="zh-CN"/>
              </w:rPr>
              <w:t>固定时间检查、汇报情况，及时发现废气处理设备的隐患，确保废气处理系统正常运行；</w:t>
            </w:r>
          </w:p>
          <w:p w14:paraId="6056554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2.定期更换活性炭吸附装置中的活性炭，定期更换布袋；</w:t>
            </w:r>
          </w:p>
          <w:p w14:paraId="780A84E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3.建立健全的环保管理机构，对环保管理人员和技术人员进行岗位培训；</w:t>
            </w:r>
          </w:p>
          <w:p w14:paraId="38033C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4.应定期维护、检修</w:t>
            </w:r>
            <w:r>
              <w:rPr>
                <w:rFonts w:hint="eastAsia" w:ascii="Times New Roman" w:hAnsi="Times New Roman" w:eastAsia="宋体" w:cs="Times New Roman"/>
                <w:color w:val="auto"/>
                <w:spacing w:val="0"/>
                <w:sz w:val="24"/>
                <w:szCs w:val="24"/>
                <w:highlight w:val="none"/>
                <w:lang w:val="en-US" w:eastAsia="zh-CN"/>
              </w:rPr>
              <w:t>活性炭吸附/脱附+催化燃烧装置</w:t>
            </w:r>
            <w:r>
              <w:rPr>
                <w:rFonts w:hint="default" w:ascii="Times New Roman" w:hAnsi="Times New Roman" w:eastAsia="宋体" w:cs="Times New Roman"/>
                <w:color w:val="auto"/>
                <w:spacing w:val="0"/>
                <w:sz w:val="24"/>
                <w:szCs w:val="24"/>
                <w:highlight w:val="none"/>
                <w:lang w:val="en-US" w:eastAsia="zh-CN"/>
              </w:rPr>
              <w:t>、低氮燃烧器，以保持正常运行。</w:t>
            </w:r>
          </w:p>
          <w:p w14:paraId="7AE006D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（四）废气监测要求</w:t>
            </w:r>
          </w:p>
          <w:p w14:paraId="217249B4">
            <w:pPr>
              <w:keepNext w:val="0"/>
              <w:keepLines w:val="0"/>
              <w:pageBreakBefore w:val="0"/>
              <w:widowControl/>
              <w:suppressLineNumbers w:val="0"/>
              <w:kinsoku/>
              <w:wordWrap/>
              <w:overflowPunct/>
              <w:topLinePunct w:val="0"/>
              <w:bidi w:val="0"/>
              <w:adjustRightInd w:val="0"/>
              <w:snapToGrid w:val="0"/>
              <w:spacing w:line="360" w:lineRule="auto"/>
              <w:ind w:firstLine="480" w:firstLineChars="200"/>
              <w:jc w:val="both"/>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参考《</w:t>
            </w:r>
            <w:r>
              <w:rPr>
                <w:rFonts w:hint="default" w:ascii="Times New Roman" w:hAnsi="Times New Roman" w:eastAsia="宋体" w:cs="Times New Roman"/>
                <w:color w:val="auto"/>
                <w:kern w:val="0"/>
                <w:sz w:val="24"/>
                <w:szCs w:val="24"/>
                <w:highlight w:val="none"/>
                <w:lang w:val="en-US" w:eastAsia="zh-CN" w:bidi="ar"/>
              </w:rPr>
              <w:t>排污单位自行监测技术指南 总则</w:t>
            </w:r>
            <w:r>
              <w:rPr>
                <w:rFonts w:hint="default" w:ascii="Times New Roman" w:hAnsi="Times New Roman" w:eastAsia="宋体" w:cs="Times New Roman"/>
                <w:color w:val="auto"/>
                <w:spacing w:val="0"/>
                <w:sz w:val="24"/>
                <w:szCs w:val="24"/>
                <w:highlight w:val="none"/>
                <w:lang w:val="en-US" w:eastAsia="zh-CN"/>
              </w:rPr>
              <w:t>》（HJ819-2017）、</w:t>
            </w:r>
            <w:r>
              <w:rPr>
                <w:rFonts w:hint="default" w:ascii="Times New Roman" w:hAnsi="Times New Roman" w:eastAsia="宋体" w:cs="Times New Roman"/>
                <w:color w:val="auto"/>
                <w:sz w:val="24"/>
                <w:szCs w:val="24"/>
                <w:highlight w:val="none"/>
                <w:lang w:eastAsia="zh-CN"/>
              </w:rPr>
              <w:t>《排污单位自行监测技术指南 涂装》（HJ 1086-2020）、《</w:t>
            </w:r>
            <w:r>
              <w:rPr>
                <w:rFonts w:hint="default" w:ascii="Times New Roman" w:hAnsi="Times New Roman" w:eastAsia="宋体" w:cs="Times New Roman"/>
                <w:color w:val="auto"/>
                <w:sz w:val="24"/>
                <w:szCs w:val="24"/>
                <w:highlight w:val="none"/>
                <w:lang w:val="en-US" w:eastAsia="zh-CN"/>
              </w:rPr>
              <w:t>排污许可证申请与核发技术规范 工业炉窑</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HJ1121-2020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中废气污染物排放监测要求，本项目废气监测见表4-8。</w:t>
            </w:r>
          </w:p>
          <w:p w14:paraId="1374F54B">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Chars="0"/>
              <w:jc w:val="center"/>
              <w:textAlignment w:val="bottom"/>
              <w:rPr>
                <w:rFonts w:hint="default" w:ascii="Times New Roman" w:hAnsi="Times New Roman" w:cs="Times New Roman"/>
                <w:color w:val="auto"/>
                <w:highlight w:val="none"/>
              </w:rPr>
            </w:pPr>
            <w:r>
              <w:rPr>
                <w:rFonts w:hint="default" w:ascii="Times New Roman" w:hAnsi="Times New Roman" w:eastAsia="宋体" w:cs="Times New Roman"/>
                <w:b/>
                <w:bCs/>
                <w:color w:val="auto"/>
                <w:spacing w:val="0"/>
                <w:sz w:val="21"/>
                <w:szCs w:val="21"/>
                <w:highlight w:val="none"/>
                <w:lang w:val="en-US" w:eastAsia="zh-CN"/>
              </w:rPr>
              <w:t>表4-8 废气监测方案</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1886"/>
              <w:gridCol w:w="1343"/>
              <w:gridCol w:w="2751"/>
            </w:tblGrid>
            <w:tr w14:paraId="1536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pct"/>
                  <w:shd w:val="clear" w:color="auto" w:fill="auto"/>
                  <w:vAlign w:val="center"/>
                </w:tcPr>
                <w:p w14:paraId="2BE2731C">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监测点位及编号</w:t>
                  </w:r>
                </w:p>
              </w:tc>
              <w:tc>
                <w:tcPr>
                  <w:tcW w:w="1105" w:type="pct"/>
                  <w:shd w:val="clear" w:color="auto" w:fill="auto"/>
                  <w:vAlign w:val="center"/>
                </w:tcPr>
                <w:p w14:paraId="6301A739">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监测内容</w:t>
                  </w:r>
                </w:p>
              </w:tc>
              <w:tc>
                <w:tcPr>
                  <w:tcW w:w="787" w:type="pct"/>
                  <w:shd w:val="clear" w:color="auto" w:fill="auto"/>
                  <w:vAlign w:val="center"/>
                </w:tcPr>
                <w:p w14:paraId="7A772C05">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监测频次</w:t>
                  </w:r>
                </w:p>
              </w:tc>
              <w:tc>
                <w:tcPr>
                  <w:tcW w:w="1612" w:type="pct"/>
                  <w:shd w:val="clear" w:color="auto" w:fill="auto"/>
                  <w:vAlign w:val="center"/>
                </w:tcPr>
                <w:p w14:paraId="0EF4E842">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执行排放标准</w:t>
                  </w:r>
                </w:p>
              </w:tc>
            </w:tr>
            <w:tr w14:paraId="767C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pct"/>
                  <w:shd w:val="clear" w:color="auto" w:fill="auto"/>
                  <w:vAlign w:val="center"/>
                </w:tcPr>
                <w:p w14:paraId="70E0CF06">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切割、喷砂工序废气排气筒</w:t>
                  </w:r>
                  <w:r>
                    <w:rPr>
                      <w:rFonts w:hint="default" w:ascii="Times New Roman" w:hAnsi="Times New Roman" w:eastAsia="宋体" w:cs="Times New Roman"/>
                      <w:color w:val="auto"/>
                      <w:spacing w:val="-10"/>
                      <w:sz w:val="21"/>
                      <w:szCs w:val="21"/>
                      <w:highlight w:val="none"/>
                    </w:rPr>
                    <w:t>DA001</w:t>
                  </w:r>
                </w:p>
              </w:tc>
              <w:tc>
                <w:tcPr>
                  <w:tcW w:w="1105" w:type="pct"/>
                  <w:shd w:val="clear" w:color="auto" w:fill="auto"/>
                  <w:vAlign w:val="center"/>
                </w:tcPr>
                <w:p w14:paraId="56779FF3">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颗粒物</w:t>
                  </w:r>
                </w:p>
              </w:tc>
              <w:tc>
                <w:tcPr>
                  <w:tcW w:w="787" w:type="pct"/>
                  <w:shd w:val="clear" w:color="auto" w:fill="auto"/>
                  <w:vAlign w:val="center"/>
                </w:tcPr>
                <w:p w14:paraId="168D3154">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rPr>
                  </w:pPr>
                  <w:r>
                    <w:rPr>
                      <w:rFonts w:hint="default" w:ascii="Times New Roman" w:hAnsi="Times New Roman" w:eastAsia="宋体" w:cs="Times New Roman"/>
                      <w:color w:val="auto"/>
                      <w:sz w:val="21"/>
                      <w:szCs w:val="21"/>
                      <w:highlight w:val="none"/>
                    </w:rPr>
                    <w:t>1次/年</w:t>
                  </w:r>
                </w:p>
              </w:tc>
              <w:tc>
                <w:tcPr>
                  <w:tcW w:w="1612" w:type="pct"/>
                  <w:shd w:val="clear" w:color="auto" w:fill="auto"/>
                  <w:vAlign w:val="center"/>
                </w:tcPr>
                <w:p w14:paraId="1A113014">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0"/>
                      <w:sz w:val="21"/>
                      <w:szCs w:val="21"/>
                      <w:highlight w:val="none"/>
                    </w:rPr>
                  </w:pPr>
                  <w:r>
                    <w:rPr>
                      <w:rFonts w:hint="default" w:ascii="Times New Roman" w:hAnsi="Times New Roman" w:eastAsia="宋体" w:cs="Times New Roman"/>
                      <w:color w:val="auto"/>
                      <w:spacing w:val="0"/>
                      <w:sz w:val="21"/>
                      <w:szCs w:val="21"/>
                      <w:highlight w:val="none"/>
                      <w:lang w:eastAsia="zh-CN"/>
                    </w:rPr>
                    <w:t>《大气污染物综合排放标准》（GB16297-1996）</w:t>
                  </w:r>
                </w:p>
              </w:tc>
            </w:tr>
            <w:tr w14:paraId="281C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pct"/>
                  <w:tcBorders>
                    <w:tl2br w:val="nil"/>
                    <w:tr2bl w:val="nil"/>
                  </w:tcBorders>
                  <w:shd w:val="clear" w:color="auto" w:fill="auto"/>
                  <w:vAlign w:val="center"/>
                </w:tcPr>
                <w:p w14:paraId="7BA96C86">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热处理炉1#排气筒</w:t>
                  </w:r>
                  <w:r>
                    <w:rPr>
                      <w:rFonts w:hint="default" w:ascii="Times New Roman" w:hAnsi="Times New Roman" w:eastAsia="宋体" w:cs="Times New Roman"/>
                      <w:color w:val="auto"/>
                      <w:sz w:val="21"/>
                      <w:szCs w:val="21"/>
                      <w:highlight w:val="none"/>
                      <w:lang w:val="en-US" w:eastAsia="zh-CN"/>
                    </w:rPr>
                    <w:t>DA002，</w:t>
                  </w:r>
                  <w:r>
                    <w:rPr>
                      <w:rFonts w:hint="default" w:ascii="Times New Roman" w:hAnsi="Times New Roman" w:eastAsia="宋体" w:cs="Times New Roman"/>
                      <w:color w:val="auto"/>
                      <w:spacing w:val="0"/>
                      <w:sz w:val="21"/>
                      <w:szCs w:val="21"/>
                      <w:highlight w:val="none"/>
                      <w:lang w:val="en-US" w:eastAsia="zh-CN"/>
                    </w:rPr>
                    <w:t>热处理炉2#排气筒</w:t>
                  </w:r>
                  <w:r>
                    <w:rPr>
                      <w:rFonts w:hint="default" w:ascii="Times New Roman" w:hAnsi="Times New Roman" w:eastAsia="宋体" w:cs="Times New Roman"/>
                      <w:color w:val="auto"/>
                      <w:sz w:val="21"/>
                      <w:szCs w:val="21"/>
                      <w:highlight w:val="none"/>
                      <w:lang w:val="en-US" w:eastAsia="zh-CN"/>
                    </w:rPr>
                    <w:t>DA003</w:t>
                  </w:r>
                </w:p>
              </w:tc>
              <w:tc>
                <w:tcPr>
                  <w:tcW w:w="1105" w:type="pct"/>
                  <w:tcBorders>
                    <w:tl2br w:val="nil"/>
                    <w:tr2bl w:val="nil"/>
                  </w:tcBorders>
                  <w:shd w:val="clear" w:color="auto" w:fill="auto"/>
                  <w:vAlign w:val="center"/>
                </w:tcPr>
                <w:p w14:paraId="01894E01">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颗粒物、氮氧化物、二氧化硫</w:t>
                  </w:r>
                </w:p>
              </w:tc>
              <w:tc>
                <w:tcPr>
                  <w:tcW w:w="787" w:type="pct"/>
                  <w:tcBorders>
                    <w:tl2br w:val="nil"/>
                    <w:tr2bl w:val="nil"/>
                  </w:tcBorders>
                  <w:shd w:val="clear" w:color="auto" w:fill="auto"/>
                  <w:vAlign w:val="center"/>
                </w:tcPr>
                <w:p w14:paraId="3078A7E0">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612" w:type="pct"/>
                  <w:tcBorders>
                    <w:tl2br w:val="nil"/>
                    <w:tr2bl w:val="nil"/>
                  </w:tcBorders>
                  <w:shd w:val="clear" w:color="auto" w:fill="auto"/>
                  <w:vAlign w:val="center"/>
                </w:tcPr>
                <w:p w14:paraId="1718DE07">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《新疆维吾尔自治区工业窑炉大气污染物综合治理实施方案》（新大气发〔2019〕127号）相关要求。</w:t>
                  </w:r>
                </w:p>
              </w:tc>
            </w:tr>
            <w:tr w14:paraId="5999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pct"/>
                  <w:tcBorders>
                    <w:tl2br w:val="nil"/>
                    <w:tr2bl w:val="nil"/>
                  </w:tcBorders>
                  <w:shd w:val="clear" w:color="auto" w:fill="auto"/>
                  <w:vAlign w:val="center"/>
                </w:tcPr>
                <w:p w14:paraId="75C389C1">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刷漆、涂粉工序排气筒</w:t>
                  </w:r>
                  <w:r>
                    <w:rPr>
                      <w:rFonts w:hint="default" w:ascii="Times New Roman" w:hAnsi="Times New Roman" w:eastAsia="宋体" w:cs="Times New Roman"/>
                      <w:color w:val="auto"/>
                      <w:sz w:val="21"/>
                      <w:szCs w:val="21"/>
                      <w:highlight w:val="none"/>
                      <w:lang w:val="en-US" w:eastAsia="zh-CN"/>
                    </w:rPr>
                    <w:t>DA004</w:t>
                  </w:r>
                </w:p>
              </w:tc>
              <w:tc>
                <w:tcPr>
                  <w:tcW w:w="1105" w:type="pct"/>
                  <w:tcBorders>
                    <w:tl2br w:val="nil"/>
                    <w:tr2bl w:val="nil"/>
                  </w:tcBorders>
                  <w:shd w:val="clear" w:color="auto" w:fill="auto"/>
                  <w:vAlign w:val="center"/>
                </w:tcPr>
                <w:p w14:paraId="55648C4E">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非甲烷总烃、二甲苯</w:t>
                  </w:r>
                </w:p>
              </w:tc>
              <w:tc>
                <w:tcPr>
                  <w:tcW w:w="787" w:type="pct"/>
                  <w:tcBorders>
                    <w:tl2br w:val="nil"/>
                    <w:tr2bl w:val="nil"/>
                  </w:tcBorders>
                  <w:shd w:val="clear" w:color="auto" w:fill="auto"/>
                  <w:vAlign w:val="center"/>
                </w:tcPr>
                <w:p w14:paraId="1B5023CD">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612" w:type="pct"/>
                  <w:tcBorders>
                    <w:tl2br w:val="nil"/>
                    <w:tr2bl w:val="nil"/>
                  </w:tcBorders>
                  <w:shd w:val="clear" w:color="auto" w:fill="auto"/>
                  <w:vAlign w:val="center"/>
                </w:tcPr>
                <w:p w14:paraId="0D6F9D69">
                  <w:pPr>
                    <w:pStyle w:val="5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《大气污染物综合排放标准》（GB16297-1996）</w:t>
                  </w:r>
                </w:p>
              </w:tc>
            </w:tr>
            <w:tr w14:paraId="202C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95" w:type="pct"/>
                  <w:tcBorders>
                    <w:tl2br w:val="nil"/>
                    <w:tr2bl w:val="nil"/>
                  </w:tcBorders>
                  <w:shd w:val="clear" w:color="auto" w:fill="auto"/>
                  <w:vAlign w:val="center"/>
                </w:tcPr>
                <w:p w14:paraId="58BFC4ED">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厂界</w:t>
                  </w:r>
                </w:p>
              </w:tc>
              <w:tc>
                <w:tcPr>
                  <w:tcW w:w="1105" w:type="pct"/>
                  <w:tcBorders>
                    <w:tl2br w:val="nil"/>
                    <w:tr2bl w:val="nil"/>
                  </w:tcBorders>
                  <w:shd w:val="clear" w:color="auto" w:fill="auto"/>
                  <w:vAlign w:val="center"/>
                </w:tcPr>
                <w:p w14:paraId="0E82DE51">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颗粒物</w:t>
                  </w:r>
                  <w:r>
                    <w:rPr>
                      <w:rFonts w:hint="default" w:ascii="Times New Roman" w:hAnsi="Times New Roman" w:cs="Times New Roman" w:eastAsiaTheme="minorEastAsia"/>
                      <w:color w:val="auto"/>
                      <w:sz w:val="21"/>
                      <w:szCs w:val="21"/>
                      <w:highlight w:val="none"/>
                      <w:lang w:val="en-US" w:eastAsia="zh-CN"/>
                    </w:rPr>
                    <w:t>、非甲烷总烃、二甲苯</w:t>
                  </w:r>
                </w:p>
              </w:tc>
              <w:tc>
                <w:tcPr>
                  <w:tcW w:w="787" w:type="pct"/>
                  <w:tcBorders>
                    <w:tl2br w:val="nil"/>
                    <w:tr2bl w:val="nil"/>
                  </w:tcBorders>
                  <w:shd w:val="clear" w:color="auto" w:fill="auto"/>
                  <w:vAlign w:val="center"/>
                </w:tcPr>
                <w:p w14:paraId="59D07E5D">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1次/</w:t>
                  </w:r>
                  <w:r>
                    <w:rPr>
                      <w:rFonts w:hint="eastAsia" w:ascii="Times New Roman" w:hAnsi="Times New Roman" w:cs="Times New Roman" w:eastAsiaTheme="minorEastAsia"/>
                      <w:color w:val="auto"/>
                      <w:sz w:val="21"/>
                      <w:szCs w:val="21"/>
                      <w:highlight w:val="none"/>
                      <w:lang w:val="en-US" w:eastAsia="zh-CN"/>
                    </w:rPr>
                    <w:t>半</w:t>
                  </w:r>
                  <w:r>
                    <w:rPr>
                      <w:rFonts w:hint="default" w:ascii="Times New Roman" w:hAnsi="Times New Roman" w:cs="Times New Roman" w:eastAsiaTheme="minorEastAsia"/>
                      <w:color w:val="auto"/>
                      <w:sz w:val="21"/>
                      <w:szCs w:val="21"/>
                      <w:highlight w:val="none"/>
                      <w:lang w:eastAsia="zh-CN"/>
                    </w:rPr>
                    <w:t>年</w:t>
                  </w:r>
                </w:p>
              </w:tc>
              <w:tc>
                <w:tcPr>
                  <w:tcW w:w="1612" w:type="pct"/>
                  <w:tcBorders>
                    <w:tl2br w:val="nil"/>
                    <w:tr2bl w:val="nil"/>
                  </w:tcBorders>
                  <w:shd w:val="clear" w:color="auto" w:fill="auto"/>
                  <w:vAlign w:val="center"/>
                </w:tcPr>
                <w:p w14:paraId="506BF2C1">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《大气污染物综合排放标准》（GB16297-1996）</w:t>
                  </w:r>
                </w:p>
              </w:tc>
            </w:tr>
            <w:tr w14:paraId="7758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pct"/>
                  <w:tcBorders>
                    <w:tl2br w:val="nil"/>
                    <w:tr2bl w:val="nil"/>
                  </w:tcBorders>
                  <w:shd w:val="clear" w:color="auto" w:fill="auto"/>
                  <w:vAlign w:val="center"/>
                </w:tcPr>
                <w:p w14:paraId="439B3231">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厂区内</w:t>
                  </w:r>
                </w:p>
              </w:tc>
              <w:tc>
                <w:tcPr>
                  <w:tcW w:w="1105" w:type="pct"/>
                  <w:tcBorders>
                    <w:tl2br w:val="nil"/>
                    <w:tr2bl w:val="nil"/>
                  </w:tcBorders>
                  <w:shd w:val="clear" w:color="auto" w:fill="auto"/>
                  <w:vAlign w:val="center"/>
                </w:tcPr>
                <w:p w14:paraId="20C57154">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非甲烷总烃</w:t>
                  </w:r>
                </w:p>
              </w:tc>
              <w:tc>
                <w:tcPr>
                  <w:tcW w:w="787" w:type="pct"/>
                  <w:tcBorders>
                    <w:tl2br w:val="nil"/>
                    <w:tr2bl w:val="nil"/>
                  </w:tcBorders>
                  <w:shd w:val="clear" w:color="auto" w:fill="auto"/>
                  <w:vAlign w:val="center"/>
                </w:tcPr>
                <w:p w14:paraId="240237C2">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eastAsia="zh-CN"/>
                    </w:rPr>
                    <w:t>1次/</w:t>
                  </w:r>
                  <w:r>
                    <w:rPr>
                      <w:rFonts w:hint="eastAsia" w:ascii="Times New Roman" w:hAnsi="Times New Roman" w:cs="Times New Roman" w:eastAsiaTheme="minorEastAsia"/>
                      <w:color w:val="auto"/>
                      <w:sz w:val="21"/>
                      <w:szCs w:val="21"/>
                      <w:highlight w:val="none"/>
                      <w:lang w:val="en-US" w:eastAsia="zh-CN"/>
                    </w:rPr>
                    <w:t>季度</w:t>
                  </w:r>
                </w:p>
              </w:tc>
              <w:tc>
                <w:tcPr>
                  <w:tcW w:w="1612" w:type="pct"/>
                  <w:tcBorders>
                    <w:tl2br w:val="nil"/>
                    <w:tr2bl w:val="nil"/>
                  </w:tcBorders>
                  <w:shd w:val="clear" w:color="auto" w:fill="auto"/>
                  <w:vAlign w:val="center"/>
                </w:tcPr>
                <w:p w14:paraId="0B2B06DA">
                  <w:pPr>
                    <w:pStyle w:val="51"/>
                    <w:keepNext w:val="0"/>
                    <w:keepLines w:val="0"/>
                    <w:pageBreakBefore w:val="0"/>
                    <w:widowControl w:val="0"/>
                    <w:kinsoku/>
                    <w:wordWrap/>
                    <w:overflowPunct/>
                    <w:topLinePunct w:val="0"/>
                    <w:autoSpaceDE/>
                    <w:autoSpaceDN/>
                    <w:bidi w:val="0"/>
                    <w:adjustRightInd w:val="0"/>
                    <w:snapToGrid w:val="0"/>
                    <w:spacing w:line="240" w:lineRule="auto"/>
                    <w:ind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eastAsia="zh-CN"/>
                    </w:rPr>
                    <w:t>《挥发性有机物无组织排放控制标准》（GB37822-2019）附录A的特别排放限值</w:t>
                  </w:r>
                </w:p>
              </w:tc>
            </w:tr>
          </w:tbl>
          <w:p w14:paraId="049F27AE">
            <w:pPr>
              <w:keepNext w:val="0"/>
              <w:keepLines w:val="0"/>
              <w:pageBreakBefore w:val="0"/>
              <w:widowControl w:val="0"/>
              <w:kinsoku/>
              <w:wordWrap/>
              <w:overflowPunct/>
              <w:topLinePunct w:val="0"/>
              <w:autoSpaceDE/>
              <w:autoSpaceDN/>
              <w:bidi w:val="0"/>
              <w:adjustRightInd w:val="0"/>
              <w:snapToGrid w:val="0"/>
              <w:spacing w:before="0" w:line="360" w:lineRule="auto"/>
              <w:jc w:val="both"/>
              <w:textAlignment w:val="auto"/>
              <w:rPr>
                <w:rFonts w:hint="default" w:ascii="Times New Roman" w:hAnsi="Times New Roman" w:cs="Times New Roman" w:eastAsiaTheme="minorEastAsia"/>
                <w:color w:val="auto"/>
                <w:spacing w:val="0"/>
                <w:sz w:val="24"/>
                <w:szCs w:val="24"/>
                <w:highlight w:val="none"/>
              </w:rPr>
            </w:pPr>
            <w:r>
              <w:rPr>
                <w:rFonts w:hint="default" w:ascii="Times New Roman" w:hAnsi="Times New Roman" w:cs="Times New Roman" w:eastAsiaTheme="minorEastAsia"/>
                <w:b/>
                <w:bCs/>
                <w:color w:val="auto"/>
                <w:spacing w:val="0"/>
                <w:sz w:val="24"/>
                <w:szCs w:val="24"/>
                <w:highlight w:val="none"/>
                <w:lang w:val="en-US" w:eastAsia="zh-CN"/>
              </w:rPr>
              <w:t>二、</w:t>
            </w:r>
            <w:r>
              <w:rPr>
                <w:rFonts w:hint="default" w:ascii="Times New Roman" w:hAnsi="Times New Roman" w:cs="Times New Roman" w:eastAsiaTheme="minorEastAsia"/>
                <w:b/>
                <w:bCs/>
                <w:color w:val="auto"/>
                <w:spacing w:val="0"/>
                <w:sz w:val="24"/>
                <w:szCs w:val="24"/>
                <w:highlight w:val="none"/>
              </w:rPr>
              <w:t>水环境影响分析</w:t>
            </w:r>
            <w:r>
              <w:rPr>
                <w:rFonts w:hint="default" w:ascii="Times New Roman" w:hAnsi="Times New Roman" w:cs="Times New Roman" w:eastAsiaTheme="minorEastAsia"/>
                <w:b/>
                <w:bCs/>
                <w:color w:val="auto"/>
                <w:spacing w:val="0"/>
                <w:sz w:val="24"/>
                <w:szCs w:val="24"/>
                <w:highlight w:val="none"/>
                <w:lang w:eastAsia="zh-CN"/>
              </w:rPr>
              <w:t>和保护措施</w:t>
            </w:r>
          </w:p>
          <w:p w14:paraId="39D96891">
            <w:pPr>
              <w:keepNext w:val="0"/>
              <w:keepLines w:val="0"/>
              <w:pageBreakBefore w:val="0"/>
              <w:widowControl w:val="0"/>
              <w:kinsoku/>
              <w:wordWrap/>
              <w:overflowPunct/>
              <w:topLinePunct w:val="0"/>
              <w:autoSpaceDE/>
              <w:autoSpaceDN/>
              <w:bidi w:val="0"/>
              <w:adjustRightInd w:val="0"/>
              <w:snapToGrid w:val="0"/>
              <w:spacing w:line="360" w:lineRule="auto"/>
              <w:ind w:leftChars="0" w:firstLine="482" w:firstLineChars="200"/>
              <w:jc w:val="both"/>
              <w:textAlignment w:val="auto"/>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lang w:val="en-US" w:eastAsia="zh-CN"/>
              </w:rPr>
              <w:t>（一）</w:t>
            </w:r>
            <w:r>
              <w:rPr>
                <w:rFonts w:hint="default" w:ascii="Times New Roman" w:hAnsi="Times New Roman" w:eastAsia="宋体" w:cs="Times New Roman"/>
                <w:b/>
                <w:bCs/>
                <w:color w:val="auto"/>
                <w:spacing w:val="0"/>
                <w:sz w:val="24"/>
                <w:szCs w:val="24"/>
                <w:highlight w:val="none"/>
                <w:lang w:eastAsia="zh-CN"/>
              </w:rPr>
              <w:t>废水污染源源强核算</w:t>
            </w:r>
          </w:p>
          <w:p w14:paraId="29F6DD4C">
            <w:pPr>
              <w:pStyle w:val="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cs="Times New Roman" w:eastAsiaTheme="minorEastAsia"/>
                <w:snapToGrid w:val="0"/>
                <w:color w:val="auto"/>
                <w:sz w:val="24"/>
                <w:szCs w:val="24"/>
                <w:highlight w:val="none"/>
                <w:lang w:val="en-US" w:eastAsia="zh-CN"/>
              </w:rPr>
              <w:t>本项目生产不用水，废水主要为生活污水。</w:t>
            </w:r>
          </w:p>
          <w:p w14:paraId="49ED37A9">
            <w:pPr>
              <w:pStyle w:val="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生活污水</w:t>
            </w:r>
          </w:p>
          <w:p w14:paraId="3D7F0419">
            <w:pPr>
              <w:pStyle w:val="51"/>
              <w:keepNext w:val="0"/>
              <w:keepLines w:val="0"/>
              <w:pageBreakBefore w:val="0"/>
              <w:widowControl w:val="0"/>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snapToGrid w:val="0"/>
                <w:color w:val="auto"/>
                <w:kern w:val="0"/>
                <w:sz w:val="24"/>
                <w:highlight w:val="none"/>
                <w:lang w:val="en-US" w:eastAsia="zh-CN"/>
              </w:rPr>
            </w:pPr>
            <w:r>
              <w:rPr>
                <w:rFonts w:hint="default" w:ascii="Times New Roman" w:hAnsi="Times New Roman" w:eastAsia="宋体" w:cs="Times New Roman"/>
                <w:color w:val="auto"/>
                <w:spacing w:val="0"/>
                <w:sz w:val="24"/>
                <w:szCs w:val="24"/>
                <w:highlight w:val="none"/>
                <w:lang w:eastAsia="zh-CN"/>
              </w:rPr>
              <w:t>本项目运营后，劳动定员</w:t>
            </w:r>
            <w:r>
              <w:rPr>
                <w:rFonts w:hint="default" w:ascii="Times New Roman" w:hAnsi="Times New Roman" w:eastAsia="宋体" w:cs="Times New Roman"/>
                <w:color w:val="auto"/>
                <w:spacing w:val="0"/>
                <w:sz w:val="24"/>
                <w:szCs w:val="24"/>
                <w:highlight w:val="none"/>
                <w:lang w:val="en-US" w:eastAsia="zh-CN"/>
              </w:rPr>
              <w:t>13</w:t>
            </w:r>
            <w:r>
              <w:rPr>
                <w:rFonts w:hint="default" w:ascii="Times New Roman" w:hAnsi="Times New Roman" w:eastAsia="宋体" w:cs="Times New Roman"/>
                <w:color w:val="auto"/>
                <w:spacing w:val="0"/>
                <w:sz w:val="24"/>
                <w:szCs w:val="24"/>
                <w:highlight w:val="none"/>
              </w:rPr>
              <w:t>人</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cs="Times New Roman" w:eastAsiaTheme="minorEastAsia"/>
                <w:snapToGrid w:val="0"/>
                <w:color w:val="auto"/>
                <w:sz w:val="24"/>
                <w:szCs w:val="24"/>
                <w:highlight w:val="none"/>
                <w:lang w:val="en-US" w:eastAsia="zh-CN"/>
              </w:rPr>
              <w:t>本项目</w:t>
            </w:r>
            <w:r>
              <w:rPr>
                <w:rFonts w:hint="default" w:ascii="Times New Roman" w:hAnsi="Times New Roman" w:cs="Times New Roman" w:eastAsiaTheme="minorEastAsia"/>
                <w:color w:val="auto"/>
                <w:sz w:val="24"/>
                <w:szCs w:val="24"/>
                <w:highlight w:val="none"/>
                <w:lang w:eastAsia="zh-CN"/>
              </w:rPr>
              <w:t>生活用水量</w:t>
            </w:r>
            <w:r>
              <w:rPr>
                <w:rFonts w:hint="eastAsia" w:ascii="Times New Roman" w:hAnsi="Times New Roman" w:cs="Times New Roman" w:eastAsiaTheme="minorEastAsia"/>
                <w:color w:val="auto"/>
                <w:sz w:val="24"/>
                <w:szCs w:val="24"/>
                <w:highlight w:val="none"/>
                <w:lang w:eastAsia="zh-CN"/>
              </w:rPr>
              <w:t>为</w:t>
            </w:r>
            <w:r>
              <w:rPr>
                <w:rFonts w:hint="default" w:ascii="Times New Roman" w:hAnsi="Times New Roman" w:cs="Times New Roman" w:eastAsiaTheme="minorEastAsia"/>
                <w:color w:val="auto"/>
                <w:sz w:val="24"/>
                <w:szCs w:val="24"/>
                <w:highlight w:val="none"/>
                <w:lang w:val="en-US" w:eastAsia="zh-CN"/>
              </w:rPr>
              <w:t>0.65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/d（</w:t>
            </w:r>
            <w:r>
              <w:rPr>
                <w:rFonts w:hint="default" w:ascii="Times New Roman" w:hAnsi="Times New Roman" w:cs="Times New Roman" w:eastAsiaTheme="minorEastAsia"/>
                <w:color w:val="auto"/>
                <w:sz w:val="24"/>
                <w:szCs w:val="24"/>
                <w:highlight w:val="none"/>
                <w:lang w:val="en-US" w:eastAsia="zh-CN"/>
              </w:rPr>
              <w:t>195</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color w:val="auto"/>
                <w:sz w:val="24"/>
                <w:szCs w:val="24"/>
                <w:highlight w:val="none"/>
                <w:lang w:eastAsia="zh-CN"/>
              </w:rPr>
              <w:t>/a），</w:t>
            </w:r>
            <w:r>
              <w:rPr>
                <w:rFonts w:hint="default" w:ascii="Times New Roman" w:hAnsi="Times New Roman" w:cs="Times New Roman" w:eastAsiaTheme="minorEastAsia"/>
                <w:snapToGrid w:val="0"/>
                <w:color w:val="auto"/>
                <w:sz w:val="24"/>
                <w:szCs w:val="24"/>
                <w:highlight w:val="none"/>
                <w:lang w:val="en-US" w:eastAsia="zh-CN"/>
              </w:rPr>
              <w:t>排水系数按用水量的80%计，则生活污水产生量为0.52</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snapToGrid w:val="0"/>
                <w:color w:val="auto"/>
                <w:sz w:val="24"/>
                <w:szCs w:val="24"/>
                <w:highlight w:val="none"/>
                <w:lang w:val="en-US" w:eastAsia="zh-CN"/>
              </w:rPr>
              <w:t>/d（156</w:t>
            </w:r>
            <w:r>
              <w:rPr>
                <w:rFonts w:hint="default" w:ascii="Times New Roman" w:hAnsi="Times New Roman" w:cs="Times New Roman" w:eastAsiaTheme="minorEastAsia"/>
                <w:color w:val="auto"/>
                <w:sz w:val="24"/>
                <w:szCs w:val="24"/>
                <w:highlight w:val="none"/>
                <w:lang w:eastAsia="zh-CN"/>
              </w:rPr>
              <w:t>m</w:t>
            </w:r>
            <w:r>
              <w:rPr>
                <w:rFonts w:hint="default" w:ascii="Times New Roman" w:hAnsi="Times New Roman" w:cs="Times New Roman" w:eastAsiaTheme="minorEastAsia"/>
                <w:color w:val="auto"/>
                <w:sz w:val="24"/>
                <w:szCs w:val="24"/>
                <w:highlight w:val="none"/>
                <w:vertAlign w:val="superscript"/>
                <w:lang w:eastAsia="zh-CN"/>
              </w:rPr>
              <w:t>3</w:t>
            </w:r>
            <w:r>
              <w:rPr>
                <w:rFonts w:hint="default" w:ascii="Times New Roman" w:hAnsi="Times New Roman" w:cs="Times New Roman" w:eastAsiaTheme="minorEastAsia"/>
                <w:snapToGrid w:val="0"/>
                <w:color w:val="auto"/>
                <w:sz w:val="24"/>
                <w:szCs w:val="24"/>
                <w:highlight w:val="none"/>
                <w:lang w:val="en-US" w:eastAsia="zh-CN"/>
              </w:rPr>
              <w:t>/a）。</w:t>
            </w:r>
            <w:r>
              <w:rPr>
                <w:rFonts w:hint="default" w:ascii="Times New Roman" w:hAnsi="Times New Roman" w:cs="Times New Roman"/>
                <w:color w:val="auto"/>
                <w:sz w:val="24"/>
                <w:highlight w:val="none"/>
              </w:rPr>
              <w:t>主要污染物为COD</w:t>
            </w:r>
            <w:r>
              <w:rPr>
                <w:rFonts w:hint="default" w:ascii="Times New Roman" w:hAnsi="Times New Roman" w:cs="Times New Roman"/>
                <w:color w:val="auto"/>
                <w:sz w:val="24"/>
                <w:highlight w:val="none"/>
                <w:vertAlign w:val="subscript"/>
              </w:rPr>
              <w:t>Cr</w:t>
            </w:r>
            <w:r>
              <w:rPr>
                <w:rFonts w:hint="default" w:ascii="Times New Roman" w:hAnsi="Times New Roman" w:cs="Times New Roman"/>
                <w:color w:val="auto"/>
                <w:sz w:val="24"/>
                <w:highlight w:val="none"/>
              </w:rPr>
              <w:t>、BOD</w:t>
            </w:r>
            <w:r>
              <w:rPr>
                <w:rFonts w:hint="default" w:ascii="Times New Roman" w:hAnsi="Times New Roman" w:cs="Times New Roman"/>
                <w:color w:val="auto"/>
                <w:sz w:val="24"/>
                <w:highlight w:val="none"/>
                <w:vertAlign w:val="subscript"/>
              </w:rPr>
              <w:t>5</w:t>
            </w:r>
            <w:r>
              <w:rPr>
                <w:rFonts w:hint="default" w:ascii="Times New Roman" w:hAnsi="Times New Roman" w:cs="Times New Roman"/>
                <w:color w:val="auto"/>
                <w:sz w:val="24"/>
                <w:highlight w:val="none"/>
              </w:rPr>
              <w:t>、SS、氨氮等</w:t>
            </w:r>
            <w:r>
              <w:rPr>
                <w:rFonts w:hint="default" w:ascii="Times New Roman" w:hAnsi="Times New Roman" w:eastAsia="宋体" w:cs="Times New Roman"/>
                <w:color w:val="auto"/>
                <w:sz w:val="24"/>
                <w:highlight w:val="none"/>
                <w:lang w:eastAsia="zh-CN"/>
              </w:rPr>
              <w:t>，</w:t>
            </w:r>
            <w:r>
              <w:rPr>
                <w:rFonts w:hint="eastAsia" w:ascii="Times New Roman" w:hAnsi="Times New Roman" w:cs="Times New Roman" w:eastAsiaTheme="minorEastAsia"/>
                <w:snapToGrid w:val="0"/>
                <w:color w:val="auto"/>
                <w:sz w:val="24"/>
                <w:szCs w:val="24"/>
                <w:highlight w:val="none"/>
                <w:lang w:val="en-US" w:eastAsia="zh-CN"/>
              </w:rPr>
              <w:t>生活污水</w:t>
            </w:r>
            <w:r>
              <w:rPr>
                <w:rFonts w:hint="default" w:ascii="Times New Roman" w:hAnsi="Times New Roman" w:cs="Times New Roman" w:eastAsiaTheme="minorEastAsia"/>
                <w:snapToGrid w:val="0"/>
                <w:color w:val="auto"/>
                <w:sz w:val="24"/>
                <w:szCs w:val="24"/>
                <w:highlight w:val="none"/>
                <w:lang w:val="en-US" w:eastAsia="zh-CN"/>
              </w:rPr>
              <w:t>排入</w:t>
            </w:r>
            <w:r>
              <w:rPr>
                <w:rFonts w:hint="eastAsia" w:ascii="Times New Roman" w:hAnsi="Times New Roman" w:cs="Times New Roman" w:eastAsiaTheme="minorEastAsia"/>
                <w:snapToGrid w:val="0"/>
                <w:color w:val="auto"/>
                <w:sz w:val="24"/>
                <w:szCs w:val="24"/>
                <w:highlight w:val="none"/>
                <w:lang w:val="en-US" w:eastAsia="zh-CN"/>
              </w:rPr>
              <w:t>厂区防渗池，定期由吸污车拉运</w:t>
            </w:r>
            <w:r>
              <w:rPr>
                <w:rFonts w:hint="default" w:ascii="Times New Roman" w:hAnsi="Times New Roman" w:cs="Times New Roman" w:eastAsiaTheme="minorEastAsia"/>
                <w:snapToGrid w:val="0"/>
                <w:color w:val="auto"/>
                <w:sz w:val="24"/>
                <w:szCs w:val="24"/>
                <w:highlight w:val="none"/>
                <w:lang w:val="en-US" w:eastAsia="zh-CN"/>
              </w:rPr>
              <w:t>，</w:t>
            </w:r>
            <w:r>
              <w:rPr>
                <w:rFonts w:hint="eastAsia" w:ascii="Times New Roman" w:hAnsi="Times New Roman" w:cs="Times New Roman" w:eastAsiaTheme="minorEastAsia"/>
                <w:snapToGrid w:val="0"/>
                <w:color w:val="auto"/>
                <w:sz w:val="24"/>
                <w:szCs w:val="24"/>
                <w:highlight w:val="none"/>
                <w:lang w:val="en-US" w:eastAsia="zh-CN"/>
              </w:rPr>
              <w:t>待园区下水管网建成后接入园区下水管网，进入昌吉市第二污水处理厂处理</w:t>
            </w:r>
            <w:r>
              <w:rPr>
                <w:rFonts w:hint="default" w:ascii="Times New Roman" w:hAnsi="Times New Roman" w:cs="Times New Roman" w:eastAsiaTheme="minorEastAsia"/>
                <w:snapToGrid w:val="0"/>
                <w:color w:val="auto"/>
                <w:sz w:val="24"/>
                <w:szCs w:val="24"/>
                <w:highlight w:val="none"/>
                <w:lang w:val="en-US" w:eastAsia="zh-CN"/>
              </w:rPr>
              <w:t>。</w:t>
            </w:r>
            <w:r>
              <w:rPr>
                <w:rFonts w:hint="default" w:ascii="Times New Roman" w:hAnsi="Times New Roman" w:cs="Times New Roman"/>
                <w:snapToGrid w:val="0"/>
                <w:color w:val="auto"/>
                <w:kern w:val="0"/>
                <w:sz w:val="24"/>
                <w:highlight w:val="none"/>
              </w:rPr>
              <w:t>项目废水产排量情况见表4-</w:t>
            </w:r>
            <w:r>
              <w:rPr>
                <w:rFonts w:hint="default" w:ascii="Times New Roman" w:hAnsi="Times New Roman" w:eastAsia="宋体" w:cs="Times New Roman"/>
                <w:snapToGrid w:val="0"/>
                <w:color w:val="auto"/>
                <w:kern w:val="0"/>
                <w:sz w:val="24"/>
                <w:highlight w:val="none"/>
                <w:lang w:val="en-US" w:eastAsia="zh-CN"/>
              </w:rPr>
              <w:t>9</w:t>
            </w:r>
          </w:p>
          <w:p w14:paraId="13458FC3">
            <w:pPr>
              <w:autoSpaceDE w:val="0"/>
              <w:autoSpaceDN w:val="0"/>
              <w:adjustRightInd w:val="0"/>
              <w:snapToGrid w:val="0"/>
              <w:jc w:val="center"/>
              <w:rPr>
                <w:rFonts w:hint="default" w:ascii="Times New Roman" w:hAnsi="Times New Roman" w:cs="Times New Roman"/>
                <w:b/>
                <w:snapToGrid w:val="0"/>
                <w:color w:val="auto"/>
                <w:kern w:val="0"/>
                <w:szCs w:val="21"/>
                <w:highlight w:val="none"/>
              </w:rPr>
            </w:pPr>
            <w:r>
              <w:rPr>
                <w:rFonts w:hint="default" w:ascii="Times New Roman" w:hAnsi="Times New Roman" w:cs="Times New Roman"/>
                <w:b/>
                <w:snapToGrid w:val="0"/>
                <w:color w:val="auto"/>
                <w:kern w:val="0"/>
                <w:szCs w:val="21"/>
                <w:highlight w:val="none"/>
              </w:rPr>
              <w:t>表4-</w:t>
            </w:r>
            <w:r>
              <w:rPr>
                <w:rFonts w:hint="default" w:ascii="Times New Roman" w:hAnsi="Times New Roman" w:eastAsia="宋体" w:cs="Times New Roman"/>
                <w:b/>
                <w:snapToGrid w:val="0"/>
                <w:color w:val="auto"/>
                <w:kern w:val="0"/>
                <w:szCs w:val="21"/>
                <w:highlight w:val="none"/>
                <w:lang w:val="en-US" w:eastAsia="zh-CN"/>
              </w:rPr>
              <w:t>9</w:t>
            </w:r>
            <w:r>
              <w:rPr>
                <w:rFonts w:hint="default" w:ascii="Times New Roman" w:hAnsi="Times New Roman" w:cs="Times New Roman"/>
                <w:b/>
                <w:snapToGrid w:val="0"/>
                <w:color w:val="auto"/>
                <w:kern w:val="0"/>
                <w:szCs w:val="21"/>
                <w:highlight w:val="none"/>
              </w:rPr>
              <w:t xml:space="preserve">   生活污水污染物排放情况   mg/L</w:t>
            </w:r>
          </w:p>
          <w:tbl>
            <w:tblPr>
              <w:tblStyle w:val="29"/>
              <w:tblW w:w="50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3555"/>
              <w:gridCol w:w="1319"/>
              <w:gridCol w:w="1283"/>
              <w:gridCol w:w="1234"/>
              <w:gridCol w:w="1250"/>
            </w:tblGrid>
            <w:tr w14:paraId="397A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jc w:val="center"/>
              </w:trPr>
              <w:tc>
                <w:tcPr>
                  <w:tcW w:w="2057" w:type="pct"/>
                  <w:noWrap w:val="0"/>
                  <w:tcMar>
                    <w:top w:w="15" w:type="dxa"/>
                    <w:left w:w="15" w:type="dxa"/>
                    <w:right w:w="15" w:type="dxa"/>
                  </w:tcMar>
                  <w:vAlign w:val="center"/>
                </w:tcPr>
                <w:p w14:paraId="58C849DC">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default" w:ascii="Times New Roman" w:hAnsi="Times New Roman" w:cs="Times New Roman"/>
                      <w:b/>
                      <w:color w:val="auto"/>
                      <w:kern w:val="0"/>
                      <w:szCs w:val="21"/>
                      <w:highlight w:val="none"/>
                      <w:lang w:bidi="ar"/>
                    </w:rPr>
                    <w:t>项   目</w:t>
                  </w:r>
                </w:p>
              </w:tc>
              <w:tc>
                <w:tcPr>
                  <w:tcW w:w="763" w:type="pct"/>
                  <w:noWrap w:val="0"/>
                  <w:tcMar>
                    <w:top w:w="15" w:type="dxa"/>
                    <w:left w:w="15" w:type="dxa"/>
                    <w:right w:w="15" w:type="dxa"/>
                  </w:tcMar>
                  <w:vAlign w:val="center"/>
                </w:tcPr>
                <w:p w14:paraId="79E711A0">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default" w:ascii="Times New Roman" w:hAnsi="Times New Roman" w:cs="Times New Roman"/>
                      <w:b/>
                      <w:color w:val="auto"/>
                      <w:kern w:val="0"/>
                      <w:szCs w:val="21"/>
                      <w:highlight w:val="none"/>
                      <w:lang w:bidi="ar"/>
                    </w:rPr>
                    <w:t>COD</w:t>
                  </w:r>
                  <w:r>
                    <w:rPr>
                      <w:rFonts w:hint="default" w:ascii="Times New Roman" w:hAnsi="Times New Roman" w:cs="Times New Roman"/>
                      <w:b/>
                      <w:color w:val="auto"/>
                      <w:kern w:val="0"/>
                      <w:szCs w:val="21"/>
                      <w:highlight w:val="none"/>
                      <w:vertAlign w:val="subscript"/>
                      <w:lang w:bidi="ar"/>
                    </w:rPr>
                    <w:t>Cr</w:t>
                  </w:r>
                </w:p>
              </w:tc>
              <w:tc>
                <w:tcPr>
                  <w:tcW w:w="742" w:type="pct"/>
                  <w:noWrap w:val="0"/>
                  <w:tcMar>
                    <w:top w:w="15" w:type="dxa"/>
                    <w:left w:w="15" w:type="dxa"/>
                    <w:right w:w="15" w:type="dxa"/>
                  </w:tcMar>
                  <w:vAlign w:val="center"/>
                </w:tcPr>
                <w:p w14:paraId="77C6AA93">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default" w:ascii="Times New Roman" w:hAnsi="Times New Roman" w:cs="Times New Roman"/>
                      <w:b/>
                      <w:color w:val="auto"/>
                      <w:kern w:val="0"/>
                      <w:szCs w:val="21"/>
                      <w:highlight w:val="none"/>
                      <w:lang w:bidi="ar"/>
                    </w:rPr>
                    <w:t>BOD</w:t>
                  </w:r>
                  <w:r>
                    <w:rPr>
                      <w:rFonts w:hint="default" w:ascii="Times New Roman" w:hAnsi="Times New Roman" w:cs="Times New Roman"/>
                      <w:b/>
                      <w:color w:val="auto"/>
                      <w:kern w:val="0"/>
                      <w:szCs w:val="21"/>
                      <w:highlight w:val="none"/>
                      <w:vertAlign w:val="subscript"/>
                      <w:lang w:bidi="ar"/>
                    </w:rPr>
                    <w:t>5</w:t>
                  </w:r>
                </w:p>
              </w:tc>
              <w:tc>
                <w:tcPr>
                  <w:tcW w:w="714" w:type="pct"/>
                  <w:noWrap w:val="0"/>
                  <w:tcMar>
                    <w:top w:w="15" w:type="dxa"/>
                    <w:left w:w="15" w:type="dxa"/>
                    <w:right w:w="15" w:type="dxa"/>
                  </w:tcMar>
                  <w:vAlign w:val="center"/>
                </w:tcPr>
                <w:p w14:paraId="1FF48062">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default" w:ascii="Times New Roman" w:hAnsi="Times New Roman" w:cs="Times New Roman"/>
                      <w:b/>
                      <w:color w:val="auto"/>
                      <w:kern w:val="0"/>
                      <w:szCs w:val="21"/>
                      <w:highlight w:val="none"/>
                      <w:lang w:bidi="ar"/>
                    </w:rPr>
                    <w:t>SS</w:t>
                  </w:r>
                </w:p>
              </w:tc>
              <w:tc>
                <w:tcPr>
                  <w:tcW w:w="723" w:type="pct"/>
                  <w:noWrap w:val="0"/>
                  <w:tcMar>
                    <w:top w:w="15" w:type="dxa"/>
                    <w:left w:w="15" w:type="dxa"/>
                    <w:right w:w="15" w:type="dxa"/>
                  </w:tcMar>
                  <w:vAlign w:val="center"/>
                </w:tcPr>
                <w:p w14:paraId="33E2662E">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default" w:ascii="Times New Roman" w:hAnsi="Times New Roman" w:cs="Times New Roman"/>
                      <w:b/>
                      <w:color w:val="auto"/>
                      <w:kern w:val="0"/>
                      <w:szCs w:val="21"/>
                      <w:highlight w:val="none"/>
                      <w:lang w:bidi="ar"/>
                    </w:rPr>
                    <w:t>NH</w:t>
                  </w:r>
                  <w:r>
                    <w:rPr>
                      <w:rFonts w:hint="default" w:ascii="Times New Roman" w:hAnsi="Times New Roman" w:cs="Times New Roman"/>
                      <w:b/>
                      <w:color w:val="auto"/>
                      <w:kern w:val="0"/>
                      <w:szCs w:val="21"/>
                      <w:highlight w:val="none"/>
                      <w:vertAlign w:val="subscript"/>
                      <w:lang w:bidi="ar"/>
                    </w:rPr>
                    <w:t>3</w:t>
                  </w:r>
                  <w:r>
                    <w:rPr>
                      <w:rFonts w:hint="default" w:ascii="Times New Roman" w:hAnsi="Times New Roman" w:cs="Times New Roman"/>
                      <w:b/>
                      <w:color w:val="auto"/>
                      <w:kern w:val="0"/>
                      <w:szCs w:val="21"/>
                      <w:highlight w:val="none"/>
                      <w:lang w:bidi="ar"/>
                    </w:rPr>
                    <w:t>-N</w:t>
                  </w:r>
                </w:p>
              </w:tc>
            </w:tr>
            <w:tr w14:paraId="214B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7" w:hRule="atLeast"/>
                <w:jc w:val="center"/>
              </w:trPr>
              <w:tc>
                <w:tcPr>
                  <w:tcW w:w="2057" w:type="pct"/>
                  <w:noWrap w:val="0"/>
                  <w:tcMar>
                    <w:top w:w="15" w:type="dxa"/>
                    <w:left w:w="15" w:type="dxa"/>
                    <w:right w:w="15" w:type="dxa"/>
                  </w:tcMar>
                  <w:vAlign w:val="center"/>
                </w:tcPr>
                <w:p w14:paraId="50DE9989">
                  <w:pPr>
                    <w:widowControl/>
                    <w:adjustRightInd w:val="0"/>
                    <w:snapToGrid w:val="0"/>
                    <w:spacing w:line="240" w:lineRule="auto"/>
                    <w:jc w:val="center"/>
                    <w:textAlignment w:val="center"/>
                    <w:rPr>
                      <w:rFonts w:hint="default" w:ascii="Times New Roman" w:hAnsi="Times New Roman" w:cs="Times New Roman"/>
                      <w:b/>
                      <w:color w:val="auto"/>
                      <w:szCs w:val="21"/>
                      <w:highlight w:val="none"/>
                    </w:rPr>
                  </w:pPr>
                  <w:r>
                    <w:rPr>
                      <w:rFonts w:hint="eastAsia" w:ascii="Times New Roman" w:hAnsi="Times New Roman" w:eastAsia="宋体" w:cs="Times New Roman"/>
                      <w:b/>
                      <w:color w:val="auto"/>
                      <w:kern w:val="0"/>
                      <w:szCs w:val="21"/>
                      <w:highlight w:val="none"/>
                      <w:lang w:eastAsia="zh-CN" w:bidi="ar"/>
                    </w:rPr>
                    <w:t>生活污水</w:t>
                  </w:r>
                  <w:r>
                    <w:rPr>
                      <w:rFonts w:hint="default" w:ascii="Times New Roman" w:hAnsi="Times New Roman" w:cs="Times New Roman"/>
                      <w:b/>
                      <w:color w:val="auto"/>
                      <w:kern w:val="0"/>
                      <w:szCs w:val="21"/>
                      <w:highlight w:val="none"/>
                      <w:lang w:bidi="ar"/>
                    </w:rPr>
                    <w:t>量（m</w:t>
                  </w:r>
                  <w:r>
                    <w:rPr>
                      <w:rFonts w:hint="default" w:ascii="Times New Roman" w:hAnsi="Times New Roman" w:cs="Times New Roman"/>
                      <w:b/>
                      <w:color w:val="auto"/>
                      <w:kern w:val="0"/>
                      <w:szCs w:val="21"/>
                      <w:highlight w:val="none"/>
                      <w:vertAlign w:val="superscript"/>
                      <w:lang w:bidi="ar"/>
                    </w:rPr>
                    <w:t>3</w:t>
                  </w:r>
                  <w:r>
                    <w:rPr>
                      <w:rFonts w:hint="default" w:ascii="Times New Roman" w:hAnsi="Times New Roman" w:cs="Times New Roman"/>
                      <w:b/>
                      <w:color w:val="auto"/>
                      <w:kern w:val="0"/>
                      <w:szCs w:val="21"/>
                      <w:highlight w:val="none"/>
                      <w:lang w:bidi="ar"/>
                    </w:rPr>
                    <w:t>/a）</w:t>
                  </w:r>
                </w:p>
              </w:tc>
              <w:tc>
                <w:tcPr>
                  <w:tcW w:w="2942" w:type="pct"/>
                  <w:gridSpan w:val="4"/>
                  <w:noWrap w:val="0"/>
                  <w:tcMar>
                    <w:top w:w="15" w:type="dxa"/>
                    <w:left w:w="15" w:type="dxa"/>
                    <w:right w:w="15" w:type="dxa"/>
                  </w:tcMar>
                  <w:vAlign w:val="center"/>
                </w:tcPr>
                <w:p w14:paraId="4A5BBB81">
                  <w:pPr>
                    <w:widowControl/>
                    <w:adjustRightInd w:val="0"/>
                    <w:snapToGrid w:val="0"/>
                    <w:spacing w:line="240" w:lineRule="auto"/>
                    <w:jc w:val="center"/>
                    <w:textAlignment w:val="center"/>
                    <w:rPr>
                      <w:rFonts w:hint="default" w:ascii="Times New Roman" w:hAnsi="Times New Roman" w:eastAsia="宋体" w:cs="Times New Roman"/>
                      <w:b/>
                      <w:color w:val="auto"/>
                      <w:kern w:val="0"/>
                      <w:szCs w:val="21"/>
                      <w:highlight w:val="none"/>
                      <w:lang w:val="en-US" w:eastAsia="zh-CN" w:bidi="ar"/>
                    </w:rPr>
                  </w:pPr>
                  <w:r>
                    <w:rPr>
                      <w:rFonts w:hint="eastAsia" w:ascii="Times New Roman" w:hAnsi="Times New Roman" w:eastAsia="宋体" w:cs="Times New Roman"/>
                      <w:b/>
                      <w:color w:val="auto"/>
                      <w:kern w:val="0"/>
                      <w:szCs w:val="21"/>
                      <w:highlight w:val="none"/>
                      <w:lang w:val="en-US" w:eastAsia="zh-CN" w:bidi="ar"/>
                    </w:rPr>
                    <w:t>156</w:t>
                  </w:r>
                </w:p>
              </w:tc>
            </w:tr>
            <w:tr w14:paraId="622B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7" w:hRule="atLeast"/>
                <w:jc w:val="center"/>
              </w:trPr>
              <w:tc>
                <w:tcPr>
                  <w:tcW w:w="2057" w:type="pct"/>
                  <w:noWrap w:val="0"/>
                  <w:tcMar>
                    <w:top w:w="15" w:type="dxa"/>
                    <w:left w:w="15" w:type="dxa"/>
                    <w:right w:w="15" w:type="dxa"/>
                  </w:tcMar>
                  <w:vAlign w:val="center"/>
                </w:tcPr>
                <w:p w14:paraId="3A45A690">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产生浓度（mg/L）</w:t>
                  </w:r>
                </w:p>
              </w:tc>
              <w:tc>
                <w:tcPr>
                  <w:tcW w:w="763" w:type="pct"/>
                  <w:noWrap w:val="0"/>
                  <w:tcMar>
                    <w:top w:w="15" w:type="dxa"/>
                    <w:left w:w="15" w:type="dxa"/>
                    <w:right w:w="15" w:type="dxa"/>
                  </w:tcMar>
                  <w:vAlign w:val="center"/>
                </w:tcPr>
                <w:p w14:paraId="36C5D3FB">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350</w:t>
                  </w:r>
                </w:p>
              </w:tc>
              <w:tc>
                <w:tcPr>
                  <w:tcW w:w="742" w:type="pct"/>
                  <w:noWrap w:val="0"/>
                  <w:tcMar>
                    <w:top w:w="15" w:type="dxa"/>
                    <w:left w:w="15" w:type="dxa"/>
                    <w:right w:w="15" w:type="dxa"/>
                  </w:tcMar>
                  <w:vAlign w:val="center"/>
                </w:tcPr>
                <w:p w14:paraId="1FA11461">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200</w:t>
                  </w:r>
                </w:p>
              </w:tc>
              <w:tc>
                <w:tcPr>
                  <w:tcW w:w="714" w:type="pct"/>
                  <w:noWrap w:val="0"/>
                  <w:tcMar>
                    <w:top w:w="15" w:type="dxa"/>
                    <w:left w:w="15" w:type="dxa"/>
                    <w:right w:w="15" w:type="dxa"/>
                  </w:tcMar>
                  <w:vAlign w:val="center"/>
                </w:tcPr>
                <w:p w14:paraId="486EE9B9">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220</w:t>
                  </w:r>
                </w:p>
              </w:tc>
              <w:tc>
                <w:tcPr>
                  <w:tcW w:w="723" w:type="pct"/>
                  <w:noWrap w:val="0"/>
                  <w:tcMar>
                    <w:top w:w="15" w:type="dxa"/>
                    <w:left w:w="15" w:type="dxa"/>
                    <w:right w:w="15" w:type="dxa"/>
                  </w:tcMar>
                  <w:vAlign w:val="center"/>
                </w:tcPr>
                <w:p w14:paraId="1F6F6CF2">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35</w:t>
                  </w:r>
                </w:p>
              </w:tc>
            </w:tr>
            <w:tr w14:paraId="5538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7" w:hRule="atLeast"/>
                <w:jc w:val="center"/>
              </w:trPr>
              <w:tc>
                <w:tcPr>
                  <w:tcW w:w="2057" w:type="pct"/>
                  <w:noWrap w:val="0"/>
                  <w:tcMar>
                    <w:top w:w="15" w:type="dxa"/>
                    <w:left w:w="15" w:type="dxa"/>
                    <w:right w:w="15" w:type="dxa"/>
                  </w:tcMar>
                  <w:vAlign w:val="center"/>
                </w:tcPr>
                <w:p w14:paraId="4E3D3201">
                  <w:pPr>
                    <w:widowControl/>
                    <w:adjustRightInd w:val="0"/>
                    <w:snapToGrid w:val="0"/>
                    <w:spacing w:line="240" w:lineRule="auto"/>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产生量（t/a）</w:t>
                  </w:r>
                </w:p>
              </w:tc>
              <w:tc>
                <w:tcPr>
                  <w:tcW w:w="763" w:type="pct"/>
                  <w:noWrap w:val="0"/>
                  <w:tcMar>
                    <w:top w:w="15" w:type="dxa"/>
                    <w:left w:w="15" w:type="dxa"/>
                    <w:right w:w="15" w:type="dxa"/>
                  </w:tcMar>
                  <w:vAlign w:val="center"/>
                </w:tcPr>
                <w:p w14:paraId="3DAB6E25">
                  <w:pPr>
                    <w:widowControl/>
                    <w:spacing w:line="240" w:lineRule="auto"/>
                    <w:jc w:val="center"/>
                    <w:textAlignment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0"/>
                      <w:szCs w:val="21"/>
                      <w:highlight w:val="none"/>
                      <w:lang w:eastAsia="zh-CN" w:bidi="ar"/>
                    </w:rPr>
                    <w:t>0.0545</w:t>
                  </w:r>
                </w:p>
              </w:tc>
              <w:tc>
                <w:tcPr>
                  <w:tcW w:w="742" w:type="pct"/>
                  <w:noWrap w:val="0"/>
                  <w:tcMar>
                    <w:top w:w="15" w:type="dxa"/>
                    <w:left w:w="15" w:type="dxa"/>
                    <w:right w:w="15" w:type="dxa"/>
                  </w:tcMar>
                  <w:vAlign w:val="center"/>
                </w:tcPr>
                <w:p w14:paraId="169B0B0C">
                  <w:pPr>
                    <w:widowControl/>
                    <w:spacing w:line="240" w:lineRule="auto"/>
                    <w:jc w:val="center"/>
                    <w:textAlignment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0"/>
                      <w:szCs w:val="21"/>
                      <w:highlight w:val="none"/>
                      <w:lang w:eastAsia="zh-CN" w:bidi="ar"/>
                    </w:rPr>
                    <w:t>0.039</w:t>
                  </w:r>
                </w:p>
              </w:tc>
              <w:tc>
                <w:tcPr>
                  <w:tcW w:w="714" w:type="pct"/>
                  <w:noWrap w:val="0"/>
                  <w:tcMar>
                    <w:top w:w="15" w:type="dxa"/>
                    <w:left w:w="15" w:type="dxa"/>
                    <w:right w:w="15" w:type="dxa"/>
                  </w:tcMar>
                  <w:vAlign w:val="center"/>
                </w:tcPr>
                <w:p w14:paraId="2773E93B">
                  <w:pPr>
                    <w:widowControl/>
                    <w:spacing w:line="240" w:lineRule="auto"/>
                    <w:jc w:val="center"/>
                    <w:textAlignment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0"/>
                      <w:szCs w:val="21"/>
                      <w:highlight w:val="none"/>
                      <w:lang w:eastAsia="zh-CN" w:bidi="ar"/>
                    </w:rPr>
                    <w:t>0.0345</w:t>
                  </w:r>
                </w:p>
              </w:tc>
              <w:tc>
                <w:tcPr>
                  <w:tcW w:w="723" w:type="pct"/>
                  <w:noWrap w:val="0"/>
                  <w:tcMar>
                    <w:top w:w="15" w:type="dxa"/>
                    <w:left w:w="15" w:type="dxa"/>
                    <w:right w:w="15" w:type="dxa"/>
                  </w:tcMar>
                  <w:vAlign w:val="center"/>
                </w:tcPr>
                <w:p w14:paraId="468737A0">
                  <w:pPr>
                    <w:widowControl/>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0"/>
                      <w:szCs w:val="21"/>
                      <w:highlight w:val="none"/>
                      <w:lang w:val="en-US" w:eastAsia="zh-CN" w:bidi="ar"/>
                    </w:rPr>
                    <w:t>0.0055</w:t>
                  </w:r>
                </w:p>
              </w:tc>
            </w:tr>
          </w:tbl>
          <w:p w14:paraId="0F28AF7B">
            <w:pPr>
              <w:pStyle w:val="51"/>
              <w:keepNext w:val="0"/>
              <w:keepLines w:val="0"/>
              <w:pageBreakBefore w:val="0"/>
              <w:widowControl w:val="0"/>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rPr>
              <w:t>项目</w:t>
            </w:r>
            <w:r>
              <w:rPr>
                <w:rFonts w:hint="default" w:ascii="Times New Roman" w:hAnsi="Times New Roman" w:eastAsia="宋体" w:cs="Times New Roman"/>
                <w:color w:val="auto"/>
                <w:sz w:val="24"/>
                <w:szCs w:val="24"/>
                <w:highlight w:val="none"/>
                <w:lang w:eastAsia="zh-CN"/>
              </w:rPr>
              <w:t>废水排放情况见表</w:t>
            </w:r>
            <w:r>
              <w:rPr>
                <w:rFonts w:hint="default" w:ascii="Times New Roman" w:hAnsi="Times New Roman" w:eastAsia="宋体" w:cs="Times New Roman"/>
                <w:color w:val="auto"/>
                <w:sz w:val="24"/>
                <w:szCs w:val="24"/>
                <w:highlight w:val="none"/>
                <w:lang w:val="en-US" w:eastAsia="zh-CN"/>
              </w:rPr>
              <w:t>4-10。</w:t>
            </w:r>
          </w:p>
          <w:p w14:paraId="53C36444">
            <w:pPr>
              <w:pStyle w:val="51"/>
              <w:keepNext w:val="0"/>
              <w:keepLines w:val="0"/>
              <w:pageBreakBefore w:val="0"/>
              <w:widowControl w:val="0"/>
              <w:kinsoku/>
              <w:wordWrap/>
              <w:overflowPunct/>
              <w:topLinePunct w:val="0"/>
              <w:autoSpaceDE/>
              <w:autoSpaceDN/>
              <w:bidi w:val="0"/>
              <w:adjustRightInd w:val="0"/>
              <w:snapToGrid w:val="0"/>
              <w:spacing w:before="0" w:beforeLines="10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表4-10  废水污染物排放口情况</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3"/>
              <w:gridCol w:w="952"/>
              <w:gridCol w:w="1398"/>
              <w:gridCol w:w="1230"/>
              <w:gridCol w:w="1007"/>
              <w:gridCol w:w="1051"/>
              <w:gridCol w:w="2279"/>
            </w:tblGrid>
            <w:tr w14:paraId="2105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9" w:type="pct"/>
                  <w:tcBorders>
                    <w:tl2br w:val="nil"/>
                    <w:tr2bl w:val="nil"/>
                  </w:tcBorders>
                  <w:noWrap w:val="0"/>
                  <w:vAlign w:val="center"/>
                </w:tcPr>
                <w:p w14:paraId="0DDD5974">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编号</w:t>
                  </w:r>
                </w:p>
              </w:tc>
              <w:tc>
                <w:tcPr>
                  <w:tcW w:w="558" w:type="pct"/>
                  <w:tcBorders>
                    <w:tl2br w:val="nil"/>
                    <w:tr2bl w:val="nil"/>
                  </w:tcBorders>
                  <w:noWrap w:val="0"/>
                  <w:vAlign w:val="center"/>
                </w:tcPr>
                <w:p w14:paraId="618968B3">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名称</w:t>
                  </w:r>
                </w:p>
              </w:tc>
              <w:tc>
                <w:tcPr>
                  <w:tcW w:w="819" w:type="pct"/>
                  <w:tcBorders>
                    <w:tl2br w:val="nil"/>
                    <w:tr2bl w:val="nil"/>
                  </w:tcBorders>
                  <w:noWrap w:val="0"/>
                  <w:vAlign w:val="center"/>
                </w:tcPr>
                <w:p w14:paraId="1943D86B">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地理坐标</w:t>
                  </w:r>
                </w:p>
              </w:tc>
              <w:tc>
                <w:tcPr>
                  <w:tcW w:w="721" w:type="pct"/>
                  <w:tcBorders>
                    <w:tl2br w:val="nil"/>
                    <w:tr2bl w:val="nil"/>
                  </w:tcBorders>
                  <w:noWrap w:val="0"/>
                  <w:vAlign w:val="center"/>
                </w:tcPr>
                <w:p w14:paraId="6CE723F6">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类型</w:t>
                  </w:r>
                </w:p>
              </w:tc>
              <w:tc>
                <w:tcPr>
                  <w:tcW w:w="590" w:type="pct"/>
                  <w:tcBorders>
                    <w:tl2br w:val="nil"/>
                    <w:tr2bl w:val="nil"/>
                  </w:tcBorders>
                  <w:noWrap w:val="0"/>
                  <w:vAlign w:val="center"/>
                </w:tcPr>
                <w:p w14:paraId="3FF97912">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排放规律</w:t>
                  </w:r>
                </w:p>
              </w:tc>
              <w:tc>
                <w:tcPr>
                  <w:tcW w:w="616" w:type="pct"/>
                  <w:tcBorders>
                    <w:tl2br w:val="nil"/>
                    <w:tr2bl w:val="nil"/>
                  </w:tcBorders>
                  <w:noWrap w:val="0"/>
                  <w:vAlign w:val="center"/>
                </w:tcPr>
                <w:p w14:paraId="4B3B01EF">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排放方式</w:t>
                  </w:r>
                </w:p>
              </w:tc>
              <w:tc>
                <w:tcPr>
                  <w:tcW w:w="1335" w:type="pct"/>
                  <w:tcBorders>
                    <w:tl2br w:val="nil"/>
                    <w:tr2bl w:val="nil"/>
                  </w:tcBorders>
                  <w:noWrap w:val="0"/>
                  <w:vAlign w:val="center"/>
                </w:tcPr>
                <w:p w14:paraId="7DCB0309">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排放去向</w:t>
                  </w:r>
                </w:p>
              </w:tc>
            </w:tr>
            <w:tr w14:paraId="2A75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9" w:type="pct"/>
                  <w:tcBorders>
                    <w:tl2br w:val="nil"/>
                    <w:tr2bl w:val="nil"/>
                  </w:tcBorders>
                  <w:noWrap w:val="0"/>
                  <w:vAlign w:val="center"/>
                </w:tcPr>
                <w:p w14:paraId="43B28246">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W1</w:t>
                  </w:r>
                </w:p>
              </w:tc>
              <w:tc>
                <w:tcPr>
                  <w:tcW w:w="558" w:type="pct"/>
                  <w:tcBorders>
                    <w:tl2br w:val="nil"/>
                    <w:tr2bl w:val="nil"/>
                  </w:tcBorders>
                  <w:noWrap w:val="0"/>
                  <w:vAlign w:val="center"/>
                </w:tcPr>
                <w:p w14:paraId="5772A1A3">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厂区废水排放口</w:t>
                  </w:r>
                </w:p>
              </w:tc>
              <w:tc>
                <w:tcPr>
                  <w:tcW w:w="819" w:type="pct"/>
                  <w:tcBorders>
                    <w:tl2br w:val="nil"/>
                    <w:tr2bl w:val="nil"/>
                  </w:tcBorders>
                  <w:noWrap w:val="0"/>
                  <w:vAlign w:val="center"/>
                </w:tcPr>
                <w:p w14:paraId="0C24BEA1">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E87.236417608</w:t>
                  </w:r>
                </w:p>
                <w:p w14:paraId="3E026819">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N43.876999531</w:t>
                  </w:r>
                </w:p>
              </w:tc>
              <w:tc>
                <w:tcPr>
                  <w:tcW w:w="721" w:type="pct"/>
                  <w:tcBorders>
                    <w:tl2br w:val="nil"/>
                    <w:tr2bl w:val="nil"/>
                  </w:tcBorders>
                  <w:noWrap w:val="0"/>
                  <w:vAlign w:val="center"/>
                </w:tcPr>
                <w:p w14:paraId="73AF6DC3">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一般排放口</w:t>
                  </w:r>
                </w:p>
              </w:tc>
              <w:tc>
                <w:tcPr>
                  <w:tcW w:w="590" w:type="pct"/>
                  <w:tcBorders>
                    <w:tl2br w:val="nil"/>
                    <w:tr2bl w:val="nil"/>
                  </w:tcBorders>
                  <w:noWrap w:val="0"/>
                  <w:vAlign w:val="center"/>
                </w:tcPr>
                <w:p w14:paraId="559EE28A">
                  <w:pPr>
                    <w:pStyle w:val="5"/>
                    <w:keepNext w:val="0"/>
                    <w:keepLines/>
                    <w:pageBreakBefore w:val="0"/>
                    <w:widowControl w:val="0"/>
                    <w:numPr>
                      <w:ilvl w:val="2"/>
                      <w:numId w:val="0"/>
                    </w:numPr>
                    <w:tabs>
                      <w:tab w:val="clear" w:pos="720"/>
                    </w:tabs>
                    <w:kinsoku/>
                    <w:wordWrap/>
                    <w:overflowPunct/>
                    <w:topLinePunct w:val="0"/>
                    <w:autoSpaceDE/>
                    <w:autoSpaceDN/>
                    <w:bidi w:val="0"/>
                    <w:adjustRightInd w:val="0"/>
                    <w:snapToGrid w:val="0"/>
                    <w:spacing w:line="240" w:lineRule="auto"/>
                    <w:ind w:left="0" w:leftChars="0" w:right="0" w:rightChars="0"/>
                    <w:jc w:val="center"/>
                    <w:textAlignment w:val="bottom"/>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1d/次</w:t>
                  </w:r>
                </w:p>
              </w:tc>
              <w:tc>
                <w:tcPr>
                  <w:tcW w:w="616" w:type="pct"/>
                  <w:tcBorders>
                    <w:tl2br w:val="nil"/>
                    <w:tr2bl w:val="nil"/>
                  </w:tcBorders>
                  <w:noWrap w:val="0"/>
                  <w:vAlign w:val="center"/>
                </w:tcPr>
                <w:p w14:paraId="06311FDE">
                  <w:pPr>
                    <w:keepNext w:val="0"/>
                    <w:pageBreakBefore w:val="0"/>
                    <w:widowControl w:val="0"/>
                    <w:kinsoku/>
                    <w:wordWrap/>
                    <w:overflowPunct/>
                    <w:topLinePunct w:val="0"/>
                    <w:autoSpaceDE/>
                    <w:autoSpaceDN/>
                    <w:bidi w:val="0"/>
                    <w:adjustRightInd w:val="0"/>
                    <w:snapToGrid w:val="0"/>
                    <w:spacing w:line="240" w:lineRule="auto"/>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间接排放</w:t>
                  </w:r>
                </w:p>
              </w:tc>
              <w:tc>
                <w:tcPr>
                  <w:tcW w:w="1335" w:type="pct"/>
                  <w:tcBorders>
                    <w:tl2br w:val="nil"/>
                    <w:tr2bl w:val="nil"/>
                  </w:tcBorders>
                  <w:noWrap w:val="0"/>
                  <w:vAlign w:val="center"/>
                </w:tcPr>
                <w:p w14:paraId="097C67EC">
                  <w:pPr>
                    <w:keepNext w:val="0"/>
                    <w:pageBreakBefore w:val="0"/>
                    <w:widowControl w:val="0"/>
                    <w:kinsoku/>
                    <w:wordWrap/>
                    <w:overflowPunct/>
                    <w:topLinePunct w:val="0"/>
                    <w:autoSpaceDE/>
                    <w:autoSpaceDN/>
                    <w:bidi w:val="0"/>
                    <w:adjustRightInd w:val="0"/>
                    <w:snapToGrid w:val="0"/>
                    <w:spacing w:line="240" w:lineRule="auto"/>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排入厂区防渗池，定期由吸污车拉运，待园区下水管网建成后接入园区下水管网，进入昌吉市第二污水处理厂处理。</w:t>
                  </w:r>
                </w:p>
              </w:tc>
            </w:tr>
          </w:tbl>
          <w:p w14:paraId="776F5976">
            <w:pPr>
              <w:keepNext w:val="0"/>
              <w:keepLines w:val="0"/>
              <w:pageBreakBefore w:val="0"/>
              <w:widowControl w:val="0"/>
              <w:kinsoku/>
              <w:wordWrap/>
              <w:overflowPunct/>
              <w:topLinePunct w:val="0"/>
              <w:autoSpaceDE/>
              <w:autoSpaceDN/>
              <w:bidi w:val="0"/>
              <w:adjustRightInd w:val="0"/>
              <w:snapToGrid w:val="0"/>
              <w:spacing w:before="0" w:beforeLines="50"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lang w:val="en-US" w:eastAsia="zh-CN"/>
              </w:rPr>
              <w:t>（二）</w:t>
            </w:r>
            <w:r>
              <w:rPr>
                <w:rFonts w:hint="default" w:ascii="Times New Roman" w:hAnsi="Times New Roman" w:eastAsia="宋体" w:cs="Times New Roman"/>
                <w:b/>
                <w:bCs/>
                <w:color w:val="auto"/>
                <w:spacing w:val="0"/>
                <w:sz w:val="24"/>
                <w:szCs w:val="24"/>
                <w:highlight w:val="none"/>
                <w:lang w:eastAsia="zh-CN"/>
              </w:rPr>
              <w:t>废水监测要求</w:t>
            </w:r>
          </w:p>
          <w:p w14:paraId="5551AF77">
            <w:pPr>
              <w:pStyle w:val="5"/>
              <w:keepNext w:val="0"/>
              <w:pageBreakBefore w:val="0"/>
              <w:widowControl w:val="0"/>
              <w:numPr>
                <w:ilvl w:val="0"/>
                <w:numId w:val="0"/>
              </w:numPr>
              <w:tabs>
                <w:tab w:val="clear" w:pos="720"/>
              </w:tabs>
              <w:kinsoku/>
              <w:wordWrap/>
              <w:overflowPunct/>
              <w:topLinePunct w:val="0"/>
              <w:autoSpaceDE/>
              <w:autoSpaceDN/>
              <w:bidi w:val="0"/>
              <w:adjustRightInd w:val="0"/>
              <w:snapToGrid w:val="0"/>
              <w:spacing w:line="360" w:lineRule="auto"/>
              <w:ind w:firstLine="480" w:firstLineChars="200"/>
              <w:jc w:val="both"/>
              <w:outlineLvl w:val="2"/>
              <w:rPr>
                <w:rFonts w:hint="default" w:ascii="Times New Roman" w:hAnsi="Times New Roman" w:eastAsia="宋体" w:cs="Times New Roman"/>
                <w:color w:val="auto"/>
                <w:spacing w:val="0"/>
                <w:kern w:val="21"/>
                <w:position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依据《排污单位自行监测技术指南 总则》（HJ819-2017）中废水排放监测要求，</w:t>
            </w:r>
            <w:r>
              <w:rPr>
                <w:rFonts w:hint="default" w:ascii="Times New Roman" w:hAnsi="Times New Roman" w:eastAsia="宋体" w:cs="Times New Roman"/>
                <w:color w:val="auto"/>
                <w:spacing w:val="0"/>
                <w:kern w:val="21"/>
                <w:position w:val="0"/>
                <w:sz w:val="24"/>
                <w:szCs w:val="24"/>
                <w:highlight w:val="none"/>
              </w:rPr>
              <w:t>本项目废水监测计划见表4-</w:t>
            </w:r>
            <w:r>
              <w:rPr>
                <w:rFonts w:hint="default" w:ascii="Times New Roman" w:hAnsi="Times New Roman" w:eastAsia="宋体" w:cs="Times New Roman"/>
                <w:color w:val="auto"/>
                <w:spacing w:val="0"/>
                <w:kern w:val="21"/>
                <w:position w:val="0"/>
                <w:sz w:val="24"/>
                <w:szCs w:val="24"/>
                <w:highlight w:val="none"/>
                <w:lang w:val="en-US" w:eastAsia="zh-CN"/>
              </w:rPr>
              <w:t>11</w:t>
            </w:r>
            <w:r>
              <w:rPr>
                <w:rFonts w:hint="default" w:ascii="Times New Roman" w:hAnsi="Times New Roman" w:eastAsia="宋体" w:cs="Times New Roman"/>
                <w:color w:val="auto"/>
                <w:spacing w:val="0"/>
                <w:kern w:val="21"/>
                <w:position w:val="0"/>
                <w:sz w:val="24"/>
                <w:szCs w:val="24"/>
                <w:highlight w:val="none"/>
              </w:rPr>
              <w:t>。</w:t>
            </w:r>
          </w:p>
          <w:p w14:paraId="28EE502C">
            <w:pPr>
              <w:pageBreakBefore w:val="0"/>
              <w:wordWrap/>
              <w:bidi w:val="0"/>
              <w:adjustRightInd w:val="0"/>
              <w:snapToGrid w:val="0"/>
              <w:rPr>
                <w:rFonts w:hint="default" w:ascii="Times New Roman" w:hAnsi="Times New Roman" w:cs="Times New Roman"/>
                <w:color w:val="auto"/>
                <w:highlight w:val="none"/>
              </w:rPr>
            </w:pPr>
          </w:p>
          <w:p w14:paraId="66FDC2FF">
            <w:pPr>
              <w:pStyle w:val="5"/>
              <w:keepNext w:val="0"/>
              <w:pageBreakBefore w:val="0"/>
              <w:widowControl w:val="0"/>
              <w:numPr>
                <w:ilvl w:val="2"/>
                <w:numId w:val="0"/>
              </w:numPr>
              <w:kinsoku/>
              <w:wordWrap/>
              <w:overflowPunct/>
              <w:autoSpaceDE/>
              <w:autoSpaceDN/>
              <w:bidi w:val="0"/>
              <w:adjustRightInd w:val="0"/>
              <w:snapToGrid w:val="0"/>
              <w:spacing w:line="240" w:lineRule="auto"/>
              <w:jc w:val="center"/>
              <w:outlineLvl w:val="2"/>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w:t>
            </w:r>
            <w:r>
              <w:rPr>
                <w:rFonts w:hint="default" w:ascii="Times New Roman" w:hAnsi="Times New Roman" w:eastAsia="宋体" w:cs="Times New Roman"/>
                <w:b/>
                <w:bCs/>
                <w:color w:val="auto"/>
                <w:spacing w:val="0"/>
                <w:position w:val="0"/>
                <w:sz w:val="21"/>
                <w:szCs w:val="21"/>
                <w:highlight w:val="none"/>
                <w:lang w:val="en-US" w:eastAsia="zh-CN"/>
              </w:rPr>
              <w:t>11</w:t>
            </w:r>
            <w:r>
              <w:rPr>
                <w:rFonts w:hint="default" w:ascii="Times New Roman" w:hAnsi="Times New Roman" w:eastAsia="宋体" w:cs="Times New Roman"/>
                <w:b/>
                <w:bCs/>
                <w:color w:val="auto"/>
                <w:spacing w:val="0"/>
                <w:position w:val="0"/>
                <w:sz w:val="21"/>
                <w:szCs w:val="21"/>
                <w:highlight w:val="none"/>
              </w:rPr>
              <w:t xml:space="preserve"> 废水监测计划一览表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1"/>
              <w:gridCol w:w="3524"/>
              <w:gridCol w:w="1102"/>
              <w:gridCol w:w="2353"/>
            </w:tblGrid>
            <w:tr w14:paraId="658C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pct"/>
                  <w:noWrap w:val="0"/>
                  <w:vAlign w:val="center"/>
                </w:tcPr>
                <w:p w14:paraId="469CE484">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监测对象</w:t>
                  </w:r>
                </w:p>
              </w:tc>
              <w:tc>
                <w:tcPr>
                  <w:tcW w:w="2065" w:type="pct"/>
                  <w:noWrap w:val="0"/>
                  <w:vAlign w:val="center"/>
                </w:tcPr>
                <w:p w14:paraId="1ABB0AA0">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监测因子</w:t>
                  </w:r>
                </w:p>
              </w:tc>
              <w:tc>
                <w:tcPr>
                  <w:tcW w:w="646" w:type="pct"/>
                  <w:noWrap w:val="0"/>
                  <w:vAlign w:val="center"/>
                </w:tcPr>
                <w:p w14:paraId="52C4FDD7">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监测频次</w:t>
                  </w:r>
                </w:p>
              </w:tc>
              <w:tc>
                <w:tcPr>
                  <w:tcW w:w="1378" w:type="pct"/>
                  <w:noWrap w:val="0"/>
                  <w:vAlign w:val="center"/>
                </w:tcPr>
                <w:p w14:paraId="05CA8D0E">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执行标准</w:t>
                  </w:r>
                </w:p>
              </w:tc>
            </w:tr>
            <w:tr w14:paraId="1BC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pct"/>
                  <w:noWrap w:val="0"/>
                  <w:vAlign w:val="center"/>
                </w:tcPr>
                <w:p w14:paraId="44AF72FF">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废水</w:t>
                  </w:r>
                  <w:r>
                    <w:rPr>
                      <w:rFonts w:hint="default" w:ascii="Times New Roman" w:hAnsi="Times New Roman" w:eastAsia="宋体" w:cs="Times New Roman"/>
                      <w:color w:val="auto"/>
                      <w:spacing w:val="0"/>
                      <w:position w:val="0"/>
                      <w:sz w:val="21"/>
                      <w:szCs w:val="21"/>
                      <w:highlight w:val="none"/>
                      <w:lang w:eastAsia="zh-CN"/>
                    </w:rPr>
                    <w:t>总</w:t>
                  </w:r>
                  <w:r>
                    <w:rPr>
                      <w:rFonts w:hint="default" w:ascii="Times New Roman" w:hAnsi="Times New Roman" w:eastAsia="宋体" w:cs="Times New Roman"/>
                      <w:color w:val="auto"/>
                      <w:spacing w:val="0"/>
                      <w:position w:val="0"/>
                      <w:sz w:val="21"/>
                      <w:szCs w:val="21"/>
                      <w:highlight w:val="none"/>
                    </w:rPr>
                    <w:t>排放口</w:t>
                  </w:r>
                </w:p>
              </w:tc>
              <w:tc>
                <w:tcPr>
                  <w:tcW w:w="2065" w:type="pct"/>
                  <w:noWrap w:val="0"/>
                  <w:vAlign w:val="center"/>
                </w:tcPr>
                <w:p w14:paraId="0ECD0632">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化学需氧量、五日生化需氧量、氨氮、悬浮物、</w:t>
                  </w:r>
                </w:p>
              </w:tc>
              <w:tc>
                <w:tcPr>
                  <w:tcW w:w="646" w:type="pct"/>
                  <w:noWrap w:val="0"/>
                  <w:vAlign w:val="center"/>
                </w:tcPr>
                <w:p w14:paraId="40828C18">
                  <w:pPr>
                    <w:keepNext w:val="0"/>
                    <w:pageBreakBefore w:val="0"/>
                    <w:widowControl w:val="0"/>
                    <w:kinsoku/>
                    <w:wordWrap/>
                    <w:overflowPunct/>
                    <w:autoSpaceDE/>
                    <w:autoSpaceDN/>
                    <w:bidi w:val="0"/>
                    <w:adjustRightInd w:val="0"/>
                    <w:snapToGrid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rPr>
                    <w:t>1次/</w:t>
                  </w:r>
                  <w:r>
                    <w:rPr>
                      <w:rFonts w:hint="default" w:ascii="Times New Roman" w:hAnsi="Times New Roman" w:eastAsia="宋体" w:cs="Times New Roman"/>
                      <w:color w:val="auto"/>
                      <w:spacing w:val="0"/>
                      <w:position w:val="0"/>
                      <w:sz w:val="21"/>
                      <w:szCs w:val="21"/>
                      <w:highlight w:val="none"/>
                      <w:lang w:val="en-US" w:eastAsia="zh-CN"/>
                    </w:rPr>
                    <w:t>半年</w:t>
                  </w:r>
                </w:p>
              </w:tc>
              <w:tc>
                <w:tcPr>
                  <w:tcW w:w="1378" w:type="pct"/>
                  <w:noWrap w:val="0"/>
                  <w:vAlign w:val="center"/>
                </w:tcPr>
                <w:p w14:paraId="638529D2">
                  <w:pPr>
                    <w:keepNext w:val="0"/>
                    <w:pageBreakBefore w:val="0"/>
                    <w:widowControl w:val="0"/>
                    <w:kinsoku/>
                    <w:wordWrap/>
                    <w:overflowPunct/>
                    <w:topLinePunct/>
                    <w:autoSpaceDE/>
                    <w:autoSpaceDN/>
                    <w:bidi w:val="0"/>
                    <w:adjustRightInd w:val="0"/>
                    <w:snapToGrid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《污水综合排放标准》（GB8978-1996）中表4中的三级标准限值</w:t>
                  </w:r>
                </w:p>
              </w:tc>
            </w:tr>
          </w:tbl>
          <w:p w14:paraId="486361AC">
            <w:pPr>
              <w:pStyle w:val="38"/>
              <w:keepNext w:val="0"/>
              <w:keepLines w:val="0"/>
              <w:pageBreakBefore w:val="0"/>
              <w:widowControl/>
              <w:numPr>
                <w:ilvl w:val="0"/>
                <w:numId w:val="5"/>
              </w:numPr>
              <w:kinsoku w:val="0"/>
              <w:wordWrap/>
              <w:overflowPunct/>
              <w:topLinePunct w:val="0"/>
              <w:autoSpaceDE w:val="0"/>
              <w:autoSpaceDN w:val="0"/>
              <w:bidi w:val="0"/>
              <w:adjustRightInd w:val="0"/>
              <w:snapToGrid w:val="0"/>
              <w:spacing w:before="0" w:beforeLines="50" w:line="360" w:lineRule="auto"/>
              <w:ind w:left="0" w:leftChars="0" w:firstLine="482" w:firstLineChars="200"/>
              <w:jc w:val="both"/>
              <w:textAlignment w:val="baseline"/>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污水处理厂依托可行性分析</w:t>
            </w:r>
          </w:p>
          <w:p w14:paraId="6460E1D2">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firstLine="480" w:firstLineChars="200"/>
              <w:jc w:val="both"/>
              <w:textAlignment w:val="baseline"/>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eastAsiaTheme="minorEastAsia"/>
                <w:snapToGrid w:val="0"/>
                <w:color w:val="auto"/>
                <w:sz w:val="24"/>
                <w:szCs w:val="24"/>
                <w:highlight w:val="none"/>
                <w:lang w:val="en-US" w:eastAsia="zh-CN"/>
              </w:rPr>
              <w:t>生活污水</w:t>
            </w:r>
            <w:r>
              <w:rPr>
                <w:rFonts w:hint="default" w:ascii="Times New Roman" w:hAnsi="Times New Roman" w:cs="Times New Roman" w:eastAsiaTheme="minorEastAsia"/>
                <w:snapToGrid w:val="0"/>
                <w:color w:val="auto"/>
                <w:sz w:val="24"/>
                <w:szCs w:val="24"/>
                <w:highlight w:val="none"/>
                <w:lang w:val="en-US" w:eastAsia="zh-CN"/>
              </w:rPr>
              <w:t>排入</w:t>
            </w:r>
            <w:r>
              <w:rPr>
                <w:rFonts w:hint="eastAsia" w:ascii="Times New Roman" w:hAnsi="Times New Roman" w:cs="Times New Roman" w:eastAsiaTheme="minorEastAsia"/>
                <w:snapToGrid w:val="0"/>
                <w:color w:val="auto"/>
                <w:sz w:val="24"/>
                <w:szCs w:val="24"/>
                <w:highlight w:val="none"/>
                <w:lang w:val="en-US" w:eastAsia="zh-CN"/>
              </w:rPr>
              <w:t>厂区防渗池，定期由吸污车拉运至昌吉市第二污水处理厂处理</w:t>
            </w:r>
            <w:r>
              <w:rPr>
                <w:rFonts w:hint="default" w:ascii="Times New Roman" w:hAnsi="Times New Roman" w:cs="Times New Roman" w:eastAsiaTheme="minorEastAsia"/>
                <w:snapToGrid w:val="0"/>
                <w:color w:val="auto"/>
                <w:sz w:val="24"/>
                <w:szCs w:val="24"/>
                <w:highlight w:val="none"/>
                <w:lang w:val="en-US" w:eastAsia="zh-CN"/>
              </w:rPr>
              <w:t>，</w:t>
            </w:r>
            <w:r>
              <w:rPr>
                <w:rFonts w:hint="eastAsia" w:ascii="Times New Roman" w:hAnsi="Times New Roman" w:cs="Times New Roman" w:eastAsiaTheme="minorEastAsia"/>
                <w:snapToGrid w:val="0"/>
                <w:color w:val="auto"/>
                <w:sz w:val="24"/>
                <w:szCs w:val="24"/>
                <w:highlight w:val="none"/>
                <w:lang w:val="en-US" w:eastAsia="zh-CN"/>
              </w:rPr>
              <w:t>待园区下水管网建成后接入园区下水管网，进入昌吉市第二污水处理厂处理</w:t>
            </w:r>
            <w:r>
              <w:rPr>
                <w:rFonts w:hint="default" w:ascii="Times New Roman" w:hAnsi="Times New Roman" w:cs="Times New Roman" w:eastAsiaTheme="minorEastAsia"/>
                <w:snapToGrid w:val="0"/>
                <w:color w:val="auto"/>
                <w:sz w:val="24"/>
                <w:szCs w:val="24"/>
                <w:highlight w:val="none"/>
                <w:lang w:val="en-US" w:eastAsia="zh-CN"/>
              </w:rPr>
              <w:t>。</w:t>
            </w:r>
          </w:p>
          <w:p w14:paraId="637D8144">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firstLine="480" w:firstLineChars="200"/>
              <w:jc w:val="both"/>
              <w:textAlignment w:val="baseline"/>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昌吉市第二污水处理厂已于1997年1月28日取得新疆维吾尔自治区环境保护厅《关于新疆昌吉市10万吨/日污水处理厂工程环境影响评价报告书》的批复，批号为环管字</w:t>
            </w:r>
            <w:r>
              <w:rPr>
                <w:rFonts w:hint="eastAsia" w:ascii="Times New Roman" w:hAnsi="Times New Roman" w:eastAsia="宋体" w:cs="Times New Roman"/>
                <w:b w:val="0"/>
                <w:bCs w:val="0"/>
                <w:color w:val="auto"/>
                <w:highlight w:val="none"/>
                <w:lang w:val="en-US" w:eastAsia="zh-CN"/>
              </w:rPr>
              <w:t>〔1997〕11号</w:t>
            </w:r>
            <w:r>
              <w:rPr>
                <w:rFonts w:hint="default" w:ascii="Times New Roman" w:hAnsi="Times New Roman" w:eastAsia="宋体" w:cs="Times New Roman"/>
                <w:b w:val="0"/>
                <w:bCs w:val="0"/>
                <w:color w:val="auto"/>
                <w:highlight w:val="none"/>
                <w:lang w:val="en-US" w:eastAsia="zh-CN"/>
              </w:rPr>
              <w:t xml:space="preserve">；并于2003年8月26日取得新疆维吾尔自治区环境保护厅《关于新疆昌吉市10万吨/日污水处理厂工程竣工环境保护验收报告》的验收意见，批号为新环验〔2003〕15号。于2017年6月3日取得昌吉回族自治州环境保护局关于《昌吉市第二污水处理厂提标升级改造工程环境影响报告表》的批复，批号昌州环评〔2017〕36号；并于2020年4月完成竣工环境保护验收。 </w:t>
            </w:r>
          </w:p>
          <w:p w14:paraId="639E7310">
            <w:pPr>
              <w:pStyle w:val="38"/>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line="360" w:lineRule="auto"/>
              <w:ind w:firstLine="480" w:firstLineChars="200"/>
              <w:jc w:val="both"/>
              <w:textAlignment w:val="baseline"/>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昌吉市第二污水处理厂污水接收标准为《污水综合排放标准》（GB8978-1996）三级标准，经处理后尾水水质达到《城镇污水处理厂污染物排放标准》（GB18918-2002）中一级A标准，处理规模为10万m³/d，实际处理量为41540m³/d，尚有余量；可收纳本项目所排放污水。故本项目生活污水</w:t>
            </w:r>
            <w:r>
              <w:rPr>
                <w:rFonts w:hint="eastAsia" w:ascii="Times New Roman" w:hAnsi="Times New Roman" w:eastAsia="宋体" w:cs="Times New Roman"/>
                <w:b w:val="0"/>
                <w:bCs w:val="0"/>
                <w:color w:val="auto"/>
                <w:highlight w:val="none"/>
                <w:lang w:val="en-US" w:eastAsia="zh-CN"/>
              </w:rPr>
              <w:t>拉运至</w:t>
            </w:r>
            <w:r>
              <w:rPr>
                <w:rFonts w:hint="default" w:ascii="Times New Roman" w:hAnsi="Times New Roman" w:eastAsia="宋体" w:cs="Times New Roman"/>
                <w:b w:val="0"/>
                <w:bCs w:val="0"/>
                <w:color w:val="auto"/>
                <w:highlight w:val="none"/>
                <w:lang w:val="en-US" w:eastAsia="zh-CN"/>
              </w:rPr>
              <w:t>昌吉市第二污水处理厂措施可行。</w:t>
            </w:r>
          </w:p>
          <w:p w14:paraId="6FFFDAF5">
            <w:pPr>
              <w:pStyle w:val="38"/>
              <w:keepNext w:val="0"/>
              <w:keepLines w:val="0"/>
              <w:pageBreakBefore w:val="0"/>
              <w:widowControl/>
              <w:wordWrap/>
              <w:overflowPunct/>
              <w:topLinePunct w:val="0"/>
              <w:autoSpaceDE w:val="0"/>
              <w:autoSpaceDN w:val="0"/>
              <w:bidi w:val="0"/>
              <w:adjustRightInd w:val="0"/>
              <w:snapToGrid w:val="0"/>
              <w:spacing w:before="0" w:beforeLines="0" w:line="360" w:lineRule="auto"/>
              <w:ind w:left="0" w:leftChars="0" w:firstLine="0" w:firstLineChars="0"/>
              <w:jc w:val="both"/>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三、噪声影响分析</w:t>
            </w:r>
          </w:p>
          <w:p w14:paraId="2F1B85E5">
            <w:pPr>
              <w:pStyle w:val="56"/>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一</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噪声源分析</w:t>
            </w:r>
          </w:p>
          <w:p w14:paraId="166E3DF1">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本项目</w:t>
            </w:r>
            <w:r>
              <w:rPr>
                <w:rFonts w:hint="default" w:ascii="Times New Roman" w:hAnsi="Times New Roman" w:cs="Times New Roman" w:eastAsiaTheme="minorEastAsia"/>
                <w:snapToGrid w:val="0"/>
                <w:color w:val="auto"/>
                <w:sz w:val="24"/>
                <w:szCs w:val="24"/>
                <w:highlight w:val="none"/>
              </w:rPr>
              <w:t>年工作</w:t>
            </w:r>
            <w:r>
              <w:rPr>
                <w:rFonts w:hint="default" w:ascii="Times New Roman" w:hAnsi="Times New Roman" w:cs="Times New Roman" w:eastAsiaTheme="minorEastAsia"/>
                <w:snapToGrid w:val="0"/>
                <w:color w:val="auto"/>
                <w:sz w:val="24"/>
                <w:szCs w:val="24"/>
                <w:highlight w:val="none"/>
                <w:lang w:val="en-US" w:eastAsia="zh-CN"/>
              </w:rPr>
              <w:t>300</w:t>
            </w:r>
            <w:r>
              <w:rPr>
                <w:rFonts w:hint="default" w:ascii="Times New Roman" w:hAnsi="Times New Roman" w:cs="Times New Roman" w:eastAsiaTheme="minorEastAsia"/>
                <w:snapToGrid w:val="0"/>
                <w:color w:val="auto"/>
                <w:sz w:val="24"/>
                <w:szCs w:val="24"/>
                <w:highlight w:val="none"/>
              </w:rPr>
              <w:t>天，</w:t>
            </w:r>
            <w:r>
              <w:rPr>
                <w:rFonts w:hint="default" w:ascii="Times New Roman" w:hAnsi="Times New Roman" w:cs="Times New Roman" w:eastAsiaTheme="minorEastAsia"/>
                <w:snapToGrid w:val="0"/>
                <w:color w:val="auto"/>
                <w:sz w:val="24"/>
                <w:szCs w:val="24"/>
                <w:highlight w:val="none"/>
                <w:lang w:val="en-US" w:eastAsia="zh-CN"/>
              </w:rPr>
              <w:t>每天工作8</w:t>
            </w:r>
            <w:r>
              <w:rPr>
                <w:rFonts w:hint="default" w:ascii="Times New Roman" w:hAnsi="Times New Roman" w:cs="Times New Roman" w:eastAsiaTheme="minorEastAsia"/>
                <w:snapToGrid w:val="0"/>
                <w:color w:val="auto"/>
                <w:sz w:val="24"/>
                <w:szCs w:val="24"/>
                <w:highlight w:val="none"/>
              </w:rPr>
              <w:t>h</w:t>
            </w:r>
            <w:r>
              <w:rPr>
                <w:rFonts w:hint="eastAsia" w:ascii="Times New Roman" w:hAnsi="Times New Roman" w:cs="Times New Roman" w:eastAsiaTheme="minorEastAsia"/>
                <w:snapToGrid w:val="0"/>
                <w:color w:val="auto"/>
                <w:sz w:val="24"/>
                <w:szCs w:val="24"/>
                <w:highlight w:val="none"/>
                <w:lang w:eastAsia="zh-CN"/>
              </w:rPr>
              <w:t>，</w:t>
            </w:r>
            <w:r>
              <w:rPr>
                <w:rFonts w:hint="eastAsia" w:ascii="Times New Roman" w:hAnsi="Times New Roman" w:cs="Times New Roman" w:eastAsiaTheme="minorEastAsia"/>
                <w:snapToGrid w:val="0"/>
                <w:color w:val="auto"/>
                <w:sz w:val="24"/>
                <w:szCs w:val="24"/>
                <w:highlight w:val="none"/>
                <w:lang w:val="en-US" w:eastAsia="zh-CN"/>
              </w:rPr>
              <w:t>夜间不生产，项目噪声</w:t>
            </w:r>
            <w:r>
              <w:rPr>
                <w:rFonts w:hint="eastAsia" w:ascii="Times New Roman" w:hAnsi="Times New Roman" w:eastAsia="宋体" w:cs="Times New Roman"/>
                <w:color w:val="auto"/>
                <w:highlight w:val="none"/>
                <w:lang w:val="en-US" w:eastAsia="zh-CN"/>
              </w:rPr>
              <w:t>为</w:t>
            </w:r>
            <w:r>
              <w:rPr>
                <w:rFonts w:hint="default" w:ascii="Times New Roman" w:hAnsi="Times New Roman" w:eastAsia="宋体" w:cs="Times New Roman"/>
                <w:color w:val="auto"/>
                <w:highlight w:val="none"/>
              </w:rPr>
              <w:t>噪声主要来自各类机械设备噪声，这些设备主要集</w:t>
            </w:r>
            <w:r>
              <w:rPr>
                <w:rFonts w:hint="eastAsia" w:ascii="Times New Roman" w:hAnsi="Times New Roman" w:eastAsia="宋体" w:cs="Times New Roman"/>
                <w:color w:val="auto"/>
                <w:highlight w:val="none"/>
                <w:lang w:eastAsia="zh-CN"/>
              </w:rPr>
              <w:t>中在</w:t>
            </w:r>
            <w:r>
              <w:rPr>
                <w:rFonts w:hint="default" w:ascii="Times New Roman" w:hAnsi="Times New Roman" w:eastAsia="宋体" w:cs="Times New Roman"/>
                <w:color w:val="auto"/>
                <w:highlight w:val="none"/>
                <w:lang w:val="en-US" w:eastAsia="zh-CN"/>
              </w:rPr>
              <w:t>车间</w:t>
            </w:r>
            <w:r>
              <w:rPr>
                <w:rFonts w:hint="default" w:ascii="Times New Roman" w:hAnsi="Times New Roman" w:eastAsia="宋体" w:cs="Times New Roman"/>
                <w:color w:val="auto"/>
                <w:highlight w:val="none"/>
              </w:rPr>
              <w:t>内，根据类似设备噪声强度调查，噪声源源强分别见4-</w:t>
            </w:r>
            <w:r>
              <w:rPr>
                <w:rFonts w:hint="default" w:ascii="Times New Roman" w:hAnsi="Times New Roman" w:eastAsia="宋体" w:cs="Times New Roman"/>
                <w:color w:val="auto"/>
                <w:highlight w:val="none"/>
                <w:lang w:val="en-US" w:eastAsia="zh-CN"/>
              </w:rPr>
              <w:t>12</w:t>
            </w:r>
            <w:r>
              <w:rPr>
                <w:rFonts w:hint="default" w:ascii="Times New Roman" w:hAnsi="Times New Roman" w:eastAsia="宋体" w:cs="Times New Roman"/>
                <w:color w:val="auto"/>
                <w:highlight w:val="none"/>
              </w:rPr>
              <w:t>。</w:t>
            </w:r>
          </w:p>
          <w:p w14:paraId="1DA0598B">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22" w:firstLineChars="20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sz w:val="21"/>
                <w:szCs w:val="21"/>
                <w:highlight w:val="none"/>
              </w:rPr>
              <w:t>表4-</w:t>
            </w:r>
            <w:r>
              <w:rPr>
                <w:rFonts w:hint="default" w:ascii="Times New Roman" w:hAnsi="Times New Roman" w:eastAsia="宋体" w:cs="Times New Roman"/>
                <w:b/>
                <w:bCs/>
                <w:color w:val="auto"/>
                <w:sz w:val="21"/>
                <w:szCs w:val="21"/>
                <w:highlight w:val="none"/>
                <w:lang w:val="en-US" w:eastAsia="zh-CN"/>
              </w:rPr>
              <w:t>12</w:t>
            </w:r>
            <w:r>
              <w:rPr>
                <w:rFonts w:hint="default" w:ascii="Times New Roman" w:hAnsi="Times New Roman" w:eastAsia="宋体" w:cs="Times New Roman"/>
                <w:b/>
                <w:bCs/>
                <w:color w:val="auto"/>
                <w:sz w:val="21"/>
                <w:szCs w:val="21"/>
                <w:highlight w:val="none"/>
              </w:rPr>
              <w:t xml:space="preserve">   噪声源源强</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703"/>
              <w:gridCol w:w="616"/>
              <w:gridCol w:w="629"/>
              <w:gridCol w:w="528"/>
              <w:gridCol w:w="527"/>
              <w:gridCol w:w="528"/>
              <w:gridCol w:w="540"/>
              <w:gridCol w:w="413"/>
              <w:gridCol w:w="413"/>
              <w:gridCol w:w="413"/>
              <w:gridCol w:w="413"/>
              <w:gridCol w:w="429"/>
              <w:gridCol w:w="430"/>
              <w:gridCol w:w="430"/>
              <w:gridCol w:w="430"/>
              <w:gridCol w:w="587"/>
            </w:tblGrid>
            <w:tr w14:paraId="0356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vMerge w:val="restart"/>
                  <w:tcBorders>
                    <w:tl2br w:val="nil"/>
                    <w:tr2bl w:val="nil"/>
                  </w:tcBorders>
                  <w:noWrap w:val="0"/>
                  <w:vAlign w:val="center"/>
                </w:tcPr>
                <w:p w14:paraId="1A698DA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bookmarkStart w:id="5" w:name="PT_6"/>
                  <w:r>
                    <w:rPr>
                      <w:rFonts w:hint="eastAsia" w:ascii="宋体" w:hAnsi="宋体" w:eastAsia="宋体" w:cs="宋体"/>
                      <w:b/>
                      <w:bCs w:val="0"/>
                      <w:color w:val="auto"/>
                      <w:kern w:val="2"/>
                      <w:sz w:val="21"/>
                      <w:szCs w:val="21"/>
                      <w:highlight w:val="none"/>
                      <w:lang w:val="en-US" w:eastAsia="zh-CN" w:bidi="ar"/>
                    </w:rPr>
                    <w:t>序号</w:t>
                  </w:r>
                  <w:bookmarkEnd w:id="5"/>
                </w:p>
              </w:tc>
              <w:tc>
                <w:tcPr>
                  <w:tcW w:w="706" w:type="dxa"/>
                  <w:vMerge w:val="restart"/>
                  <w:tcBorders>
                    <w:tl2br w:val="nil"/>
                    <w:tr2bl w:val="nil"/>
                  </w:tcBorders>
                  <w:noWrap w:val="0"/>
                  <w:vAlign w:val="center"/>
                </w:tcPr>
                <w:p w14:paraId="24F2A87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声源名称</w:t>
                  </w:r>
                </w:p>
              </w:tc>
              <w:tc>
                <w:tcPr>
                  <w:tcW w:w="616" w:type="dxa"/>
                  <w:tcBorders>
                    <w:tl2br w:val="nil"/>
                    <w:tr2bl w:val="nil"/>
                  </w:tcBorders>
                  <w:noWrap w:val="0"/>
                  <w:vAlign w:val="center"/>
                </w:tcPr>
                <w:p w14:paraId="3DC3E4D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声源源强</w:t>
                  </w:r>
                </w:p>
              </w:tc>
              <w:tc>
                <w:tcPr>
                  <w:tcW w:w="631" w:type="dxa"/>
                  <w:vMerge w:val="restart"/>
                  <w:tcBorders>
                    <w:tl2br w:val="nil"/>
                    <w:tr2bl w:val="nil"/>
                  </w:tcBorders>
                  <w:noWrap w:val="0"/>
                  <w:vAlign w:val="center"/>
                </w:tcPr>
                <w:p w14:paraId="2B4B39B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声源控制措施</w:t>
                  </w:r>
                </w:p>
              </w:tc>
              <w:tc>
                <w:tcPr>
                  <w:tcW w:w="1590" w:type="dxa"/>
                  <w:gridSpan w:val="3"/>
                  <w:tcBorders>
                    <w:tl2br w:val="nil"/>
                    <w:tr2bl w:val="nil"/>
                  </w:tcBorders>
                  <w:noWrap w:val="0"/>
                  <w:vAlign w:val="center"/>
                </w:tcPr>
                <w:p w14:paraId="7DA2AC6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空间相对位置</w:t>
                  </w:r>
                  <w:r>
                    <w:rPr>
                      <w:rFonts w:hint="default" w:ascii="Times New Roman" w:hAnsi="Times New Roman" w:cs="Times New Roman"/>
                      <w:b/>
                      <w:bCs w:val="0"/>
                      <w:color w:val="auto"/>
                      <w:kern w:val="2"/>
                      <w:sz w:val="21"/>
                      <w:szCs w:val="21"/>
                      <w:highlight w:val="none"/>
                      <w:lang w:val="en-US" w:eastAsia="zh-CN" w:bidi="ar"/>
                    </w:rPr>
                    <w:t>/m</w:t>
                  </w:r>
                </w:p>
              </w:tc>
              <w:tc>
                <w:tcPr>
                  <w:tcW w:w="540" w:type="dxa"/>
                  <w:vMerge w:val="restart"/>
                  <w:tcBorders>
                    <w:tl2br w:val="nil"/>
                    <w:tr2bl w:val="nil"/>
                  </w:tcBorders>
                  <w:noWrap w:val="0"/>
                  <w:vAlign w:val="center"/>
                </w:tcPr>
                <w:p w14:paraId="4B835C3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运行时段</w:t>
                  </w:r>
                </w:p>
              </w:tc>
              <w:tc>
                <w:tcPr>
                  <w:tcW w:w="1660" w:type="dxa"/>
                  <w:gridSpan w:val="4"/>
                  <w:tcBorders>
                    <w:tl2br w:val="nil"/>
                    <w:tr2bl w:val="nil"/>
                  </w:tcBorders>
                  <w:noWrap w:val="0"/>
                  <w:vAlign w:val="center"/>
                </w:tcPr>
                <w:p w14:paraId="008A619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建筑物插入损失</w:t>
                  </w:r>
                  <w:r>
                    <w:rPr>
                      <w:rFonts w:hint="default" w:ascii="Times New Roman" w:hAnsi="Times New Roman" w:cs="Times New Roman"/>
                      <w:b/>
                      <w:bCs w:val="0"/>
                      <w:color w:val="auto"/>
                      <w:kern w:val="2"/>
                      <w:sz w:val="21"/>
                      <w:szCs w:val="21"/>
                      <w:highlight w:val="none"/>
                      <w:lang w:val="en-US" w:eastAsia="zh-CN" w:bidi="ar"/>
                    </w:rPr>
                    <w:t xml:space="preserve"> / dB</w:t>
                  </w:r>
                  <w:r>
                    <w:rPr>
                      <w:rFonts w:hint="eastAsia" w:ascii="Times New Roman" w:hAnsi="Times New Roman" w:cs="Times New Roman"/>
                      <w:b/>
                      <w:bCs w:val="0"/>
                      <w:color w:val="auto"/>
                      <w:kern w:val="2"/>
                      <w:sz w:val="21"/>
                      <w:szCs w:val="21"/>
                      <w:highlight w:val="none"/>
                      <w:lang w:val="en-US" w:eastAsia="zh-CN" w:bidi="ar"/>
                    </w:rPr>
                    <w:t>（</w:t>
                  </w:r>
                  <w:r>
                    <w:rPr>
                      <w:rFonts w:hint="default" w:ascii="Times New Roman" w:hAnsi="Times New Roman" w:cs="Times New Roman"/>
                      <w:b/>
                      <w:bCs w:val="0"/>
                      <w:color w:val="auto"/>
                      <w:kern w:val="2"/>
                      <w:sz w:val="21"/>
                      <w:szCs w:val="21"/>
                      <w:highlight w:val="none"/>
                      <w:lang w:val="en-US" w:eastAsia="zh-CN" w:bidi="ar"/>
                    </w:rPr>
                    <w:t>A</w:t>
                  </w:r>
                  <w:r>
                    <w:rPr>
                      <w:rFonts w:hint="eastAsia" w:ascii="Times New Roman" w:hAnsi="Times New Roman" w:cs="Times New Roman"/>
                      <w:b/>
                      <w:bCs w:val="0"/>
                      <w:color w:val="auto"/>
                      <w:kern w:val="2"/>
                      <w:sz w:val="21"/>
                      <w:szCs w:val="21"/>
                      <w:highlight w:val="none"/>
                      <w:lang w:val="en-US" w:eastAsia="zh-CN" w:bidi="ar"/>
                    </w:rPr>
                    <w:t>）</w:t>
                  </w:r>
                  <w:bookmarkStart w:id="6" w:name="PT_10"/>
                  <w:bookmarkEnd w:id="6"/>
                </w:p>
              </w:tc>
              <w:tc>
                <w:tcPr>
                  <w:tcW w:w="2309" w:type="dxa"/>
                  <w:gridSpan w:val="5"/>
                  <w:tcBorders>
                    <w:tl2br w:val="nil"/>
                    <w:tr2bl w:val="nil"/>
                  </w:tcBorders>
                  <w:noWrap w:val="0"/>
                  <w:vAlign w:val="center"/>
                </w:tcPr>
                <w:p w14:paraId="1902BCC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建筑物外噪声声压级</w:t>
                  </w:r>
                  <w:r>
                    <w:rPr>
                      <w:rFonts w:hint="default" w:ascii="Times New Roman" w:hAnsi="Times New Roman" w:cs="Times New Roman"/>
                      <w:b/>
                      <w:bCs w:val="0"/>
                      <w:color w:val="auto"/>
                      <w:kern w:val="2"/>
                      <w:sz w:val="21"/>
                      <w:szCs w:val="21"/>
                      <w:highlight w:val="none"/>
                      <w:lang w:val="en-US" w:eastAsia="zh-CN" w:bidi="ar"/>
                    </w:rPr>
                    <w:t>/dB</w:t>
                  </w:r>
                  <w:r>
                    <w:rPr>
                      <w:rFonts w:hint="eastAsia" w:ascii="Times New Roman" w:hAnsi="Times New Roman" w:cs="Times New Roman"/>
                      <w:b/>
                      <w:bCs w:val="0"/>
                      <w:color w:val="auto"/>
                      <w:kern w:val="2"/>
                      <w:sz w:val="21"/>
                      <w:szCs w:val="21"/>
                      <w:highlight w:val="none"/>
                      <w:lang w:val="en-US" w:eastAsia="zh-CN" w:bidi="ar"/>
                    </w:rPr>
                    <w:t>（</w:t>
                  </w:r>
                  <w:r>
                    <w:rPr>
                      <w:rFonts w:hint="default" w:ascii="Times New Roman" w:hAnsi="Times New Roman" w:cs="Times New Roman"/>
                      <w:b/>
                      <w:bCs w:val="0"/>
                      <w:color w:val="auto"/>
                      <w:kern w:val="2"/>
                      <w:sz w:val="21"/>
                      <w:szCs w:val="21"/>
                      <w:highlight w:val="none"/>
                      <w:lang w:val="en-US" w:eastAsia="zh-CN" w:bidi="ar"/>
                    </w:rPr>
                    <w:t>A</w:t>
                  </w:r>
                  <w:r>
                    <w:rPr>
                      <w:rFonts w:hint="eastAsia" w:ascii="Times New Roman" w:hAnsi="Times New Roman" w:cs="Times New Roman"/>
                      <w:b/>
                      <w:bCs w:val="0"/>
                      <w:color w:val="auto"/>
                      <w:kern w:val="2"/>
                      <w:sz w:val="21"/>
                      <w:szCs w:val="21"/>
                      <w:highlight w:val="none"/>
                      <w:lang w:val="en-US" w:eastAsia="zh-CN" w:bidi="ar"/>
                    </w:rPr>
                    <w:t>）</w:t>
                  </w:r>
                </w:p>
              </w:tc>
            </w:tr>
            <w:tr w14:paraId="6301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vMerge w:val="continue"/>
                  <w:tcBorders>
                    <w:tl2br w:val="nil"/>
                    <w:tr2bl w:val="nil"/>
                  </w:tcBorders>
                  <w:noWrap w:val="0"/>
                  <w:vAlign w:val="center"/>
                </w:tcPr>
                <w:p w14:paraId="226953E2">
                  <w:pPr>
                    <w:rPr>
                      <w:rFonts w:hint="default" w:ascii="Times New Roman" w:hAnsi="Times New Roman" w:cs="Times New Roman"/>
                      <w:color w:val="auto"/>
                      <w:sz w:val="21"/>
                      <w:szCs w:val="21"/>
                      <w:highlight w:val="none"/>
                    </w:rPr>
                  </w:pPr>
                </w:p>
              </w:tc>
              <w:tc>
                <w:tcPr>
                  <w:tcW w:w="706" w:type="dxa"/>
                  <w:vMerge w:val="continue"/>
                  <w:tcBorders>
                    <w:tl2br w:val="nil"/>
                    <w:tr2bl w:val="nil"/>
                  </w:tcBorders>
                  <w:noWrap w:val="0"/>
                  <w:vAlign w:val="center"/>
                </w:tcPr>
                <w:p w14:paraId="56D8E3F9">
                  <w:pPr>
                    <w:rPr>
                      <w:rFonts w:hint="default" w:ascii="Times New Roman" w:hAnsi="Times New Roman" w:cs="Times New Roman"/>
                      <w:color w:val="auto"/>
                      <w:sz w:val="21"/>
                      <w:szCs w:val="21"/>
                      <w:highlight w:val="none"/>
                    </w:rPr>
                  </w:pPr>
                </w:p>
              </w:tc>
              <w:tc>
                <w:tcPr>
                  <w:tcW w:w="616" w:type="dxa"/>
                  <w:tcBorders>
                    <w:tl2br w:val="nil"/>
                    <w:tr2bl w:val="nil"/>
                  </w:tcBorders>
                  <w:noWrap w:val="0"/>
                  <w:tcMar>
                    <w:left w:w="0" w:type="dxa"/>
                    <w:right w:w="0" w:type="dxa"/>
                  </w:tcMar>
                  <w:vAlign w:val="center"/>
                </w:tcPr>
                <w:p w14:paraId="39EA5D9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声功率级</w:t>
                  </w:r>
                  <w:r>
                    <w:rPr>
                      <w:rFonts w:hint="default" w:ascii="Times New Roman" w:hAnsi="Times New Roman" w:cs="Times New Roman"/>
                      <w:color w:val="auto"/>
                      <w:kern w:val="2"/>
                      <w:sz w:val="21"/>
                      <w:szCs w:val="21"/>
                      <w:highlight w:val="none"/>
                      <w:lang w:val="en-US" w:eastAsia="zh-CN" w:bidi="ar"/>
                    </w:rPr>
                    <w:t>/dB</w:t>
                  </w:r>
                  <w:r>
                    <w:rPr>
                      <w:rFonts w:hint="eastAsia" w:ascii="Times New Roman" w:hAnsi="Times New Roman" w:cs="Times New Roman"/>
                      <w:color w:val="auto"/>
                      <w:kern w:val="2"/>
                      <w:sz w:val="21"/>
                      <w:szCs w:val="21"/>
                      <w:highlight w:val="none"/>
                      <w:lang w:val="en-US" w:eastAsia="zh-CN" w:bidi="ar"/>
                    </w:rPr>
                    <w:t>（</w:t>
                  </w:r>
                  <w:r>
                    <w:rPr>
                      <w:rFonts w:hint="default" w:ascii="Times New Roman" w:hAnsi="Times New Roman" w:cs="Times New Roman"/>
                      <w:color w:val="auto"/>
                      <w:kern w:val="2"/>
                      <w:sz w:val="21"/>
                      <w:szCs w:val="21"/>
                      <w:highlight w:val="none"/>
                      <w:lang w:val="en-US" w:eastAsia="zh-CN" w:bidi="ar"/>
                    </w:rPr>
                    <w:t>A</w:t>
                  </w:r>
                  <w:r>
                    <w:rPr>
                      <w:rFonts w:hint="eastAsia" w:ascii="Times New Roman" w:hAnsi="Times New Roman" w:cs="Times New Roman"/>
                      <w:color w:val="auto"/>
                      <w:kern w:val="2"/>
                      <w:sz w:val="21"/>
                      <w:szCs w:val="21"/>
                      <w:highlight w:val="none"/>
                      <w:lang w:val="en-US" w:eastAsia="zh-CN" w:bidi="ar"/>
                    </w:rPr>
                    <w:t>）</w:t>
                  </w:r>
                </w:p>
              </w:tc>
              <w:tc>
                <w:tcPr>
                  <w:tcW w:w="631" w:type="dxa"/>
                  <w:vMerge w:val="continue"/>
                  <w:tcBorders>
                    <w:tl2br w:val="nil"/>
                    <w:tr2bl w:val="nil"/>
                  </w:tcBorders>
                  <w:noWrap w:val="0"/>
                  <w:vAlign w:val="center"/>
                </w:tcPr>
                <w:p w14:paraId="10802D25">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76A2910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X</w:t>
                  </w:r>
                </w:p>
              </w:tc>
              <w:tc>
                <w:tcPr>
                  <w:tcW w:w="530" w:type="dxa"/>
                  <w:tcBorders>
                    <w:tl2br w:val="nil"/>
                    <w:tr2bl w:val="nil"/>
                  </w:tcBorders>
                  <w:noWrap w:val="0"/>
                  <w:tcMar>
                    <w:left w:w="0" w:type="dxa"/>
                    <w:right w:w="0" w:type="dxa"/>
                  </w:tcMar>
                  <w:vAlign w:val="center"/>
                </w:tcPr>
                <w:p w14:paraId="052CB22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Y</w:t>
                  </w:r>
                </w:p>
              </w:tc>
              <w:tc>
                <w:tcPr>
                  <w:tcW w:w="530" w:type="dxa"/>
                  <w:tcBorders>
                    <w:tl2br w:val="nil"/>
                    <w:tr2bl w:val="nil"/>
                  </w:tcBorders>
                  <w:noWrap w:val="0"/>
                  <w:tcMar>
                    <w:left w:w="0" w:type="dxa"/>
                    <w:right w:w="0" w:type="dxa"/>
                  </w:tcMar>
                  <w:vAlign w:val="center"/>
                </w:tcPr>
                <w:p w14:paraId="0AE6912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Z</w:t>
                  </w:r>
                </w:p>
              </w:tc>
              <w:tc>
                <w:tcPr>
                  <w:tcW w:w="540" w:type="dxa"/>
                  <w:vMerge w:val="continue"/>
                  <w:tcBorders>
                    <w:tl2br w:val="nil"/>
                    <w:tr2bl w:val="nil"/>
                  </w:tcBorders>
                  <w:noWrap w:val="0"/>
                  <w:vAlign w:val="center"/>
                </w:tcPr>
                <w:p w14:paraId="1682CB0F">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440F113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东</w:t>
                  </w:r>
                </w:p>
              </w:tc>
              <w:tc>
                <w:tcPr>
                  <w:tcW w:w="415" w:type="dxa"/>
                  <w:tcBorders>
                    <w:tl2br w:val="nil"/>
                    <w:tr2bl w:val="nil"/>
                  </w:tcBorders>
                  <w:noWrap w:val="0"/>
                  <w:tcMar>
                    <w:left w:w="0" w:type="dxa"/>
                    <w:right w:w="0" w:type="dxa"/>
                  </w:tcMar>
                  <w:vAlign w:val="center"/>
                </w:tcPr>
                <w:p w14:paraId="2AE351A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南</w:t>
                  </w:r>
                </w:p>
              </w:tc>
              <w:tc>
                <w:tcPr>
                  <w:tcW w:w="415" w:type="dxa"/>
                  <w:tcBorders>
                    <w:tl2br w:val="nil"/>
                    <w:tr2bl w:val="nil"/>
                  </w:tcBorders>
                  <w:noWrap w:val="0"/>
                  <w:tcMar>
                    <w:left w:w="0" w:type="dxa"/>
                    <w:right w:w="0" w:type="dxa"/>
                  </w:tcMar>
                  <w:vAlign w:val="center"/>
                </w:tcPr>
                <w:p w14:paraId="5902AB0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西</w:t>
                  </w:r>
                </w:p>
              </w:tc>
              <w:tc>
                <w:tcPr>
                  <w:tcW w:w="415" w:type="dxa"/>
                  <w:tcBorders>
                    <w:tl2br w:val="nil"/>
                    <w:tr2bl w:val="nil"/>
                  </w:tcBorders>
                  <w:noWrap w:val="0"/>
                  <w:tcMar>
                    <w:left w:w="0" w:type="dxa"/>
                    <w:right w:w="0" w:type="dxa"/>
                  </w:tcMar>
                  <w:vAlign w:val="center"/>
                </w:tcPr>
                <w:p w14:paraId="74F7531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北</w:t>
                  </w:r>
                </w:p>
              </w:tc>
              <w:tc>
                <w:tcPr>
                  <w:tcW w:w="429" w:type="dxa"/>
                  <w:tcBorders>
                    <w:tl2br w:val="nil"/>
                    <w:tr2bl w:val="nil"/>
                  </w:tcBorders>
                  <w:noWrap w:val="0"/>
                  <w:tcMar>
                    <w:left w:w="0" w:type="dxa"/>
                    <w:right w:w="0" w:type="dxa"/>
                  </w:tcMar>
                  <w:vAlign w:val="center"/>
                </w:tcPr>
                <w:p w14:paraId="2757D1F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东</w:t>
                  </w:r>
                </w:p>
              </w:tc>
              <w:tc>
                <w:tcPr>
                  <w:tcW w:w="430" w:type="dxa"/>
                  <w:tcBorders>
                    <w:tl2br w:val="nil"/>
                    <w:tr2bl w:val="nil"/>
                  </w:tcBorders>
                  <w:noWrap w:val="0"/>
                  <w:tcMar>
                    <w:left w:w="0" w:type="dxa"/>
                    <w:right w:w="0" w:type="dxa"/>
                  </w:tcMar>
                  <w:vAlign w:val="center"/>
                </w:tcPr>
                <w:p w14:paraId="0B29582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南</w:t>
                  </w:r>
                </w:p>
              </w:tc>
              <w:tc>
                <w:tcPr>
                  <w:tcW w:w="430" w:type="dxa"/>
                  <w:tcBorders>
                    <w:tl2br w:val="nil"/>
                    <w:tr2bl w:val="nil"/>
                  </w:tcBorders>
                  <w:noWrap w:val="0"/>
                  <w:tcMar>
                    <w:left w:w="0" w:type="dxa"/>
                    <w:right w:w="0" w:type="dxa"/>
                  </w:tcMar>
                  <w:vAlign w:val="center"/>
                </w:tcPr>
                <w:p w14:paraId="619A70E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西</w:t>
                  </w:r>
                </w:p>
              </w:tc>
              <w:tc>
                <w:tcPr>
                  <w:tcW w:w="430" w:type="dxa"/>
                  <w:tcBorders>
                    <w:tl2br w:val="nil"/>
                    <w:tr2bl w:val="nil"/>
                  </w:tcBorders>
                  <w:noWrap w:val="0"/>
                  <w:tcMar>
                    <w:left w:w="0" w:type="dxa"/>
                    <w:right w:w="0" w:type="dxa"/>
                  </w:tcMar>
                  <w:vAlign w:val="center"/>
                </w:tcPr>
                <w:p w14:paraId="3236576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北</w:t>
                  </w:r>
                </w:p>
              </w:tc>
              <w:tc>
                <w:tcPr>
                  <w:tcW w:w="590" w:type="dxa"/>
                  <w:tcBorders>
                    <w:tl2br w:val="nil"/>
                    <w:tr2bl w:val="nil"/>
                  </w:tcBorders>
                  <w:noWrap w:val="0"/>
                  <w:tcMar>
                    <w:left w:w="0" w:type="dxa"/>
                    <w:right w:w="0" w:type="dxa"/>
                  </w:tcMar>
                  <w:vAlign w:val="center"/>
                </w:tcPr>
                <w:p w14:paraId="2DD6253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建筑物外距离</w:t>
                  </w:r>
                </w:p>
              </w:tc>
            </w:tr>
            <w:tr w14:paraId="3636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4814313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c>
                <w:tcPr>
                  <w:tcW w:w="706" w:type="dxa"/>
                  <w:tcBorders>
                    <w:tl2br w:val="nil"/>
                    <w:tr2bl w:val="nil"/>
                  </w:tcBorders>
                  <w:noWrap w:val="0"/>
                  <w:tcMar>
                    <w:left w:w="0" w:type="dxa"/>
                    <w:right w:w="0" w:type="dxa"/>
                  </w:tcMar>
                  <w:vAlign w:val="center"/>
                </w:tcPr>
                <w:p w14:paraId="6DBF256F">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切割机</w:t>
                  </w:r>
                </w:p>
              </w:tc>
              <w:tc>
                <w:tcPr>
                  <w:tcW w:w="616" w:type="dxa"/>
                  <w:tcBorders>
                    <w:tl2br w:val="nil"/>
                    <w:tr2bl w:val="nil"/>
                  </w:tcBorders>
                  <w:noWrap w:val="0"/>
                  <w:tcMar>
                    <w:left w:w="0" w:type="dxa"/>
                    <w:right w:w="0" w:type="dxa"/>
                  </w:tcMar>
                  <w:vAlign w:val="center"/>
                </w:tcPr>
                <w:p w14:paraId="1689881D">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5</w:t>
                  </w:r>
                </w:p>
              </w:tc>
              <w:tc>
                <w:tcPr>
                  <w:tcW w:w="631" w:type="dxa"/>
                  <w:vMerge w:val="restart"/>
                  <w:tcBorders>
                    <w:tl2br w:val="nil"/>
                    <w:tr2bl w:val="nil"/>
                  </w:tcBorders>
                  <w:noWrap w:val="0"/>
                  <w:tcMar>
                    <w:left w:w="0" w:type="dxa"/>
                    <w:right w:w="0" w:type="dxa"/>
                  </w:tcMar>
                  <w:vAlign w:val="center"/>
                </w:tcPr>
                <w:p w14:paraId="7E30E90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隔声减振、加装减振垫</w:t>
                  </w:r>
                </w:p>
              </w:tc>
              <w:tc>
                <w:tcPr>
                  <w:tcW w:w="530" w:type="dxa"/>
                  <w:tcBorders>
                    <w:tl2br w:val="nil"/>
                    <w:tr2bl w:val="nil"/>
                  </w:tcBorders>
                  <w:noWrap w:val="0"/>
                  <w:tcMar>
                    <w:left w:w="0" w:type="dxa"/>
                    <w:right w:w="0" w:type="dxa"/>
                  </w:tcMar>
                  <w:vAlign w:val="center"/>
                </w:tcPr>
                <w:p w14:paraId="220B282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66</w:t>
                  </w:r>
                </w:p>
              </w:tc>
              <w:tc>
                <w:tcPr>
                  <w:tcW w:w="530" w:type="dxa"/>
                  <w:tcBorders>
                    <w:tl2br w:val="nil"/>
                    <w:tr2bl w:val="nil"/>
                  </w:tcBorders>
                  <w:noWrap w:val="0"/>
                  <w:tcMar>
                    <w:left w:w="0" w:type="dxa"/>
                    <w:right w:w="0" w:type="dxa"/>
                  </w:tcMar>
                  <w:vAlign w:val="center"/>
                </w:tcPr>
                <w:p w14:paraId="381BC97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w:t>
                  </w:r>
                </w:p>
              </w:tc>
              <w:tc>
                <w:tcPr>
                  <w:tcW w:w="530" w:type="dxa"/>
                  <w:tcBorders>
                    <w:tl2br w:val="nil"/>
                    <w:tr2bl w:val="nil"/>
                  </w:tcBorders>
                  <w:noWrap w:val="0"/>
                  <w:tcMar>
                    <w:left w:w="0" w:type="dxa"/>
                    <w:right w:w="0" w:type="dxa"/>
                  </w:tcMar>
                  <w:vAlign w:val="center"/>
                </w:tcPr>
                <w:p w14:paraId="6616067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restart"/>
                  <w:tcBorders>
                    <w:tl2br w:val="nil"/>
                    <w:tr2bl w:val="nil"/>
                  </w:tcBorders>
                  <w:noWrap w:val="0"/>
                  <w:tcMar>
                    <w:left w:w="0" w:type="dxa"/>
                    <w:right w:w="0" w:type="dxa"/>
                  </w:tcMar>
                  <w:vAlign w:val="center"/>
                </w:tcPr>
                <w:p w14:paraId="07245F5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2400</w:t>
                  </w:r>
                  <w:r>
                    <w:rPr>
                      <w:rFonts w:hint="default" w:ascii="Times New Roman" w:hAnsi="Times New Roman" w:cs="Times New Roman"/>
                      <w:color w:val="auto"/>
                      <w:kern w:val="2"/>
                      <w:sz w:val="21"/>
                      <w:szCs w:val="21"/>
                      <w:highlight w:val="none"/>
                      <w:lang w:val="en-US" w:eastAsia="zh-CN" w:bidi="ar"/>
                    </w:rPr>
                    <w:t>h</w:t>
                  </w:r>
                </w:p>
              </w:tc>
              <w:tc>
                <w:tcPr>
                  <w:tcW w:w="415" w:type="dxa"/>
                  <w:tcBorders>
                    <w:tl2br w:val="nil"/>
                    <w:tr2bl w:val="nil"/>
                  </w:tcBorders>
                  <w:noWrap w:val="0"/>
                  <w:tcMar>
                    <w:left w:w="0" w:type="dxa"/>
                    <w:right w:w="0" w:type="dxa"/>
                  </w:tcMar>
                  <w:vAlign w:val="center"/>
                </w:tcPr>
                <w:p w14:paraId="228D2BC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2E77A9C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7632F24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44405C8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3DEE068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28.6</w:t>
                  </w:r>
                </w:p>
              </w:tc>
              <w:tc>
                <w:tcPr>
                  <w:tcW w:w="430" w:type="dxa"/>
                  <w:tcBorders>
                    <w:tl2br w:val="nil"/>
                    <w:tr2bl w:val="nil"/>
                  </w:tcBorders>
                  <w:noWrap w:val="0"/>
                  <w:tcMar>
                    <w:left w:w="0" w:type="dxa"/>
                    <w:right w:w="0" w:type="dxa"/>
                  </w:tcMar>
                  <w:vAlign w:val="center"/>
                </w:tcPr>
                <w:p w14:paraId="1F8161F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38.9</w:t>
                  </w:r>
                </w:p>
              </w:tc>
              <w:tc>
                <w:tcPr>
                  <w:tcW w:w="430" w:type="dxa"/>
                  <w:tcBorders>
                    <w:tl2br w:val="nil"/>
                    <w:tr2bl w:val="nil"/>
                  </w:tcBorders>
                  <w:noWrap w:val="0"/>
                  <w:tcMar>
                    <w:left w:w="0" w:type="dxa"/>
                    <w:right w:w="0" w:type="dxa"/>
                  </w:tcMar>
                  <w:vAlign w:val="center"/>
                </w:tcPr>
                <w:p w14:paraId="799FC1C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19.7</w:t>
                  </w:r>
                </w:p>
              </w:tc>
              <w:tc>
                <w:tcPr>
                  <w:tcW w:w="430" w:type="dxa"/>
                  <w:tcBorders>
                    <w:tl2br w:val="nil"/>
                    <w:tr2bl w:val="nil"/>
                  </w:tcBorders>
                  <w:noWrap w:val="0"/>
                  <w:tcMar>
                    <w:left w:w="0" w:type="dxa"/>
                    <w:right w:w="0" w:type="dxa"/>
                  </w:tcMar>
                  <w:vAlign w:val="center"/>
                </w:tcPr>
                <w:p w14:paraId="0769546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43.9</w:t>
                  </w:r>
                </w:p>
              </w:tc>
              <w:tc>
                <w:tcPr>
                  <w:tcW w:w="590" w:type="dxa"/>
                  <w:tcBorders>
                    <w:tl2br w:val="nil"/>
                    <w:tr2bl w:val="nil"/>
                  </w:tcBorders>
                  <w:noWrap w:val="0"/>
                  <w:tcMar>
                    <w:left w:w="0" w:type="dxa"/>
                    <w:right w:w="0" w:type="dxa"/>
                  </w:tcMar>
                  <w:vAlign w:val="center"/>
                </w:tcPr>
                <w:p w14:paraId="5489DA1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1341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2A53648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2</w:t>
                  </w:r>
                </w:p>
              </w:tc>
              <w:tc>
                <w:tcPr>
                  <w:tcW w:w="706" w:type="dxa"/>
                  <w:tcBorders>
                    <w:tl2br w:val="nil"/>
                    <w:tr2bl w:val="nil"/>
                  </w:tcBorders>
                  <w:noWrap w:val="0"/>
                  <w:tcMar>
                    <w:left w:w="0" w:type="dxa"/>
                    <w:right w:w="0" w:type="dxa"/>
                  </w:tcMar>
                  <w:vAlign w:val="center"/>
                </w:tcPr>
                <w:p w14:paraId="79A8E26E">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车床</w:t>
                  </w:r>
                </w:p>
              </w:tc>
              <w:tc>
                <w:tcPr>
                  <w:tcW w:w="616" w:type="dxa"/>
                  <w:tcBorders>
                    <w:tl2br w:val="nil"/>
                    <w:tr2bl w:val="nil"/>
                  </w:tcBorders>
                  <w:noWrap w:val="0"/>
                  <w:tcMar>
                    <w:left w:w="0" w:type="dxa"/>
                    <w:right w:w="0" w:type="dxa"/>
                  </w:tcMar>
                  <w:vAlign w:val="center"/>
                </w:tcPr>
                <w:p w14:paraId="35465625">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sz w:val="21"/>
                      <w:szCs w:val="21"/>
                      <w:highlight w:val="none"/>
                      <w:lang w:val="en-US" w:eastAsia="zh-CN"/>
                    </w:rPr>
                    <w:t>75</w:t>
                  </w:r>
                </w:p>
              </w:tc>
              <w:tc>
                <w:tcPr>
                  <w:tcW w:w="631" w:type="dxa"/>
                  <w:vMerge w:val="continue"/>
                  <w:tcBorders>
                    <w:tl2br w:val="nil"/>
                    <w:tr2bl w:val="nil"/>
                  </w:tcBorders>
                  <w:noWrap w:val="0"/>
                  <w:tcMar>
                    <w:left w:w="0" w:type="dxa"/>
                    <w:right w:w="0" w:type="dxa"/>
                  </w:tcMar>
                  <w:vAlign w:val="center"/>
                </w:tcPr>
                <w:p w14:paraId="0937E9BF">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36DB07C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85</w:t>
                  </w:r>
                </w:p>
              </w:tc>
              <w:tc>
                <w:tcPr>
                  <w:tcW w:w="530" w:type="dxa"/>
                  <w:tcBorders>
                    <w:tl2br w:val="nil"/>
                    <w:tr2bl w:val="nil"/>
                  </w:tcBorders>
                  <w:noWrap w:val="0"/>
                  <w:tcMar>
                    <w:left w:w="0" w:type="dxa"/>
                    <w:right w:w="0" w:type="dxa"/>
                  </w:tcMar>
                  <w:vAlign w:val="center"/>
                </w:tcPr>
                <w:p w14:paraId="56C6B19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w:t>
                  </w:r>
                </w:p>
              </w:tc>
              <w:tc>
                <w:tcPr>
                  <w:tcW w:w="530" w:type="dxa"/>
                  <w:tcBorders>
                    <w:tl2br w:val="nil"/>
                    <w:tr2bl w:val="nil"/>
                  </w:tcBorders>
                  <w:noWrap w:val="0"/>
                  <w:tcMar>
                    <w:left w:w="0" w:type="dxa"/>
                    <w:right w:w="0" w:type="dxa"/>
                  </w:tcMar>
                  <w:vAlign w:val="center"/>
                </w:tcPr>
                <w:p w14:paraId="648DBCE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1E4BEE51">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40FB1D75">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79BF677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43FF7A1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20C648E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67BD979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16.4</w:t>
                  </w:r>
                </w:p>
              </w:tc>
              <w:tc>
                <w:tcPr>
                  <w:tcW w:w="430" w:type="dxa"/>
                  <w:tcBorders>
                    <w:tl2br w:val="nil"/>
                    <w:tr2bl w:val="nil"/>
                  </w:tcBorders>
                  <w:noWrap w:val="0"/>
                  <w:tcMar>
                    <w:left w:w="0" w:type="dxa"/>
                    <w:right w:w="0" w:type="dxa"/>
                  </w:tcMar>
                  <w:vAlign w:val="center"/>
                </w:tcPr>
                <w:p w14:paraId="7739ABA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28.9</w:t>
                  </w:r>
                </w:p>
              </w:tc>
              <w:tc>
                <w:tcPr>
                  <w:tcW w:w="430" w:type="dxa"/>
                  <w:tcBorders>
                    <w:tl2br w:val="nil"/>
                    <w:tr2bl w:val="nil"/>
                  </w:tcBorders>
                  <w:noWrap w:val="0"/>
                  <w:tcMar>
                    <w:left w:w="0" w:type="dxa"/>
                    <w:right w:w="0" w:type="dxa"/>
                  </w:tcMar>
                  <w:vAlign w:val="center"/>
                </w:tcPr>
                <w:p w14:paraId="02356E4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10.6</w:t>
                  </w:r>
                </w:p>
              </w:tc>
              <w:tc>
                <w:tcPr>
                  <w:tcW w:w="430" w:type="dxa"/>
                  <w:tcBorders>
                    <w:tl2br w:val="nil"/>
                    <w:tr2bl w:val="nil"/>
                  </w:tcBorders>
                  <w:noWrap w:val="0"/>
                  <w:tcMar>
                    <w:left w:w="0" w:type="dxa"/>
                    <w:right w:w="0" w:type="dxa"/>
                  </w:tcMar>
                  <w:vAlign w:val="center"/>
                </w:tcPr>
                <w:p w14:paraId="72205B5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33.9</w:t>
                  </w:r>
                </w:p>
              </w:tc>
              <w:tc>
                <w:tcPr>
                  <w:tcW w:w="590" w:type="dxa"/>
                  <w:tcBorders>
                    <w:tl2br w:val="nil"/>
                    <w:tr2bl w:val="nil"/>
                  </w:tcBorders>
                  <w:noWrap w:val="0"/>
                  <w:tcMar>
                    <w:left w:w="0" w:type="dxa"/>
                    <w:right w:w="0" w:type="dxa"/>
                  </w:tcMar>
                  <w:vAlign w:val="center"/>
                </w:tcPr>
                <w:p w14:paraId="5473C29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7E66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69616B6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3</w:t>
                  </w:r>
                </w:p>
              </w:tc>
              <w:tc>
                <w:tcPr>
                  <w:tcW w:w="706" w:type="dxa"/>
                  <w:tcBorders>
                    <w:tl2br w:val="nil"/>
                    <w:tr2bl w:val="nil"/>
                  </w:tcBorders>
                  <w:noWrap w:val="0"/>
                  <w:tcMar>
                    <w:left w:w="0" w:type="dxa"/>
                    <w:right w:w="0" w:type="dxa"/>
                  </w:tcMar>
                  <w:vAlign w:val="center"/>
                </w:tcPr>
                <w:p w14:paraId="08D8D2E3">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喷砂装置</w:t>
                  </w:r>
                </w:p>
              </w:tc>
              <w:tc>
                <w:tcPr>
                  <w:tcW w:w="616" w:type="dxa"/>
                  <w:tcBorders>
                    <w:tl2br w:val="nil"/>
                    <w:tr2bl w:val="nil"/>
                  </w:tcBorders>
                  <w:noWrap w:val="0"/>
                  <w:tcMar>
                    <w:left w:w="0" w:type="dxa"/>
                    <w:right w:w="0" w:type="dxa"/>
                  </w:tcMar>
                  <w:vAlign w:val="center"/>
                </w:tcPr>
                <w:p w14:paraId="5F09AF78">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631" w:type="dxa"/>
                  <w:vMerge w:val="continue"/>
                  <w:tcBorders>
                    <w:tl2br w:val="nil"/>
                    <w:tr2bl w:val="nil"/>
                  </w:tcBorders>
                  <w:noWrap w:val="0"/>
                  <w:tcMar>
                    <w:left w:w="0" w:type="dxa"/>
                    <w:right w:w="0" w:type="dxa"/>
                  </w:tcMar>
                  <w:vAlign w:val="center"/>
                </w:tcPr>
                <w:p w14:paraId="61860957">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6699883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105</w:t>
                  </w:r>
                </w:p>
              </w:tc>
              <w:tc>
                <w:tcPr>
                  <w:tcW w:w="530" w:type="dxa"/>
                  <w:tcBorders>
                    <w:tl2br w:val="nil"/>
                    <w:tr2bl w:val="nil"/>
                  </w:tcBorders>
                  <w:noWrap w:val="0"/>
                  <w:tcMar>
                    <w:left w:w="0" w:type="dxa"/>
                    <w:right w:w="0" w:type="dxa"/>
                  </w:tcMar>
                  <w:vAlign w:val="center"/>
                </w:tcPr>
                <w:p w14:paraId="7BE6B2C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-22</w:t>
                  </w:r>
                </w:p>
              </w:tc>
              <w:tc>
                <w:tcPr>
                  <w:tcW w:w="530" w:type="dxa"/>
                  <w:tcBorders>
                    <w:tl2br w:val="nil"/>
                    <w:tr2bl w:val="nil"/>
                  </w:tcBorders>
                  <w:noWrap w:val="0"/>
                  <w:tcMar>
                    <w:left w:w="0" w:type="dxa"/>
                    <w:right w:w="0" w:type="dxa"/>
                  </w:tcMar>
                  <w:vAlign w:val="center"/>
                </w:tcPr>
                <w:p w14:paraId="3B7CD61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318AB0ED">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3DDB2E5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20F411FB">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7BC5B36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0E6CFD6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3C985D9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14.5</w:t>
                  </w:r>
                </w:p>
              </w:tc>
              <w:tc>
                <w:tcPr>
                  <w:tcW w:w="430" w:type="dxa"/>
                  <w:tcBorders>
                    <w:tl2br w:val="nil"/>
                    <w:tr2bl w:val="nil"/>
                  </w:tcBorders>
                  <w:noWrap w:val="0"/>
                  <w:tcMar>
                    <w:left w:w="0" w:type="dxa"/>
                    <w:right w:w="0" w:type="dxa"/>
                  </w:tcMar>
                  <w:vAlign w:val="center"/>
                </w:tcPr>
                <w:p w14:paraId="2830000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28.1</w:t>
                  </w:r>
                </w:p>
              </w:tc>
              <w:tc>
                <w:tcPr>
                  <w:tcW w:w="430" w:type="dxa"/>
                  <w:tcBorders>
                    <w:tl2br w:val="nil"/>
                    <w:tr2bl w:val="nil"/>
                  </w:tcBorders>
                  <w:noWrap w:val="0"/>
                  <w:tcMar>
                    <w:left w:w="0" w:type="dxa"/>
                    <w:right w:w="0" w:type="dxa"/>
                  </w:tcMar>
                  <w:vAlign w:val="center"/>
                </w:tcPr>
                <w:p w14:paraId="39FC7B5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11.7</w:t>
                  </w:r>
                </w:p>
              </w:tc>
              <w:tc>
                <w:tcPr>
                  <w:tcW w:w="430" w:type="dxa"/>
                  <w:tcBorders>
                    <w:tl2br w:val="nil"/>
                    <w:tr2bl w:val="nil"/>
                  </w:tcBorders>
                  <w:noWrap w:val="0"/>
                  <w:tcMar>
                    <w:left w:w="0" w:type="dxa"/>
                    <w:right w:w="0" w:type="dxa"/>
                  </w:tcMar>
                  <w:vAlign w:val="center"/>
                </w:tcPr>
                <w:p w14:paraId="5CF3C5B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34.8</w:t>
                  </w:r>
                </w:p>
              </w:tc>
              <w:tc>
                <w:tcPr>
                  <w:tcW w:w="590" w:type="dxa"/>
                  <w:tcBorders>
                    <w:tl2br w:val="nil"/>
                    <w:tr2bl w:val="nil"/>
                  </w:tcBorders>
                  <w:noWrap w:val="0"/>
                  <w:tcMar>
                    <w:left w:w="0" w:type="dxa"/>
                    <w:right w:w="0" w:type="dxa"/>
                  </w:tcMar>
                  <w:vAlign w:val="center"/>
                </w:tcPr>
                <w:p w14:paraId="3693E14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597A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2AD35DB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4</w:t>
                  </w:r>
                </w:p>
              </w:tc>
              <w:tc>
                <w:tcPr>
                  <w:tcW w:w="706" w:type="dxa"/>
                  <w:tcBorders>
                    <w:tl2br w:val="nil"/>
                    <w:tr2bl w:val="nil"/>
                  </w:tcBorders>
                  <w:noWrap w:val="0"/>
                  <w:tcMar>
                    <w:left w:w="0" w:type="dxa"/>
                    <w:right w:w="0" w:type="dxa"/>
                  </w:tcMar>
                  <w:vAlign w:val="center"/>
                </w:tcPr>
                <w:p w14:paraId="1B0BAA30">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卷板机</w:t>
                  </w:r>
                </w:p>
              </w:tc>
              <w:tc>
                <w:tcPr>
                  <w:tcW w:w="616" w:type="dxa"/>
                  <w:tcBorders>
                    <w:tl2br w:val="nil"/>
                    <w:tr2bl w:val="nil"/>
                  </w:tcBorders>
                  <w:noWrap w:val="0"/>
                  <w:tcMar>
                    <w:left w:w="0" w:type="dxa"/>
                    <w:right w:w="0" w:type="dxa"/>
                  </w:tcMar>
                  <w:vAlign w:val="center"/>
                </w:tcPr>
                <w:p w14:paraId="29F78432">
                  <w:pPr>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5</w:t>
                  </w:r>
                </w:p>
              </w:tc>
              <w:tc>
                <w:tcPr>
                  <w:tcW w:w="631" w:type="dxa"/>
                  <w:vMerge w:val="continue"/>
                  <w:tcBorders>
                    <w:tl2br w:val="nil"/>
                    <w:tr2bl w:val="nil"/>
                  </w:tcBorders>
                  <w:noWrap w:val="0"/>
                  <w:tcMar>
                    <w:left w:w="0" w:type="dxa"/>
                    <w:right w:w="0" w:type="dxa"/>
                  </w:tcMar>
                  <w:vAlign w:val="center"/>
                </w:tcPr>
                <w:p w14:paraId="3954B43E">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05AA4CB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-108</w:t>
                  </w:r>
                </w:p>
              </w:tc>
              <w:tc>
                <w:tcPr>
                  <w:tcW w:w="530" w:type="dxa"/>
                  <w:tcBorders>
                    <w:tl2br w:val="nil"/>
                    <w:tr2bl w:val="nil"/>
                  </w:tcBorders>
                  <w:noWrap w:val="0"/>
                  <w:tcMar>
                    <w:left w:w="0" w:type="dxa"/>
                    <w:right w:w="0" w:type="dxa"/>
                  </w:tcMar>
                  <w:vAlign w:val="center"/>
                </w:tcPr>
                <w:p w14:paraId="2F25ECF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18</w:t>
                  </w:r>
                </w:p>
              </w:tc>
              <w:tc>
                <w:tcPr>
                  <w:tcW w:w="530" w:type="dxa"/>
                  <w:tcBorders>
                    <w:tl2br w:val="nil"/>
                    <w:tr2bl w:val="nil"/>
                  </w:tcBorders>
                  <w:noWrap w:val="0"/>
                  <w:tcMar>
                    <w:left w:w="0" w:type="dxa"/>
                    <w:right w:w="0" w:type="dxa"/>
                  </w:tcMar>
                  <w:vAlign w:val="center"/>
                </w:tcPr>
                <w:p w14:paraId="14E9D01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29EF2010">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6C2DD64B">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1A27D50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4F34596D">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303242E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6117149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21.9</w:t>
                  </w:r>
                </w:p>
              </w:tc>
              <w:tc>
                <w:tcPr>
                  <w:tcW w:w="430" w:type="dxa"/>
                  <w:tcBorders>
                    <w:tl2br w:val="nil"/>
                    <w:tr2bl w:val="nil"/>
                  </w:tcBorders>
                  <w:noWrap w:val="0"/>
                  <w:tcMar>
                    <w:left w:w="0" w:type="dxa"/>
                    <w:right w:w="0" w:type="dxa"/>
                  </w:tcMar>
                  <w:vAlign w:val="center"/>
                </w:tcPr>
                <w:p w14:paraId="42D3FE8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38.1</w:t>
                  </w:r>
                </w:p>
              </w:tc>
              <w:tc>
                <w:tcPr>
                  <w:tcW w:w="430" w:type="dxa"/>
                  <w:tcBorders>
                    <w:tl2br w:val="nil"/>
                    <w:tr2bl w:val="nil"/>
                  </w:tcBorders>
                  <w:noWrap w:val="0"/>
                  <w:tcMar>
                    <w:left w:w="0" w:type="dxa"/>
                    <w:right w:w="0" w:type="dxa"/>
                  </w:tcMar>
                  <w:vAlign w:val="center"/>
                </w:tcPr>
                <w:p w14:paraId="413F6DA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24.3</w:t>
                  </w:r>
                </w:p>
              </w:tc>
              <w:tc>
                <w:tcPr>
                  <w:tcW w:w="430" w:type="dxa"/>
                  <w:tcBorders>
                    <w:tl2br w:val="nil"/>
                    <w:tr2bl w:val="nil"/>
                  </w:tcBorders>
                  <w:noWrap w:val="0"/>
                  <w:tcMar>
                    <w:left w:w="0" w:type="dxa"/>
                    <w:right w:w="0" w:type="dxa"/>
                  </w:tcMar>
                  <w:vAlign w:val="center"/>
                </w:tcPr>
                <w:p w14:paraId="7AE1B2A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44.8</w:t>
                  </w:r>
                </w:p>
              </w:tc>
              <w:tc>
                <w:tcPr>
                  <w:tcW w:w="590" w:type="dxa"/>
                  <w:tcBorders>
                    <w:tl2br w:val="nil"/>
                    <w:tr2bl w:val="nil"/>
                  </w:tcBorders>
                  <w:noWrap w:val="0"/>
                  <w:tcMar>
                    <w:left w:w="0" w:type="dxa"/>
                    <w:right w:w="0" w:type="dxa"/>
                  </w:tcMar>
                  <w:vAlign w:val="center"/>
                </w:tcPr>
                <w:p w14:paraId="68B0AD4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589D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2008A52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5</w:t>
                  </w:r>
                </w:p>
              </w:tc>
              <w:tc>
                <w:tcPr>
                  <w:tcW w:w="706" w:type="dxa"/>
                  <w:tcBorders>
                    <w:tl2br w:val="nil"/>
                    <w:tr2bl w:val="nil"/>
                  </w:tcBorders>
                  <w:noWrap w:val="0"/>
                  <w:tcMar>
                    <w:left w:w="0" w:type="dxa"/>
                    <w:right w:w="0" w:type="dxa"/>
                  </w:tcMar>
                  <w:vAlign w:val="center"/>
                </w:tcPr>
                <w:p w14:paraId="0E4A160C">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电焊机</w:t>
                  </w:r>
                </w:p>
              </w:tc>
              <w:tc>
                <w:tcPr>
                  <w:tcW w:w="616" w:type="dxa"/>
                  <w:tcBorders>
                    <w:tl2br w:val="nil"/>
                    <w:tr2bl w:val="nil"/>
                  </w:tcBorders>
                  <w:noWrap w:val="0"/>
                  <w:tcMar>
                    <w:left w:w="0" w:type="dxa"/>
                    <w:right w:w="0" w:type="dxa"/>
                  </w:tcMar>
                  <w:vAlign w:val="center"/>
                </w:tcPr>
                <w:p w14:paraId="53C9853B">
                  <w:pPr>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5</w:t>
                  </w:r>
                </w:p>
              </w:tc>
              <w:tc>
                <w:tcPr>
                  <w:tcW w:w="631" w:type="dxa"/>
                  <w:vMerge w:val="continue"/>
                  <w:tcBorders>
                    <w:tl2br w:val="nil"/>
                    <w:tr2bl w:val="nil"/>
                  </w:tcBorders>
                  <w:noWrap w:val="0"/>
                  <w:tcMar>
                    <w:left w:w="0" w:type="dxa"/>
                    <w:right w:w="0" w:type="dxa"/>
                  </w:tcMar>
                  <w:vAlign w:val="center"/>
                </w:tcPr>
                <w:p w14:paraId="56C2CD50">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7FE7ADF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-90</w:t>
                  </w:r>
                </w:p>
              </w:tc>
              <w:tc>
                <w:tcPr>
                  <w:tcW w:w="530" w:type="dxa"/>
                  <w:tcBorders>
                    <w:tl2br w:val="nil"/>
                    <w:tr2bl w:val="nil"/>
                  </w:tcBorders>
                  <w:noWrap w:val="0"/>
                  <w:tcMar>
                    <w:left w:w="0" w:type="dxa"/>
                    <w:right w:w="0" w:type="dxa"/>
                  </w:tcMar>
                  <w:vAlign w:val="center"/>
                </w:tcPr>
                <w:p w14:paraId="76F2A2C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11</w:t>
                  </w:r>
                </w:p>
              </w:tc>
              <w:tc>
                <w:tcPr>
                  <w:tcW w:w="530" w:type="dxa"/>
                  <w:tcBorders>
                    <w:tl2br w:val="nil"/>
                    <w:tr2bl w:val="nil"/>
                  </w:tcBorders>
                  <w:noWrap w:val="0"/>
                  <w:tcMar>
                    <w:left w:w="0" w:type="dxa"/>
                    <w:right w:w="0" w:type="dxa"/>
                  </w:tcMar>
                  <w:vAlign w:val="center"/>
                </w:tcPr>
                <w:p w14:paraId="05438B2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3C1555E4">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0A4D50C5">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530DD58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4622A2E9">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bidi="ar"/>
                    </w:rPr>
                    <w:t>15</w:t>
                  </w:r>
                </w:p>
              </w:tc>
              <w:tc>
                <w:tcPr>
                  <w:tcW w:w="415" w:type="dxa"/>
                  <w:tcBorders>
                    <w:tl2br w:val="nil"/>
                    <w:tr2bl w:val="nil"/>
                  </w:tcBorders>
                  <w:noWrap w:val="0"/>
                  <w:tcMar>
                    <w:left w:w="0" w:type="dxa"/>
                    <w:right w:w="0" w:type="dxa"/>
                  </w:tcMar>
                  <w:vAlign w:val="center"/>
                </w:tcPr>
                <w:p w14:paraId="0BE46AD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2287EDA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20.9</w:t>
                  </w:r>
                </w:p>
              </w:tc>
              <w:tc>
                <w:tcPr>
                  <w:tcW w:w="430" w:type="dxa"/>
                  <w:tcBorders>
                    <w:tl2br w:val="nil"/>
                    <w:tr2bl w:val="nil"/>
                  </w:tcBorders>
                  <w:noWrap w:val="0"/>
                  <w:tcMar>
                    <w:left w:w="0" w:type="dxa"/>
                    <w:right w:w="0" w:type="dxa"/>
                  </w:tcMar>
                  <w:vAlign w:val="center"/>
                </w:tcPr>
                <w:p w14:paraId="3BE76D5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35.7</w:t>
                  </w:r>
                </w:p>
              </w:tc>
              <w:tc>
                <w:tcPr>
                  <w:tcW w:w="430" w:type="dxa"/>
                  <w:tcBorders>
                    <w:tl2br w:val="nil"/>
                    <w:tr2bl w:val="nil"/>
                  </w:tcBorders>
                  <w:noWrap w:val="0"/>
                  <w:tcMar>
                    <w:left w:w="0" w:type="dxa"/>
                    <w:right w:w="0" w:type="dxa"/>
                  </w:tcMar>
                  <w:vAlign w:val="center"/>
                </w:tcPr>
                <w:p w14:paraId="50248B9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20.9</w:t>
                  </w:r>
                </w:p>
              </w:tc>
              <w:tc>
                <w:tcPr>
                  <w:tcW w:w="430" w:type="dxa"/>
                  <w:tcBorders>
                    <w:tl2br w:val="nil"/>
                    <w:tr2bl w:val="nil"/>
                  </w:tcBorders>
                  <w:noWrap w:val="0"/>
                  <w:tcMar>
                    <w:left w:w="0" w:type="dxa"/>
                    <w:right w:w="0" w:type="dxa"/>
                  </w:tcMar>
                  <w:vAlign w:val="center"/>
                </w:tcPr>
                <w:p w14:paraId="415E1FB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49.1</w:t>
                  </w:r>
                </w:p>
              </w:tc>
              <w:tc>
                <w:tcPr>
                  <w:tcW w:w="590" w:type="dxa"/>
                  <w:tcBorders>
                    <w:tl2br w:val="nil"/>
                    <w:tr2bl w:val="nil"/>
                  </w:tcBorders>
                  <w:noWrap w:val="0"/>
                  <w:tcMar>
                    <w:left w:w="0" w:type="dxa"/>
                    <w:right w:w="0" w:type="dxa"/>
                  </w:tcMar>
                  <w:vAlign w:val="center"/>
                </w:tcPr>
                <w:p w14:paraId="67825D8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4E15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603E827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6</w:t>
                  </w:r>
                </w:p>
              </w:tc>
              <w:tc>
                <w:tcPr>
                  <w:tcW w:w="706" w:type="dxa"/>
                  <w:tcBorders>
                    <w:tl2br w:val="nil"/>
                    <w:tr2bl w:val="nil"/>
                  </w:tcBorders>
                  <w:noWrap w:val="0"/>
                  <w:tcMar>
                    <w:left w:w="0" w:type="dxa"/>
                    <w:right w:w="0" w:type="dxa"/>
                  </w:tcMar>
                  <w:vAlign w:val="center"/>
                </w:tcPr>
                <w:p w14:paraId="211F872E">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弯管机</w:t>
                  </w:r>
                </w:p>
              </w:tc>
              <w:tc>
                <w:tcPr>
                  <w:tcW w:w="616" w:type="dxa"/>
                  <w:tcBorders>
                    <w:tl2br w:val="nil"/>
                    <w:tr2bl w:val="nil"/>
                  </w:tcBorders>
                  <w:noWrap w:val="0"/>
                  <w:tcMar>
                    <w:left w:w="0" w:type="dxa"/>
                    <w:right w:w="0" w:type="dxa"/>
                  </w:tcMar>
                  <w:vAlign w:val="center"/>
                </w:tcPr>
                <w:p w14:paraId="07FBE2F7">
                  <w:pPr>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5</w:t>
                  </w:r>
                </w:p>
              </w:tc>
              <w:tc>
                <w:tcPr>
                  <w:tcW w:w="631" w:type="dxa"/>
                  <w:vMerge w:val="continue"/>
                  <w:tcBorders>
                    <w:tl2br w:val="nil"/>
                    <w:tr2bl w:val="nil"/>
                  </w:tcBorders>
                  <w:noWrap w:val="0"/>
                  <w:tcMar>
                    <w:left w:w="0" w:type="dxa"/>
                    <w:right w:w="0" w:type="dxa"/>
                  </w:tcMar>
                  <w:vAlign w:val="center"/>
                </w:tcPr>
                <w:p w14:paraId="505C863F">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23D33D1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-75</w:t>
                  </w:r>
                </w:p>
              </w:tc>
              <w:tc>
                <w:tcPr>
                  <w:tcW w:w="530" w:type="dxa"/>
                  <w:tcBorders>
                    <w:tl2br w:val="nil"/>
                    <w:tr2bl w:val="nil"/>
                  </w:tcBorders>
                  <w:noWrap w:val="0"/>
                  <w:tcMar>
                    <w:left w:w="0" w:type="dxa"/>
                    <w:right w:w="0" w:type="dxa"/>
                  </w:tcMar>
                  <w:vAlign w:val="center"/>
                </w:tcPr>
                <w:p w14:paraId="756DDB0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-21</w:t>
                  </w:r>
                </w:p>
              </w:tc>
              <w:tc>
                <w:tcPr>
                  <w:tcW w:w="530" w:type="dxa"/>
                  <w:tcBorders>
                    <w:tl2br w:val="nil"/>
                    <w:tr2bl w:val="nil"/>
                  </w:tcBorders>
                  <w:noWrap w:val="0"/>
                  <w:tcMar>
                    <w:left w:w="0" w:type="dxa"/>
                    <w:right w:w="0" w:type="dxa"/>
                  </w:tcMar>
                  <w:vAlign w:val="center"/>
                </w:tcPr>
                <w:p w14:paraId="756FC0F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0E3CC4FC">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044DBEAD">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2E5CFB16">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6BE7569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2BB50E89">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4169E66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20.1</w:t>
                  </w:r>
                </w:p>
              </w:tc>
              <w:tc>
                <w:tcPr>
                  <w:tcW w:w="430" w:type="dxa"/>
                  <w:tcBorders>
                    <w:tl2br w:val="nil"/>
                    <w:tr2bl w:val="nil"/>
                  </w:tcBorders>
                  <w:noWrap w:val="0"/>
                  <w:tcMar>
                    <w:left w:w="0" w:type="dxa"/>
                    <w:right w:w="0" w:type="dxa"/>
                  </w:tcMar>
                  <w:vAlign w:val="center"/>
                </w:tcPr>
                <w:p w14:paraId="10B511B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38.5</w:t>
                  </w:r>
                </w:p>
              </w:tc>
              <w:tc>
                <w:tcPr>
                  <w:tcW w:w="430" w:type="dxa"/>
                  <w:tcBorders>
                    <w:tl2br w:val="nil"/>
                    <w:tr2bl w:val="nil"/>
                  </w:tcBorders>
                  <w:noWrap w:val="0"/>
                  <w:tcMar>
                    <w:left w:w="0" w:type="dxa"/>
                    <w:right w:w="0" w:type="dxa"/>
                  </w:tcMar>
                  <w:vAlign w:val="center"/>
                </w:tcPr>
                <w:p w14:paraId="6F96E6C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27.4</w:t>
                  </w:r>
                </w:p>
              </w:tc>
              <w:tc>
                <w:tcPr>
                  <w:tcW w:w="430" w:type="dxa"/>
                  <w:tcBorders>
                    <w:tl2br w:val="nil"/>
                    <w:tr2bl w:val="nil"/>
                  </w:tcBorders>
                  <w:noWrap w:val="0"/>
                  <w:tcMar>
                    <w:left w:w="0" w:type="dxa"/>
                    <w:right w:w="0" w:type="dxa"/>
                  </w:tcMar>
                  <w:vAlign w:val="center"/>
                </w:tcPr>
                <w:p w14:paraId="446D0EB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44.4</w:t>
                  </w:r>
                </w:p>
              </w:tc>
              <w:tc>
                <w:tcPr>
                  <w:tcW w:w="590" w:type="dxa"/>
                  <w:tcBorders>
                    <w:tl2br w:val="nil"/>
                    <w:tr2bl w:val="nil"/>
                  </w:tcBorders>
                  <w:noWrap w:val="0"/>
                  <w:tcMar>
                    <w:left w:w="0" w:type="dxa"/>
                    <w:right w:w="0" w:type="dxa"/>
                  </w:tcMar>
                  <w:vAlign w:val="center"/>
                </w:tcPr>
                <w:p w14:paraId="43BA558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34DD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5F2A481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7</w:t>
                  </w:r>
                </w:p>
              </w:tc>
              <w:tc>
                <w:tcPr>
                  <w:tcW w:w="706" w:type="dxa"/>
                  <w:tcBorders>
                    <w:tl2br w:val="nil"/>
                    <w:tr2bl w:val="nil"/>
                  </w:tcBorders>
                  <w:noWrap w:val="0"/>
                  <w:tcMar>
                    <w:left w:w="0" w:type="dxa"/>
                    <w:right w:w="0" w:type="dxa"/>
                  </w:tcMar>
                  <w:vAlign w:val="center"/>
                </w:tcPr>
                <w:p w14:paraId="7835A8F3">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数控切割机</w:t>
                  </w:r>
                </w:p>
              </w:tc>
              <w:tc>
                <w:tcPr>
                  <w:tcW w:w="616" w:type="dxa"/>
                  <w:tcBorders>
                    <w:tl2br w:val="nil"/>
                    <w:tr2bl w:val="nil"/>
                  </w:tcBorders>
                  <w:noWrap w:val="0"/>
                  <w:tcMar>
                    <w:left w:w="0" w:type="dxa"/>
                    <w:right w:w="0" w:type="dxa"/>
                  </w:tcMar>
                  <w:vAlign w:val="center"/>
                </w:tcPr>
                <w:p w14:paraId="0BD9F46A">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5</w:t>
                  </w:r>
                </w:p>
              </w:tc>
              <w:tc>
                <w:tcPr>
                  <w:tcW w:w="631" w:type="dxa"/>
                  <w:vMerge w:val="continue"/>
                  <w:tcBorders>
                    <w:tl2br w:val="nil"/>
                    <w:tr2bl w:val="nil"/>
                  </w:tcBorders>
                  <w:noWrap w:val="0"/>
                  <w:tcMar>
                    <w:left w:w="0" w:type="dxa"/>
                    <w:right w:w="0" w:type="dxa"/>
                  </w:tcMar>
                  <w:vAlign w:val="center"/>
                </w:tcPr>
                <w:p w14:paraId="365EE1F7">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02F8D88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-53</w:t>
                  </w:r>
                </w:p>
              </w:tc>
              <w:tc>
                <w:tcPr>
                  <w:tcW w:w="530" w:type="dxa"/>
                  <w:tcBorders>
                    <w:tl2br w:val="nil"/>
                    <w:tr2bl w:val="nil"/>
                  </w:tcBorders>
                  <w:noWrap w:val="0"/>
                  <w:tcMar>
                    <w:left w:w="0" w:type="dxa"/>
                    <w:right w:w="0" w:type="dxa"/>
                  </w:tcMar>
                  <w:vAlign w:val="center"/>
                </w:tcPr>
                <w:p w14:paraId="649151B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w:t>
                  </w:r>
                </w:p>
              </w:tc>
              <w:tc>
                <w:tcPr>
                  <w:tcW w:w="530" w:type="dxa"/>
                  <w:tcBorders>
                    <w:tl2br w:val="nil"/>
                    <w:tr2bl w:val="nil"/>
                  </w:tcBorders>
                  <w:noWrap w:val="0"/>
                  <w:tcMar>
                    <w:left w:w="0" w:type="dxa"/>
                    <w:right w:w="0" w:type="dxa"/>
                  </w:tcMar>
                  <w:vAlign w:val="center"/>
                </w:tcPr>
                <w:p w14:paraId="3D339A2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43D28304">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2E7A65C5">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3106C59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50D21449">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512BDF8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1F9BACE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9.1</w:t>
                  </w:r>
                </w:p>
              </w:tc>
              <w:tc>
                <w:tcPr>
                  <w:tcW w:w="430" w:type="dxa"/>
                  <w:tcBorders>
                    <w:tl2br w:val="nil"/>
                    <w:tr2bl w:val="nil"/>
                  </w:tcBorders>
                  <w:noWrap w:val="0"/>
                  <w:tcMar>
                    <w:left w:w="0" w:type="dxa"/>
                    <w:right w:w="0" w:type="dxa"/>
                  </w:tcMar>
                  <w:vAlign w:val="center"/>
                </w:tcPr>
                <w:p w14:paraId="7DA1F1B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28.9</w:t>
                  </w:r>
                </w:p>
              </w:tc>
              <w:tc>
                <w:tcPr>
                  <w:tcW w:w="430" w:type="dxa"/>
                  <w:tcBorders>
                    <w:tl2br w:val="nil"/>
                    <w:tr2bl w:val="nil"/>
                  </w:tcBorders>
                  <w:noWrap w:val="0"/>
                  <w:tcMar>
                    <w:left w:w="0" w:type="dxa"/>
                    <w:right w:w="0" w:type="dxa"/>
                  </w:tcMar>
                  <w:vAlign w:val="center"/>
                </w:tcPr>
                <w:p w14:paraId="63B759A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40.5</w:t>
                  </w:r>
                </w:p>
              </w:tc>
              <w:tc>
                <w:tcPr>
                  <w:tcW w:w="430" w:type="dxa"/>
                  <w:tcBorders>
                    <w:tl2br w:val="nil"/>
                    <w:tr2bl w:val="nil"/>
                  </w:tcBorders>
                  <w:noWrap w:val="0"/>
                  <w:tcMar>
                    <w:left w:w="0" w:type="dxa"/>
                    <w:right w:w="0" w:type="dxa"/>
                  </w:tcMar>
                  <w:vAlign w:val="center"/>
                </w:tcPr>
                <w:p w14:paraId="35F40E1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33.9</w:t>
                  </w:r>
                </w:p>
              </w:tc>
              <w:tc>
                <w:tcPr>
                  <w:tcW w:w="590" w:type="dxa"/>
                  <w:tcBorders>
                    <w:tl2br w:val="nil"/>
                    <w:tr2bl w:val="nil"/>
                  </w:tcBorders>
                  <w:noWrap w:val="0"/>
                  <w:tcMar>
                    <w:left w:w="0" w:type="dxa"/>
                    <w:right w:w="0" w:type="dxa"/>
                  </w:tcMar>
                  <w:vAlign w:val="center"/>
                </w:tcPr>
                <w:p w14:paraId="0AB8B89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6F3C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308A5DB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8</w:t>
                  </w:r>
                </w:p>
              </w:tc>
              <w:tc>
                <w:tcPr>
                  <w:tcW w:w="706" w:type="dxa"/>
                  <w:tcBorders>
                    <w:tl2br w:val="nil"/>
                    <w:tr2bl w:val="nil"/>
                  </w:tcBorders>
                  <w:noWrap w:val="0"/>
                  <w:tcMar>
                    <w:left w:w="0" w:type="dxa"/>
                    <w:right w:w="0" w:type="dxa"/>
                  </w:tcMar>
                  <w:vAlign w:val="center"/>
                </w:tcPr>
                <w:p w14:paraId="4CEA74D8">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rPr>
                  </w:pPr>
                  <w:r>
                    <w:rPr>
                      <w:rStyle w:val="69"/>
                      <w:rFonts w:hint="default" w:ascii="Times New Roman" w:hAnsi="Times New Roman" w:cs="Times New Roman"/>
                      <w:color w:val="auto"/>
                      <w:sz w:val="21"/>
                      <w:szCs w:val="21"/>
                      <w:highlight w:val="none"/>
                      <w:lang w:val="en-US" w:eastAsia="zh-CN" w:bidi="ar"/>
                    </w:rPr>
                    <w:t>空压机</w:t>
                  </w:r>
                </w:p>
              </w:tc>
              <w:tc>
                <w:tcPr>
                  <w:tcW w:w="616" w:type="dxa"/>
                  <w:tcBorders>
                    <w:tl2br w:val="nil"/>
                    <w:tr2bl w:val="nil"/>
                  </w:tcBorders>
                  <w:noWrap w:val="0"/>
                  <w:tcMar>
                    <w:left w:w="0" w:type="dxa"/>
                    <w:right w:w="0" w:type="dxa"/>
                  </w:tcMar>
                  <w:vAlign w:val="center"/>
                </w:tcPr>
                <w:p w14:paraId="308004FB">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631" w:type="dxa"/>
                  <w:vMerge w:val="continue"/>
                  <w:tcBorders>
                    <w:tl2br w:val="nil"/>
                    <w:tr2bl w:val="nil"/>
                  </w:tcBorders>
                  <w:noWrap w:val="0"/>
                  <w:tcMar>
                    <w:left w:w="0" w:type="dxa"/>
                    <w:right w:w="0" w:type="dxa"/>
                  </w:tcMar>
                  <w:vAlign w:val="center"/>
                </w:tcPr>
                <w:p w14:paraId="2E969B7A">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017A96A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-50</w:t>
                  </w:r>
                </w:p>
              </w:tc>
              <w:tc>
                <w:tcPr>
                  <w:tcW w:w="530" w:type="dxa"/>
                  <w:tcBorders>
                    <w:tl2br w:val="nil"/>
                    <w:tr2bl w:val="nil"/>
                  </w:tcBorders>
                  <w:noWrap w:val="0"/>
                  <w:tcMar>
                    <w:left w:w="0" w:type="dxa"/>
                    <w:right w:w="0" w:type="dxa"/>
                  </w:tcMar>
                  <w:vAlign w:val="center"/>
                </w:tcPr>
                <w:p w14:paraId="2D52E0E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-19</w:t>
                  </w:r>
                </w:p>
              </w:tc>
              <w:tc>
                <w:tcPr>
                  <w:tcW w:w="530" w:type="dxa"/>
                  <w:tcBorders>
                    <w:tl2br w:val="nil"/>
                    <w:tr2bl w:val="nil"/>
                  </w:tcBorders>
                  <w:noWrap w:val="0"/>
                  <w:tcMar>
                    <w:left w:w="0" w:type="dxa"/>
                    <w:right w:w="0" w:type="dxa"/>
                  </w:tcMar>
                  <w:vAlign w:val="center"/>
                </w:tcPr>
                <w:p w14:paraId="697543F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0B06A29E">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7ACA565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725CC27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6FEBCD4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73D4CAA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3F0F481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8.9</w:t>
                  </w:r>
                </w:p>
              </w:tc>
              <w:tc>
                <w:tcPr>
                  <w:tcW w:w="430" w:type="dxa"/>
                  <w:tcBorders>
                    <w:tl2br w:val="nil"/>
                    <w:tr2bl w:val="nil"/>
                  </w:tcBorders>
                  <w:noWrap w:val="0"/>
                  <w:tcMar>
                    <w:left w:w="0" w:type="dxa"/>
                    <w:right w:w="0" w:type="dxa"/>
                  </w:tcMar>
                  <w:vAlign w:val="center"/>
                </w:tcPr>
                <w:p w14:paraId="6F128FA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29.4</w:t>
                  </w:r>
                </w:p>
              </w:tc>
              <w:tc>
                <w:tcPr>
                  <w:tcW w:w="430" w:type="dxa"/>
                  <w:tcBorders>
                    <w:tl2br w:val="nil"/>
                    <w:tr2bl w:val="nil"/>
                  </w:tcBorders>
                  <w:noWrap w:val="0"/>
                  <w:tcMar>
                    <w:left w:w="0" w:type="dxa"/>
                    <w:right w:w="0" w:type="dxa"/>
                  </w:tcMar>
                  <w:vAlign w:val="center"/>
                </w:tcPr>
                <w:p w14:paraId="63AF1D6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21</w:t>
                  </w:r>
                </w:p>
              </w:tc>
              <w:tc>
                <w:tcPr>
                  <w:tcW w:w="430" w:type="dxa"/>
                  <w:tcBorders>
                    <w:tl2br w:val="nil"/>
                    <w:tr2bl w:val="nil"/>
                  </w:tcBorders>
                  <w:noWrap w:val="0"/>
                  <w:tcMar>
                    <w:left w:w="0" w:type="dxa"/>
                    <w:right w:w="0" w:type="dxa"/>
                  </w:tcMar>
                  <w:vAlign w:val="center"/>
                </w:tcPr>
                <w:p w14:paraId="796BF52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33.5</w:t>
                  </w:r>
                </w:p>
              </w:tc>
              <w:tc>
                <w:tcPr>
                  <w:tcW w:w="590" w:type="dxa"/>
                  <w:tcBorders>
                    <w:tl2br w:val="nil"/>
                    <w:tr2bl w:val="nil"/>
                  </w:tcBorders>
                  <w:noWrap w:val="0"/>
                  <w:tcMar>
                    <w:left w:w="0" w:type="dxa"/>
                    <w:right w:w="0" w:type="dxa"/>
                  </w:tcMar>
                  <w:vAlign w:val="center"/>
                </w:tcPr>
                <w:p w14:paraId="69FEA8D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Arial" w:cs="Times New Roman"/>
                      <w:color w:val="auto"/>
                      <w:kern w:val="2"/>
                      <w:sz w:val="21"/>
                      <w:szCs w:val="21"/>
                      <w:highlight w:val="none"/>
                      <w:lang w:val="en-US" w:eastAsia="zh-CN" w:bidi="ar"/>
                    </w:rPr>
                    <w:t>1</w:t>
                  </w:r>
                </w:p>
              </w:tc>
            </w:tr>
            <w:tr w14:paraId="6DD2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3" w:type="dxa"/>
                  <w:tcBorders>
                    <w:tl2br w:val="nil"/>
                    <w:tr2bl w:val="nil"/>
                  </w:tcBorders>
                  <w:noWrap w:val="0"/>
                  <w:tcMar>
                    <w:left w:w="0" w:type="dxa"/>
                    <w:right w:w="0" w:type="dxa"/>
                  </w:tcMar>
                  <w:vAlign w:val="center"/>
                </w:tcPr>
                <w:p w14:paraId="314A308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9</w:t>
                  </w:r>
                </w:p>
              </w:tc>
              <w:tc>
                <w:tcPr>
                  <w:tcW w:w="706" w:type="dxa"/>
                  <w:tcBorders>
                    <w:tl2br w:val="nil"/>
                    <w:tr2bl w:val="nil"/>
                  </w:tcBorders>
                  <w:noWrap w:val="0"/>
                  <w:tcMar>
                    <w:left w:w="0" w:type="dxa"/>
                    <w:right w:w="0" w:type="dxa"/>
                  </w:tcMar>
                  <w:vAlign w:val="center"/>
                </w:tcPr>
                <w:p w14:paraId="54C2FD2F">
                  <w:pPr>
                    <w:keepNext w:val="0"/>
                    <w:keepLines w:val="0"/>
                    <w:widowControl/>
                    <w:suppressLineNumbers w:val="0"/>
                    <w:jc w:val="center"/>
                    <w:textAlignment w:val="center"/>
                    <w:rPr>
                      <w:rFonts w:hint="default" w:ascii="Times New Roman" w:hAnsi="Times New Roman" w:eastAsia="宋体" w:cs="Times New Roman"/>
                      <w:bCs/>
                      <w:snapToGrid w:val="0"/>
                      <w:color w:val="auto"/>
                      <w:sz w:val="21"/>
                      <w:szCs w:val="21"/>
                      <w:highlight w:val="none"/>
                    </w:rPr>
                  </w:pPr>
                  <w:r>
                    <w:rPr>
                      <w:rStyle w:val="69"/>
                      <w:rFonts w:hint="default" w:ascii="Times New Roman" w:hAnsi="Times New Roman" w:cs="Times New Roman"/>
                      <w:color w:val="auto"/>
                      <w:sz w:val="21"/>
                      <w:szCs w:val="21"/>
                      <w:highlight w:val="none"/>
                      <w:lang w:val="en-US" w:eastAsia="zh-CN" w:bidi="ar"/>
                    </w:rPr>
                    <w:t>钻床</w:t>
                  </w:r>
                </w:p>
              </w:tc>
              <w:tc>
                <w:tcPr>
                  <w:tcW w:w="616" w:type="dxa"/>
                  <w:tcBorders>
                    <w:tl2br w:val="nil"/>
                    <w:tr2bl w:val="nil"/>
                  </w:tcBorders>
                  <w:noWrap w:val="0"/>
                  <w:tcMar>
                    <w:left w:w="0" w:type="dxa"/>
                    <w:right w:w="0" w:type="dxa"/>
                  </w:tcMar>
                  <w:vAlign w:val="center"/>
                </w:tcPr>
                <w:p w14:paraId="31BA6881">
                  <w:pPr>
                    <w:pStyle w:val="58"/>
                    <w:keepNext w:val="0"/>
                    <w:keepLines w:val="0"/>
                    <w:pageBreakBefore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textAlignment w:val="auto"/>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rPr>
                    <w:t>75</w:t>
                  </w:r>
                </w:p>
              </w:tc>
              <w:tc>
                <w:tcPr>
                  <w:tcW w:w="631" w:type="dxa"/>
                  <w:vMerge w:val="continue"/>
                  <w:tcBorders>
                    <w:tl2br w:val="nil"/>
                    <w:tr2bl w:val="nil"/>
                  </w:tcBorders>
                  <w:noWrap w:val="0"/>
                  <w:tcMar>
                    <w:left w:w="0" w:type="dxa"/>
                    <w:right w:w="0" w:type="dxa"/>
                  </w:tcMar>
                  <w:vAlign w:val="center"/>
                </w:tcPr>
                <w:p w14:paraId="4C40D214">
                  <w:pPr>
                    <w:rPr>
                      <w:rFonts w:hint="default" w:ascii="Times New Roman" w:hAnsi="Times New Roman" w:cs="Times New Roman"/>
                      <w:color w:val="auto"/>
                      <w:sz w:val="21"/>
                      <w:szCs w:val="21"/>
                      <w:highlight w:val="none"/>
                    </w:rPr>
                  </w:pPr>
                </w:p>
              </w:tc>
              <w:tc>
                <w:tcPr>
                  <w:tcW w:w="530" w:type="dxa"/>
                  <w:tcBorders>
                    <w:tl2br w:val="nil"/>
                    <w:tr2bl w:val="nil"/>
                  </w:tcBorders>
                  <w:noWrap w:val="0"/>
                  <w:tcMar>
                    <w:left w:w="0" w:type="dxa"/>
                    <w:right w:w="0" w:type="dxa"/>
                  </w:tcMar>
                  <w:vAlign w:val="center"/>
                </w:tcPr>
                <w:p w14:paraId="463E53B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20</w:t>
                  </w:r>
                </w:p>
              </w:tc>
              <w:tc>
                <w:tcPr>
                  <w:tcW w:w="530" w:type="dxa"/>
                  <w:tcBorders>
                    <w:tl2br w:val="nil"/>
                    <w:tr2bl w:val="nil"/>
                  </w:tcBorders>
                  <w:noWrap w:val="0"/>
                  <w:tcMar>
                    <w:left w:w="0" w:type="dxa"/>
                    <w:right w:w="0" w:type="dxa"/>
                  </w:tcMar>
                  <w:vAlign w:val="center"/>
                </w:tcPr>
                <w:p w14:paraId="1912EA9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10</w:t>
                  </w:r>
                </w:p>
              </w:tc>
              <w:tc>
                <w:tcPr>
                  <w:tcW w:w="530" w:type="dxa"/>
                  <w:tcBorders>
                    <w:tl2br w:val="nil"/>
                    <w:tr2bl w:val="nil"/>
                  </w:tcBorders>
                  <w:noWrap w:val="0"/>
                  <w:tcMar>
                    <w:left w:w="0" w:type="dxa"/>
                    <w:right w:w="0" w:type="dxa"/>
                  </w:tcMar>
                  <w:vAlign w:val="center"/>
                </w:tcPr>
                <w:p w14:paraId="75C7E26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1.2</w:t>
                  </w:r>
                </w:p>
              </w:tc>
              <w:tc>
                <w:tcPr>
                  <w:tcW w:w="540" w:type="dxa"/>
                  <w:vMerge w:val="continue"/>
                  <w:tcBorders>
                    <w:tl2br w:val="nil"/>
                    <w:tr2bl w:val="nil"/>
                  </w:tcBorders>
                  <w:noWrap w:val="0"/>
                  <w:tcMar>
                    <w:left w:w="0" w:type="dxa"/>
                    <w:right w:w="0" w:type="dxa"/>
                  </w:tcMar>
                  <w:vAlign w:val="center"/>
                </w:tcPr>
                <w:p w14:paraId="7FF0F825">
                  <w:pPr>
                    <w:rPr>
                      <w:rFonts w:hint="default" w:ascii="Times New Roman" w:hAnsi="Times New Roman" w:cs="Times New Roman"/>
                      <w:color w:val="auto"/>
                      <w:sz w:val="21"/>
                      <w:szCs w:val="21"/>
                      <w:highlight w:val="none"/>
                    </w:rPr>
                  </w:pPr>
                </w:p>
              </w:tc>
              <w:tc>
                <w:tcPr>
                  <w:tcW w:w="415" w:type="dxa"/>
                  <w:tcBorders>
                    <w:tl2br w:val="nil"/>
                    <w:tr2bl w:val="nil"/>
                  </w:tcBorders>
                  <w:noWrap w:val="0"/>
                  <w:tcMar>
                    <w:left w:w="0" w:type="dxa"/>
                    <w:right w:w="0" w:type="dxa"/>
                  </w:tcMar>
                  <w:vAlign w:val="center"/>
                </w:tcPr>
                <w:p w14:paraId="6722179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621A400C">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20</w:t>
                  </w:r>
                </w:p>
              </w:tc>
              <w:tc>
                <w:tcPr>
                  <w:tcW w:w="415" w:type="dxa"/>
                  <w:tcBorders>
                    <w:tl2br w:val="nil"/>
                    <w:tr2bl w:val="nil"/>
                  </w:tcBorders>
                  <w:noWrap w:val="0"/>
                  <w:tcMar>
                    <w:left w:w="0" w:type="dxa"/>
                    <w:right w:w="0" w:type="dxa"/>
                  </w:tcMar>
                  <w:vAlign w:val="center"/>
                </w:tcPr>
                <w:p w14:paraId="3F21FCF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15</w:t>
                  </w:r>
                </w:p>
              </w:tc>
              <w:tc>
                <w:tcPr>
                  <w:tcW w:w="415" w:type="dxa"/>
                  <w:tcBorders>
                    <w:tl2br w:val="nil"/>
                    <w:tr2bl w:val="nil"/>
                  </w:tcBorders>
                  <w:noWrap w:val="0"/>
                  <w:tcMar>
                    <w:left w:w="0" w:type="dxa"/>
                    <w:right w:w="0" w:type="dxa"/>
                  </w:tcMar>
                  <w:vAlign w:val="center"/>
                </w:tcPr>
                <w:p w14:paraId="639FA67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15</w:t>
                  </w:r>
                </w:p>
              </w:tc>
              <w:tc>
                <w:tcPr>
                  <w:tcW w:w="429" w:type="dxa"/>
                  <w:tcBorders>
                    <w:tl2br w:val="nil"/>
                    <w:tr2bl w:val="nil"/>
                  </w:tcBorders>
                  <w:noWrap w:val="0"/>
                  <w:tcMar>
                    <w:left w:w="0" w:type="dxa"/>
                    <w:right w:w="0" w:type="dxa"/>
                  </w:tcMar>
                  <w:vAlign w:val="center"/>
                </w:tcPr>
                <w:p w14:paraId="07F3FBA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28.9</w:t>
                  </w:r>
                </w:p>
              </w:tc>
              <w:tc>
                <w:tcPr>
                  <w:tcW w:w="430" w:type="dxa"/>
                  <w:tcBorders>
                    <w:tl2br w:val="nil"/>
                    <w:tr2bl w:val="nil"/>
                  </w:tcBorders>
                  <w:noWrap w:val="0"/>
                  <w:tcMar>
                    <w:left w:w="0" w:type="dxa"/>
                    <w:right w:w="0" w:type="dxa"/>
                  </w:tcMar>
                  <w:vAlign w:val="center"/>
                </w:tcPr>
                <w:p w14:paraId="0D960A2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20.4</w:t>
                  </w:r>
                </w:p>
              </w:tc>
              <w:tc>
                <w:tcPr>
                  <w:tcW w:w="430" w:type="dxa"/>
                  <w:tcBorders>
                    <w:tl2br w:val="nil"/>
                    <w:tr2bl w:val="nil"/>
                  </w:tcBorders>
                  <w:noWrap w:val="0"/>
                  <w:tcMar>
                    <w:left w:w="0" w:type="dxa"/>
                    <w:right w:w="0" w:type="dxa"/>
                  </w:tcMar>
                  <w:vAlign w:val="center"/>
                </w:tcPr>
                <w:p w14:paraId="10FF057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7.7</w:t>
                  </w:r>
                </w:p>
              </w:tc>
              <w:tc>
                <w:tcPr>
                  <w:tcW w:w="430" w:type="dxa"/>
                  <w:tcBorders>
                    <w:tl2br w:val="nil"/>
                    <w:tr2bl w:val="nil"/>
                  </w:tcBorders>
                  <w:noWrap w:val="0"/>
                  <w:tcMar>
                    <w:left w:w="0" w:type="dxa"/>
                    <w:right w:w="0" w:type="dxa"/>
                  </w:tcMar>
                  <w:vAlign w:val="center"/>
                </w:tcPr>
                <w:p w14:paraId="3924BC3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40</w:t>
                  </w:r>
                </w:p>
              </w:tc>
              <w:tc>
                <w:tcPr>
                  <w:tcW w:w="590" w:type="dxa"/>
                  <w:tcBorders>
                    <w:tl2br w:val="nil"/>
                    <w:tr2bl w:val="nil"/>
                  </w:tcBorders>
                  <w:noWrap w:val="0"/>
                  <w:tcMar>
                    <w:left w:w="0" w:type="dxa"/>
                    <w:right w:w="0" w:type="dxa"/>
                  </w:tcMar>
                  <w:vAlign w:val="center"/>
                </w:tcPr>
                <w:p w14:paraId="3FE1CAD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Arial" w:cs="Times New Roman"/>
                      <w:color w:val="auto"/>
                      <w:kern w:val="2"/>
                      <w:sz w:val="21"/>
                      <w:szCs w:val="21"/>
                      <w:highlight w:val="none"/>
                      <w:lang w:val="en-US" w:eastAsia="zh-CN" w:bidi="ar"/>
                    </w:rPr>
                  </w:pPr>
                  <w:r>
                    <w:rPr>
                      <w:rFonts w:hint="eastAsia" w:ascii="Times New Roman" w:hAnsi="Times New Roman" w:cs="Times New Roman"/>
                      <w:color w:val="auto"/>
                      <w:kern w:val="2"/>
                      <w:sz w:val="21"/>
                      <w:szCs w:val="21"/>
                      <w:highlight w:val="none"/>
                      <w:lang w:val="en-US" w:eastAsia="zh-CN" w:bidi="ar"/>
                    </w:rPr>
                    <w:t>1</w:t>
                  </w:r>
                </w:p>
              </w:tc>
            </w:tr>
          </w:tbl>
          <w:p w14:paraId="2F8C44EA">
            <w:pPr>
              <w:pStyle w:val="56"/>
              <w:keepNext w:val="0"/>
              <w:keepLines w:val="0"/>
              <w:pageBreakBefore w:val="0"/>
              <w:widowControl/>
              <w:kinsoku/>
              <w:wordWrap/>
              <w:overflowPunct/>
              <w:topLinePunct w:val="0"/>
              <w:autoSpaceDE w:val="0"/>
              <w:autoSpaceDN w:val="0"/>
              <w:bidi w:val="0"/>
              <w:adjustRightInd w:val="0"/>
              <w:snapToGrid w:val="0"/>
              <w:spacing w:before="0" w:beforeLines="50" w:beforeAutospacing="0" w:afterAutospacing="0"/>
              <w:ind w:left="0" w:leftChars="0" w:right="0" w:firstLine="48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二</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噪声影响分析</w:t>
            </w:r>
          </w:p>
          <w:p w14:paraId="14F09EFA">
            <w:pPr>
              <w:pStyle w:val="56"/>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2" w:firstLineChars="200"/>
              <w:jc w:val="both"/>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预测模式</w:t>
            </w:r>
          </w:p>
          <w:p w14:paraId="4705CDE1">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本项目噪声源</w:t>
            </w:r>
            <w:r>
              <w:rPr>
                <w:rFonts w:hint="eastAsia" w:ascii="Times New Roman" w:hAnsi="Times New Roman" w:eastAsia="宋体" w:cs="Times New Roman"/>
                <w:color w:val="auto"/>
                <w:sz w:val="24"/>
                <w:szCs w:val="24"/>
                <w:highlight w:val="none"/>
                <w:lang w:val="en-US" w:eastAsia="zh-CN"/>
              </w:rPr>
              <w:t>基本</w:t>
            </w:r>
            <w:r>
              <w:rPr>
                <w:rFonts w:hint="default" w:ascii="Times New Roman" w:hAnsi="Times New Roman" w:eastAsia="宋体" w:cs="Times New Roman"/>
                <w:color w:val="auto"/>
                <w:sz w:val="24"/>
                <w:szCs w:val="24"/>
                <w:highlight w:val="none"/>
                <w:lang w:val="en-US" w:eastAsia="zh-CN"/>
              </w:rPr>
              <w:t>在室内，按照《环境影响评价技术导则 声环境》（HJ 2.4-2021）附录B的模型进行预测。</w:t>
            </w:r>
            <w:r>
              <w:rPr>
                <w:rFonts w:hint="default" w:ascii="Times New Roman" w:hAnsi="Times New Roman" w:eastAsia="宋体" w:cs="Times New Roman"/>
                <w:color w:val="auto"/>
                <w:sz w:val="24"/>
                <w:szCs w:val="24"/>
                <w:highlight w:val="none"/>
              </w:rPr>
              <w:t>如图A.1所示，声源位于室内，室内声源可采用等效室外声源声功率级法进行计算。设靠近开口处</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或窗户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室内、室外某倍频带的声压级分别为Lp1和Lp2。若声源所在室内声场为近似扩散声场，则室外的倍频带声压级可按公式</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A.6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近似求出：</w:t>
            </w:r>
          </w:p>
          <w:p w14:paraId="385CA925">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4139565" cy="288290"/>
                  <wp:effectExtent l="0" t="0" r="13335" b="1651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2"/>
                          <a:stretch>
                            <a:fillRect/>
                          </a:stretch>
                        </pic:blipFill>
                        <pic:spPr>
                          <a:xfrm>
                            <a:off x="0" y="0"/>
                            <a:ext cx="4139565" cy="288290"/>
                          </a:xfrm>
                          <a:prstGeom prst="rect">
                            <a:avLst/>
                          </a:prstGeom>
                          <a:noFill/>
                          <a:ln>
                            <a:noFill/>
                          </a:ln>
                        </pic:spPr>
                      </pic:pic>
                    </a:graphicData>
                  </a:graphic>
                </wp:inline>
              </w:drawing>
            </w:r>
          </w:p>
          <w:p w14:paraId="5EBE61C3">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式中：TL—隔墙（或窗户）倍频带的隔声量，dB。</w:t>
            </w:r>
          </w:p>
          <w:p w14:paraId="03245B8D">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2889250" cy="1753235"/>
                  <wp:effectExtent l="0" t="0" r="6350" b="184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3"/>
                          <a:stretch>
                            <a:fillRect/>
                          </a:stretch>
                        </pic:blipFill>
                        <pic:spPr>
                          <a:xfrm>
                            <a:off x="0" y="0"/>
                            <a:ext cx="2889250" cy="1753235"/>
                          </a:xfrm>
                          <a:prstGeom prst="rect">
                            <a:avLst/>
                          </a:prstGeom>
                          <a:noFill/>
                          <a:ln>
                            <a:noFill/>
                          </a:ln>
                        </pic:spPr>
                      </pic:pic>
                    </a:graphicData>
                  </a:graphic>
                </wp:inline>
              </w:drawing>
            </w:r>
          </w:p>
          <w:p w14:paraId="2C2B78AA">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也可按公式（A.7）计算某一室内声源靠近围护结构处产生的倍频带声压级：</w:t>
            </w:r>
          </w:p>
          <w:p w14:paraId="05C114BF">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lang w:val="en-US" w:bidi="ar-SA"/>
              </w:rPr>
            </w:pPr>
            <w:r>
              <w:rPr>
                <w:rFonts w:hint="default" w:ascii="Times New Roman" w:hAnsi="Times New Roman" w:eastAsia="宋体" w:cs="Times New Roman"/>
                <w:color w:val="auto"/>
                <w:sz w:val="24"/>
                <w:highlight w:val="none"/>
                <w:lang w:val="en-US" w:bidi="ar-SA"/>
              </w:rPr>
              <w:drawing>
                <wp:inline distT="0" distB="0" distL="114300" distR="114300">
                  <wp:extent cx="3955415" cy="431800"/>
                  <wp:effectExtent l="0" t="0" r="6985" b="635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4"/>
                          <a:stretch>
                            <a:fillRect/>
                          </a:stretch>
                        </pic:blipFill>
                        <pic:spPr>
                          <a:xfrm>
                            <a:off x="0" y="0"/>
                            <a:ext cx="3955415" cy="431800"/>
                          </a:xfrm>
                          <a:prstGeom prst="rect">
                            <a:avLst/>
                          </a:prstGeom>
                          <a:noFill/>
                          <a:ln>
                            <a:noFill/>
                          </a:ln>
                        </pic:spPr>
                      </pic:pic>
                    </a:graphicData>
                  </a:graphic>
                </wp:inline>
              </w:drawing>
            </w:r>
          </w:p>
          <w:p w14:paraId="13B6F052">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式中：Q—指向性因数；通常对无指向性声源，当声源放在房间中心时，Q=1；当放在一面墙的中心时，Q=2；当放在两面墙夹角处时，Q=4；当放在三面墙夹角处时，Q=8；</w:t>
            </w:r>
          </w:p>
          <w:p w14:paraId="6E98AB1D">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R—房间常数；R=Sα/（1−α），S为房间内表面面积，m</w:t>
            </w:r>
            <w:r>
              <w:rPr>
                <w:rFonts w:hint="default" w:ascii="Times New Roman" w:hAnsi="Times New Roman" w:eastAsia="宋体" w:cs="Times New Roman"/>
                <w:color w:val="auto"/>
                <w:kern w:val="0"/>
                <w:sz w:val="24"/>
                <w:szCs w:val="21"/>
                <w:highlight w:val="none"/>
                <w:vertAlign w:val="superscript"/>
                <w:lang w:val="en-US" w:eastAsia="zh-CN" w:bidi="ar-SA"/>
              </w:rPr>
              <w:t>2</w:t>
            </w:r>
            <w:r>
              <w:rPr>
                <w:rFonts w:hint="default" w:ascii="Times New Roman" w:hAnsi="Times New Roman" w:eastAsia="宋体" w:cs="Times New Roman"/>
                <w:color w:val="auto"/>
                <w:kern w:val="0"/>
                <w:sz w:val="24"/>
                <w:szCs w:val="21"/>
                <w:highlight w:val="none"/>
                <w:lang w:val="en-US" w:eastAsia="zh-CN" w:bidi="ar-SA"/>
              </w:rPr>
              <w:t>；α为平均吸声系数；</w:t>
            </w:r>
          </w:p>
          <w:p w14:paraId="6DC2010B">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r—声源到靠近围护结构某点处的距离，m。</w:t>
            </w:r>
          </w:p>
          <w:p w14:paraId="43D805F6">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然后按公式（A.8）计算出所有室内声源在围护结构处产生的i倍频带叠加声压级：</w:t>
            </w:r>
          </w:p>
          <w:p w14:paraId="1AFBEF60">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3315970" cy="450850"/>
                  <wp:effectExtent l="0" t="0" r="17780" b="635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5"/>
                          <a:stretch>
                            <a:fillRect/>
                          </a:stretch>
                        </pic:blipFill>
                        <pic:spPr>
                          <a:xfrm>
                            <a:off x="0" y="0"/>
                            <a:ext cx="3315970" cy="450850"/>
                          </a:xfrm>
                          <a:prstGeom prst="rect">
                            <a:avLst/>
                          </a:prstGeom>
                          <a:noFill/>
                          <a:ln>
                            <a:noFill/>
                          </a:ln>
                        </pic:spPr>
                      </pic:pic>
                    </a:graphicData>
                  </a:graphic>
                </wp:inline>
              </w:drawing>
            </w:r>
          </w:p>
          <w:p w14:paraId="08A77779">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式中：LP1i（T）—靠近围护结构处室内N个声源i倍频带的叠加声压级，dB；</w:t>
            </w:r>
          </w:p>
          <w:p w14:paraId="5DD9FB7C">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LP1ij—室内j声源i倍频带的声压级，dB；</w:t>
            </w:r>
          </w:p>
          <w:p w14:paraId="3EC751FB">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N—室内声源总数。</w:t>
            </w:r>
          </w:p>
          <w:p w14:paraId="2139DAF2">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在室内近似为扩散声场时，按公式（A.9）计算出靠近室外围护结构处的声压级：</w:t>
            </w:r>
          </w:p>
          <w:p w14:paraId="184EDF66">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4574540" cy="361950"/>
                  <wp:effectExtent l="0" t="0" r="16510" b="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26"/>
                          <a:stretch>
                            <a:fillRect/>
                          </a:stretch>
                        </pic:blipFill>
                        <pic:spPr>
                          <a:xfrm>
                            <a:off x="0" y="0"/>
                            <a:ext cx="4574540" cy="361950"/>
                          </a:xfrm>
                          <a:prstGeom prst="rect">
                            <a:avLst/>
                          </a:prstGeom>
                          <a:noFill/>
                          <a:ln>
                            <a:noFill/>
                          </a:ln>
                        </pic:spPr>
                      </pic:pic>
                    </a:graphicData>
                  </a:graphic>
                </wp:inline>
              </w:drawing>
            </w:r>
          </w:p>
          <w:p w14:paraId="7AD31A1F">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式中：LP2i（T）—靠近围护结构处室外N个声源i倍频带的叠加声压级，dB；</w:t>
            </w:r>
          </w:p>
          <w:p w14:paraId="5C8BCDF1">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TLi—围护结构i倍频带的隔声量，dB。</w:t>
            </w:r>
          </w:p>
          <w:p w14:paraId="7499616C">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然后按公式（A.10）将室外声源的声压级和透过面积换算成等效的室外声源，计算出中心位置位于透声面积（S）处的等效声源的倍频带声功率级。</w:t>
            </w:r>
          </w:p>
          <w:p w14:paraId="691EA39B">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4787900" cy="360045"/>
                  <wp:effectExtent l="0" t="0" r="12700" b="190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27"/>
                          <a:stretch>
                            <a:fillRect/>
                          </a:stretch>
                        </pic:blipFill>
                        <pic:spPr>
                          <a:xfrm>
                            <a:off x="0" y="0"/>
                            <a:ext cx="4787900" cy="360045"/>
                          </a:xfrm>
                          <a:prstGeom prst="rect">
                            <a:avLst/>
                          </a:prstGeom>
                          <a:noFill/>
                          <a:ln>
                            <a:noFill/>
                          </a:ln>
                        </pic:spPr>
                      </pic:pic>
                    </a:graphicData>
                  </a:graphic>
                </wp:inline>
              </w:drawing>
            </w:r>
          </w:p>
          <w:p w14:paraId="72EC9BC2">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然后按室外声源预测方法计算预测点处的A声级。</w:t>
            </w:r>
          </w:p>
          <w:p w14:paraId="2A271034">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0"/>
                <w:sz w:val="24"/>
                <w:szCs w:val="21"/>
                <w:highlight w:val="none"/>
                <w:lang w:val="en-US" w:eastAsia="zh-CN" w:bidi="ar-SA"/>
              </w:rPr>
            </w:pPr>
            <w:r>
              <w:rPr>
                <w:rFonts w:hint="default" w:ascii="Times New Roman" w:hAnsi="Times New Roman" w:eastAsia="宋体" w:cs="Times New Roman"/>
                <w:b/>
                <w:bCs/>
                <w:color w:val="auto"/>
                <w:kern w:val="0"/>
                <w:sz w:val="24"/>
                <w:szCs w:val="21"/>
                <w:highlight w:val="none"/>
                <w:lang w:val="en-US" w:eastAsia="zh-CN" w:bidi="ar-SA"/>
              </w:rPr>
              <w:t>2..噪声贡献值计算</w:t>
            </w:r>
          </w:p>
          <w:p w14:paraId="4F745123">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设第i个室外声源在预测点产生的A声级为LAi，在T时间内该声源工作时间为ti；第j个等效室外声源在预测点产生的A声级为LAj，在T时间内该声源工作时间为tj，则工程声源对预测点产生的贡献值（Leqg）为：</w:t>
            </w:r>
          </w:p>
          <w:p w14:paraId="3378DB21">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4290060" cy="540385"/>
                  <wp:effectExtent l="0" t="0" r="15240" b="12065"/>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28"/>
                          <a:stretch>
                            <a:fillRect/>
                          </a:stretch>
                        </pic:blipFill>
                        <pic:spPr>
                          <a:xfrm>
                            <a:off x="0" y="0"/>
                            <a:ext cx="4290060" cy="540385"/>
                          </a:xfrm>
                          <a:prstGeom prst="rect">
                            <a:avLst/>
                          </a:prstGeom>
                          <a:noFill/>
                          <a:ln>
                            <a:noFill/>
                          </a:ln>
                        </pic:spPr>
                      </pic:pic>
                    </a:graphicData>
                  </a:graphic>
                </wp:inline>
              </w:drawing>
            </w:r>
          </w:p>
          <w:p w14:paraId="5E7FE605">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式中：tj—在T时间内j声源工作时间，s；</w:t>
            </w:r>
          </w:p>
          <w:p w14:paraId="49826239">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ti—在T时间内i声源工作时间，s；</w:t>
            </w:r>
          </w:p>
          <w:p w14:paraId="25383379">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T—用于计算等效声级的时间，s；</w:t>
            </w:r>
          </w:p>
          <w:p w14:paraId="73084407">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N—室外声源个数；M—等效室外声源个数。</w:t>
            </w:r>
          </w:p>
          <w:p w14:paraId="6CC1FB2A">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0"/>
                <w:sz w:val="24"/>
                <w:szCs w:val="21"/>
                <w:highlight w:val="none"/>
                <w:lang w:val="en-US" w:eastAsia="zh-CN" w:bidi="ar-SA"/>
              </w:rPr>
            </w:pPr>
            <w:r>
              <w:rPr>
                <w:rFonts w:hint="default" w:ascii="Times New Roman" w:hAnsi="Times New Roman" w:eastAsia="宋体" w:cs="Times New Roman"/>
                <w:b/>
                <w:bCs/>
                <w:color w:val="auto"/>
                <w:kern w:val="0"/>
                <w:sz w:val="24"/>
                <w:szCs w:val="21"/>
                <w:highlight w:val="none"/>
                <w:lang w:val="en-US" w:eastAsia="zh-CN" w:bidi="ar-SA"/>
              </w:rPr>
              <w:t>3.预测值计算</w:t>
            </w:r>
          </w:p>
          <w:p w14:paraId="14B9D7F1">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按正文公式（2）计算。</w:t>
            </w:r>
          </w:p>
          <w:p w14:paraId="73A8CED3">
            <w:pPr>
              <w:keepNext w:val="0"/>
              <w:keepLines w:val="0"/>
              <w:pageBreakBefore w:val="0"/>
              <w:kinsoku/>
              <w:wordWrap/>
              <w:topLinePunct w:val="0"/>
              <w:bidi w:val="0"/>
              <w:adjustRightInd w:val="0"/>
              <w:snapToGrid w:val="0"/>
              <w:spacing w:beforeAutospacing="0" w:afterAutospacing="0" w:line="360" w:lineRule="auto"/>
              <w:ind w:left="0" w:leftChars="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bidi="ar-SA"/>
              </w:rPr>
              <w:drawing>
                <wp:inline distT="0" distB="0" distL="114300" distR="114300">
                  <wp:extent cx="4342130" cy="285750"/>
                  <wp:effectExtent l="0" t="0" r="127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9"/>
                          <a:stretch>
                            <a:fillRect/>
                          </a:stretch>
                        </pic:blipFill>
                        <pic:spPr>
                          <a:xfrm>
                            <a:off x="0" y="0"/>
                            <a:ext cx="4342130" cy="285750"/>
                          </a:xfrm>
                          <a:prstGeom prst="rect">
                            <a:avLst/>
                          </a:prstGeom>
                          <a:noFill/>
                          <a:ln>
                            <a:noFill/>
                          </a:ln>
                        </pic:spPr>
                      </pic:pic>
                    </a:graphicData>
                  </a:graphic>
                </wp:inline>
              </w:drawing>
            </w:r>
          </w:p>
          <w:p w14:paraId="76C84CFB">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式中：Leqg—建设项目声源在预测点的等效声级贡献值，dB（A）；</w:t>
            </w:r>
          </w:p>
          <w:p w14:paraId="51F2E66D">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1200" w:firstLineChars="5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Leqb—预测点的背景值，dB（A）。</w:t>
            </w:r>
          </w:p>
          <w:p w14:paraId="733A1AF2">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0"/>
                <w:sz w:val="24"/>
                <w:szCs w:val="21"/>
                <w:highlight w:val="none"/>
                <w:lang w:val="en-US" w:eastAsia="zh-CN" w:bidi="ar-SA"/>
              </w:rPr>
            </w:pPr>
            <w:bookmarkStart w:id="7" w:name="_Toc953"/>
            <w:bookmarkStart w:id="8" w:name="_Toc5397"/>
            <w:bookmarkStart w:id="9" w:name="_Toc24581"/>
            <w:r>
              <w:rPr>
                <w:rFonts w:hint="default" w:ascii="Times New Roman" w:hAnsi="Times New Roman" w:eastAsia="宋体" w:cs="Times New Roman"/>
                <w:b/>
                <w:bCs/>
                <w:color w:val="auto"/>
                <w:kern w:val="0"/>
                <w:sz w:val="24"/>
                <w:szCs w:val="21"/>
                <w:highlight w:val="none"/>
                <w:lang w:val="en-US" w:eastAsia="zh-CN" w:bidi="ar-SA"/>
              </w:rPr>
              <w:t>5.预测因子</w:t>
            </w:r>
            <w:bookmarkEnd w:id="7"/>
            <w:bookmarkEnd w:id="8"/>
            <w:r>
              <w:rPr>
                <w:rFonts w:hint="default" w:ascii="Times New Roman" w:hAnsi="Times New Roman" w:eastAsia="宋体" w:cs="Times New Roman"/>
                <w:b/>
                <w:bCs/>
                <w:color w:val="auto"/>
                <w:kern w:val="0"/>
                <w:sz w:val="24"/>
                <w:szCs w:val="21"/>
                <w:highlight w:val="none"/>
                <w:lang w:val="en-US" w:eastAsia="zh-CN" w:bidi="ar-SA"/>
              </w:rPr>
              <w:t>：</w:t>
            </w:r>
            <w:bookmarkEnd w:id="9"/>
          </w:p>
          <w:p w14:paraId="6741EAE1">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选取评价因子Leq（A）作为预测因子。</w:t>
            </w:r>
          </w:p>
          <w:p w14:paraId="6CDCF5CD">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0"/>
                <w:sz w:val="24"/>
                <w:szCs w:val="21"/>
                <w:highlight w:val="none"/>
                <w:lang w:val="en-US" w:eastAsia="zh-CN" w:bidi="ar-SA"/>
              </w:rPr>
            </w:pPr>
            <w:bookmarkStart w:id="10" w:name="_Toc25827"/>
            <w:bookmarkStart w:id="11" w:name="_Toc8401"/>
            <w:bookmarkStart w:id="12" w:name="_Toc6360"/>
            <w:r>
              <w:rPr>
                <w:rFonts w:hint="default" w:ascii="Times New Roman" w:hAnsi="Times New Roman" w:eastAsia="宋体" w:cs="Times New Roman"/>
                <w:b/>
                <w:bCs/>
                <w:color w:val="auto"/>
                <w:kern w:val="0"/>
                <w:sz w:val="24"/>
                <w:szCs w:val="21"/>
                <w:highlight w:val="none"/>
                <w:lang w:val="en-US" w:eastAsia="zh-CN" w:bidi="ar-SA"/>
              </w:rPr>
              <w:t>6.预测时段</w:t>
            </w:r>
            <w:bookmarkEnd w:id="10"/>
            <w:bookmarkEnd w:id="11"/>
            <w:r>
              <w:rPr>
                <w:rFonts w:hint="default" w:ascii="Times New Roman" w:hAnsi="Times New Roman" w:eastAsia="宋体" w:cs="Times New Roman"/>
                <w:b/>
                <w:bCs/>
                <w:color w:val="auto"/>
                <w:kern w:val="0"/>
                <w:sz w:val="24"/>
                <w:szCs w:val="21"/>
                <w:highlight w:val="none"/>
                <w:lang w:val="en-US" w:eastAsia="zh-CN" w:bidi="ar-SA"/>
              </w:rPr>
              <w:t>：</w:t>
            </w:r>
            <w:bookmarkEnd w:id="12"/>
          </w:p>
          <w:p w14:paraId="0DFD31EF">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本项目预测时段为昼间及夜间。</w:t>
            </w:r>
          </w:p>
          <w:p w14:paraId="3E74D43B">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2" w:firstLineChars="200"/>
              <w:jc w:val="both"/>
              <w:textAlignment w:val="auto"/>
              <w:rPr>
                <w:rFonts w:hint="default" w:ascii="Times New Roman" w:hAnsi="Times New Roman" w:eastAsia="宋体" w:cs="Times New Roman"/>
                <w:b/>
                <w:bCs/>
                <w:color w:val="auto"/>
                <w:kern w:val="0"/>
                <w:sz w:val="24"/>
                <w:szCs w:val="21"/>
                <w:highlight w:val="none"/>
                <w:lang w:val="en-US" w:eastAsia="zh-CN" w:bidi="ar-SA"/>
              </w:rPr>
            </w:pPr>
            <w:bookmarkStart w:id="13" w:name="_Toc24226"/>
            <w:bookmarkStart w:id="14" w:name="_Toc4420"/>
            <w:bookmarkStart w:id="15" w:name="_Toc19461"/>
            <w:r>
              <w:rPr>
                <w:rFonts w:hint="default" w:ascii="Times New Roman" w:hAnsi="Times New Roman" w:eastAsia="宋体" w:cs="Times New Roman"/>
                <w:b/>
                <w:bCs/>
                <w:color w:val="auto"/>
                <w:kern w:val="0"/>
                <w:sz w:val="24"/>
                <w:szCs w:val="21"/>
                <w:highlight w:val="none"/>
                <w:lang w:val="en-US" w:eastAsia="zh-CN" w:bidi="ar-SA"/>
              </w:rPr>
              <w:t>7.预测结果</w:t>
            </w:r>
            <w:bookmarkEnd w:id="13"/>
            <w:bookmarkEnd w:id="14"/>
            <w:r>
              <w:rPr>
                <w:rFonts w:hint="default" w:ascii="Times New Roman" w:hAnsi="Times New Roman" w:eastAsia="宋体" w:cs="Times New Roman"/>
                <w:b/>
                <w:bCs/>
                <w:color w:val="auto"/>
                <w:kern w:val="0"/>
                <w:sz w:val="24"/>
                <w:szCs w:val="21"/>
                <w:highlight w:val="none"/>
                <w:lang w:val="en-US" w:eastAsia="zh-CN" w:bidi="ar-SA"/>
              </w:rPr>
              <w:t>：</w:t>
            </w:r>
            <w:bookmarkEnd w:id="15"/>
          </w:p>
          <w:p w14:paraId="3E41E0EF">
            <w:pPr>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根据以上模式，本项目建成后各厂界的噪声预测结果见表4-13。</w:t>
            </w:r>
          </w:p>
          <w:p w14:paraId="0F9886A6">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firstLine="0"/>
              <w:jc w:val="center"/>
              <w:textAlignment w:val="auto"/>
              <w:rPr>
                <w:rFonts w:hint="default" w:ascii="Times New Roman" w:hAnsi="Times New Roman" w:cs="Times New Roman" w:eastAsiaTheme="minorEastAsia"/>
                <w:b/>
                <w:bCs/>
                <w:color w:val="auto"/>
                <w:kern w:val="0"/>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rPr>
              <w:t>表4-</w:t>
            </w:r>
            <w:r>
              <w:rPr>
                <w:rFonts w:hint="default" w:ascii="Times New Roman" w:hAnsi="Times New Roman" w:cs="Times New Roman" w:eastAsiaTheme="minorEastAsia"/>
                <w:b/>
                <w:bCs/>
                <w:color w:val="auto"/>
                <w:sz w:val="21"/>
                <w:szCs w:val="21"/>
                <w:highlight w:val="none"/>
                <w:lang w:val="en-US" w:eastAsia="zh-CN"/>
              </w:rPr>
              <w:t xml:space="preserve">13 </w:t>
            </w:r>
            <w:r>
              <w:rPr>
                <w:rFonts w:hint="default" w:ascii="Times New Roman" w:hAnsi="Times New Roman" w:cs="Times New Roman" w:eastAsiaTheme="minorEastAsia"/>
                <w:b/>
                <w:bCs/>
                <w:color w:val="auto"/>
                <w:sz w:val="21"/>
                <w:szCs w:val="21"/>
                <w:highlight w:val="none"/>
              </w:rPr>
              <w:t xml:space="preserve"> 噪声预测数据表</w:t>
            </w:r>
          </w:p>
          <w:tbl>
            <w:tblPr>
              <w:tblStyle w:val="29"/>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57" w:type="dxa"/>
                <w:bottom w:w="0" w:type="dxa"/>
                <w:right w:w="57" w:type="dxa"/>
              </w:tblCellMar>
            </w:tblPr>
            <w:tblGrid>
              <w:gridCol w:w="1505"/>
              <w:gridCol w:w="1357"/>
              <w:gridCol w:w="1955"/>
              <w:gridCol w:w="1957"/>
              <w:gridCol w:w="1626"/>
            </w:tblGrid>
            <w:tr w14:paraId="0BA9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312" w:hRule="atLeast"/>
                <w:jc w:val="center"/>
              </w:trPr>
              <w:tc>
                <w:tcPr>
                  <w:tcW w:w="896" w:type="pct"/>
                  <w:vMerge w:val="restart"/>
                  <w:tcBorders>
                    <w:tl2br w:val="nil"/>
                    <w:tr2bl w:val="nil"/>
                  </w:tcBorders>
                  <w:shd w:val="clear" w:color="auto" w:fill="auto"/>
                  <w:vAlign w:val="center"/>
                </w:tcPr>
                <w:p w14:paraId="38B82FE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预测方位</w:t>
                  </w:r>
                </w:p>
              </w:tc>
              <w:tc>
                <w:tcPr>
                  <w:tcW w:w="807" w:type="pct"/>
                  <w:vMerge w:val="restart"/>
                  <w:tcBorders>
                    <w:tl2br w:val="nil"/>
                    <w:tr2bl w:val="nil"/>
                  </w:tcBorders>
                  <w:shd w:val="clear" w:color="auto" w:fill="auto"/>
                  <w:vAlign w:val="center"/>
                </w:tcPr>
                <w:p w14:paraId="741298D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时段</w:t>
                  </w:r>
                </w:p>
              </w:tc>
              <w:tc>
                <w:tcPr>
                  <w:tcW w:w="1163" w:type="pct"/>
                  <w:vMerge w:val="restart"/>
                  <w:tcBorders>
                    <w:tl2br w:val="nil"/>
                    <w:tr2bl w:val="nil"/>
                  </w:tcBorders>
                  <w:shd w:val="clear" w:color="auto" w:fill="auto"/>
                  <w:vAlign w:val="center"/>
                </w:tcPr>
                <w:p w14:paraId="34FE82A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贡献值（dB</w:t>
                  </w:r>
                  <w:r>
                    <w:rPr>
                      <w:rFonts w:hint="eastAsia"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A</w:t>
                  </w:r>
                  <w:r>
                    <w:rPr>
                      <w:rFonts w:hint="eastAsia"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w:t>
                  </w:r>
                </w:p>
              </w:tc>
              <w:tc>
                <w:tcPr>
                  <w:tcW w:w="1164" w:type="pct"/>
                  <w:vMerge w:val="restart"/>
                  <w:tcBorders>
                    <w:tl2br w:val="nil"/>
                    <w:tr2bl w:val="nil"/>
                  </w:tcBorders>
                  <w:shd w:val="clear" w:color="auto" w:fill="auto"/>
                  <w:vAlign w:val="center"/>
                </w:tcPr>
                <w:p w14:paraId="4DAA317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标准限值（dB</w:t>
                  </w:r>
                  <w:r>
                    <w:rPr>
                      <w:rFonts w:hint="eastAsia"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A</w:t>
                  </w:r>
                  <w:r>
                    <w:rPr>
                      <w:rFonts w:hint="eastAsia"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w:t>
                  </w:r>
                </w:p>
              </w:tc>
              <w:tc>
                <w:tcPr>
                  <w:tcW w:w="967" w:type="pct"/>
                  <w:vMerge w:val="restart"/>
                  <w:tcBorders>
                    <w:tl2br w:val="nil"/>
                    <w:tr2bl w:val="nil"/>
                  </w:tcBorders>
                  <w:shd w:val="clear" w:color="auto" w:fill="auto"/>
                  <w:vAlign w:val="center"/>
                </w:tcPr>
                <w:p w14:paraId="76D0F1A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达标情况</w:t>
                  </w:r>
                </w:p>
              </w:tc>
            </w:tr>
            <w:tr w14:paraId="09E9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896" w:type="pct"/>
                  <w:vMerge w:val="continue"/>
                  <w:tcBorders>
                    <w:tl2br w:val="nil"/>
                    <w:tr2bl w:val="nil"/>
                  </w:tcBorders>
                  <w:shd w:val="clear" w:color="auto" w:fill="auto"/>
                  <w:vAlign w:val="center"/>
                </w:tcPr>
                <w:p w14:paraId="235237F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p>
              </w:tc>
              <w:tc>
                <w:tcPr>
                  <w:tcW w:w="807" w:type="pct"/>
                  <w:vMerge w:val="continue"/>
                  <w:tcBorders>
                    <w:tl2br w:val="nil"/>
                    <w:tr2bl w:val="nil"/>
                  </w:tcBorders>
                  <w:shd w:val="clear" w:color="auto" w:fill="auto"/>
                  <w:vAlign w:val="center"/>
                </w:tcPr>
                <w:p w14:paraId="1C8E6B9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p>
              </w:tc>
              <w:tc>
                <w:tcPr>
                  <w:tcW w:w="1163" w:type="pct"/>
                  <w:vMerge w:val="continue"/>
                  <w:tcBorders>
                    <w:tl2br w:val="nil"/>
                    <w:tr2bl w:val="nil"/>
                  </w:tcBorders>
                  <w:shd w:val="clear" w:color="auto" w:fill="auto"/>
                  <w:vAlign w:val="center"/>
                </w:tcPr>
                <w:p w14:paraId="468CF4C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p>
              </w:tc>
              <w:tc>
                <w:tcPr>
                  <w:tcW w:w="1164" w:type="pct"/>
                  <w:vMerge w:val="continue"/>
                  <w:tcBorders>
                    <w:tl2br w:val="nil"/>
                    <w:tr2bl w:val="nil"/>
                  </w:tcBorders>
                  <w:shd w:val="clear" w:color="auto" w:fill="auto"/>
                  <w:vAlign w:val="center"/>
                </w:tcPr>
                <w:p w14:paraId="2FA55DD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p>
              </w:tc>
              <w:tc>
                <w:tcPr>
                  <w:tcW w:w="967" w:type="pct"/>
                  <w:vMerge w:val="continue"/>
                  <w:tcBorders>
                    <w:tl2br w:val="nil"/>
                    <w:tr2bl w:val="nil"/>
                  </w:tcBorders>
                  <w:shd w:val="clear" w:color="auto" w:fill="auto"/>
                  <w:vAlign w:val="center"/>
                </w:tcPr>
                <w:p w14:paraId="22722BF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p>
              </w:tc>
            </w:tr>
            <w:tr w14:paraId="64A8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restart"/>
                  <w:tcBorders>
                    <w:tl2br w:val="nil"/>
                    <w:tr2bl w:val="nil"/>
                  </w:tcBorders>
                  <w:shd w:val="clear" w:color="auto" w:fill="auto"/>
                  <w:vAlign w:val="center"/>
                </w:tcPr>
                <w:p w14:paraId="3FB1143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东侧</w:t>
                  </w:r>
                </w:p>
              </w:tc>
              <w:tc>
                <w:tcPr>
                  <w:tcW w:w="807" w:type="pct"/>
                  <w:tcBorders>
                    <w:tl2br w:val="nil"/>
                    <w:tr2bl w:val="nil"/>
                  </w:tcBorders>
                  <w:shd w:val="clear" w:color="auto" w:fill="auto"/>
                  <w:vAlign w:val="center"/>
                </w:tcPr>
                <w:p w14:paraId="1927A82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昼间</w:t>
                  </w:r>
                </w:p>
              </w:tc>
              <w:tc>
                <w:tcPr>
                  <w:tcW w:w="1163" w:type="pct"/>
                  <w:tcBorders>
                    <w:tl2br w:val="nil"/>
                    <w:tr2bl w:val="nil"/>
                  </w:tcBorders>
                  <w:shd w:val="clear" w:color="auto" w:fill="auto"/>
                  <w:vAlign w:val="center"/>
                </w:tcPr>
                <w:p w14:paraId="55604DC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3</w:t>
                  </w:r>
                  <w:r>
                    <w:rPr>
                      <w:rFonts w:hint="default" w:ascii="Times New Roman" w:hAnsi="Times New Roman" w:cs="Times New Roman" w:eastAsiaTheme="minorEastAsia"/>
                      <w:color w:val="auto"/>
                      <w:sz w:val="21"/>
                      <w:szCs w:val="21"/>
                      <w:highlight w:val="none"/>
                      <w:lang w:val="en-US" w:eastAsia="zh-CN"/>
                    </w:rPr>
                    <w:t>5.11</w:t>
                  </w:r>
                </w:p>
              </w:tc>
              <w:tc>
                <w:tcPr>
                  <w:tcW w:w="1164" w:type="pct"/>
                  <w:tcBorders>
                    <w:tl2br w:val="nil"/>
                    <w:tr2bl w:val="nil"/>
                  </w:tcBorders>
                  <w:shd w:val="clear" w:color="auto" w:fill="auto"/>
                  <w:vAlign w:val="center"/>
                </w:tcPr>
                <w:p w14:paraId="3EAF1D3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6</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119D9E9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0786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continue"/>
                  <w:tcBorders>
                    <w:tl2br w:val="nil"/>
                    <w:tr2bl w:val="nil"/>
                  </w:tcBorders>
                  <w:shd w:val="clear" w:color="auto" w:fill="auto"/>
                  <w:vAlign w:val="center"/>
                </w:tcPr>
                <w:p w14:paraId="33F93A2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东侧</w:t>
                  </w:r>
                </w:p>
              </w:tc>
              <w:tc>
                <w:tcPr>
                  <w:tcW w:w="807" w:type="pct"/>
                  <w:tcBorders>
                    <w:tl2br w:val="nil"/>
                    <w:tr2bl w:val="nil"/>
                  </w:tcBorders>
                  <w:shd w:val="clear" w:color="auto" w:fill="auto"/>
                  <w:vAlign w:val="center"/>
                </w:tcPr>
                <w:p w14:paraId="0E2DF18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夜间</w:t>
                  </w:r>
                </w:p>
              </w:tc>
              <w:tc>
                <w:tcPr>
                  <w:tcW w:w="1163" w:type="pct"/>
                  <w:tcBorders>
                    <w:tl2br w:val="nil"/>
                    <w:tr2bl w:val="nil"/>
                  </w:tcBorders>
                  <w:shd w:val="clear" w:color="auto" w:fill="auto"/>
                  <w:vAlign w:val="center"/>
                </w:tcPr>
                <w:p w14:paraId="055CED9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w:t>
                  </w:r>
                </w:p>
              </w:tc>
              <w:tc>
                <w:tcPr>
                  <w:tcW w:w="1164" w:type="pct"/>
                  <w:tcBorders>
                    <w:tl2br w:val="nil"/>
                    <w:tr2bl w:val="nil"/>
                  </w:tcBorders>
                  <w:shd w:val="clear" w:color="auto" w:fill="auto"/>
                  <w:vAlign w:val="center"/>
                </w:tcPr>
                <w:p w14:paraId="6D2A39B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5</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0D93AC1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7398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restart"/>
                  <w:tcBorders>
                    <w:tl2br w:val="nil"/>
                    <w:tr2bl w:val="nil"/>
                  </w:tcBorders>
                  <w:shd w:val="clear" w:color="auto" w:fill="auto"/>
                  <w:vAlign w:val="center"/>
                </w:tcPr>
                <w:p w14:paraId="3915B9F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南侧</w:t>
                  </w:r>
                </w:p>
              </w:tc>
              <w:tc>
                <w:tcPr>
                  <w:tcW w:w="807" w:type="pct"/>
                  <w:tcBorders>
                    <w:tl2br w:val="nil"/>
                    <w:tr2bl w:val="nil"/>
                  </w:tcBorders>
                  <w:shd w:val="clear" w:color="auto" w:fill="auto"/>
                  <w:vAlign w:val="center"/>
                </w:tcPr>
                <w:p w14:paraId="5305A21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昼间</w:t>
                  </w:r>
                </w:p>
              </w:tc>
              <w:tc>
                <w:tcPr>
                  <w:tcW w:w="1163" w:type="pct"/>
                  <w:tcBorders>
                    <w:tl2br w:val="nil"/>
                    <w:tr2bl w:val="nil"/>
                  </w:tcBorders>
                  <w:shd w:val="clear" w:color="auto" w:fill="auto"/>
                  <w:vAlign w:val="center"/>
                </w:tcPr>
                <w:p w14:paraId="701DF4F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44.63</w:t>
                  </w:r>
                </w:p>
              </w:tc>
              <w:tc>
                <w:tcPr>
                  <w:tcW w:w="1164" w:type="pct"/>
                  <w:tcBorders>
                    <w:tl2br w:val="nil"/>
                    <w:tr2bl w:val="nil"/>
                  </w:tcBorders>
                  <w:shd w:val="clear" w:color="auto" w:fill="auto"/>
                  <w:vAlign w:val="center"/>
                </w:tcPr>
                <w:p w14:paraId="6FB1FFA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6</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5FC0127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2E8A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continue"/>
                  <w:tcBorders>
                    <w:tl2br w:val="nil"/>
                    <w:tr2bl w:val="nil"/>
                  </w:tcBorders>
                  <w:shd w:val="clear" w:color="auto" w:fill="auto"/>
                  <w:vAlign w:val="center"/>
                </w:tcPr>
                <w:p w14:paraId="01BABB2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南侧</w:t>
                  </w:r>
                </w:p>
              </w:tc>
              <w:tc>
                <w:tcPr>
                  <w:tcW w:w="807" w:type="pct"/>
                  <w:tcBorders>
                    <w:tl2br w:val="nil"/>
                    <w:tr2bl w:val="nil"/>
                  </w:tcBorders>
                  <w:shd w:val="clear" w:color="auto" w:fill="auto"/>
                  <w:vAlign w:val="center"/>
                </w:tcPr>
                <w:p w14:paraId="76DB911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夜间</w:t>
                  </w:r>
                </w:p>
              </w:tc>
              <w:tc>
                <w:tcPr>
                  <w:tcW w:w="1163" w:type="pct"/>
                  <w:tcBorders>
                    <w:tl2br w:val="nil"/>
                    <w:tr2bl w:val="nil"/>
                  </w:tcBorders>
                  <w:shd w:val="clear" w:color="auto" w:fill="auto"/>
                  <w:vAlign w:val="center"/>
                </w:tcPr>
                <w:p w14:paraId="7AE9E62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w:t>
                  </w:r>
                </w:p>
              </w:tc>
              <w:tc>
                <w:tcPr>
                  <w:tcW w:w="1164" w:type="pct"/>
                  <w:tcBorders>
                    <w:tl2br w:val="nil"/>
                    <w:tr2bl w:val="nil"/>
                  </w:tcBorders>
                  <w:shd w:val="clear" w:color="auto" w:fill="auto"/>
                  <w:vAlign w:val="center"/>
                </w:tcPr>
                <w:p w14:paraId="7C21B2E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5</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462D2F7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6E41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restart"/>
                  <w:tcBorders>
                    <w:tl2br w:val="nil"/>
                    <w:tr2bl w:val="nil"/>
                  </w:tcBorders>
                  <w:shd w:val="clear" w:color="auto" w:fill="auto"/>
                  <w:vAlign w:val="center"/>
                </w:tcPr>
                <w:p w14:paraId="63E6D41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西侧</w:t>
                  </w:r>
                </w:p>
              </w:tc>
              <w:tc>
                <w:tcPr>
                  <w:tcW w:w="807" w:type="pct"/>
                  <w:tcBorders>
                    <w:tl2br w:val="nil"/>
                    <w:tr2bl w:val="nil"/>
                  </w:tcBorders>
                  <w:shd w:val="clear" w:color="auto" w:fill="auto"/>
                  <w:vAlign w:val="center"/>
                </w:tcPr>
                <w:p w14:paraId="314709D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昼间</w:t>
                  </w:r>
                </w:p>
              </w:tc>
              <w:tc>
                <w:tcPr>
                  <w:tcW w:w="1163" w:type="pct"/>
                  <w:tcBorders>
                    <w:tl2br w:val="nil"/>
                    <w:tr2bl w:val="nil"/>
                  </w:tcBorders>
                  <w:shd w:val="clear" w:color="auto" w:fill="auto"/>
                  <w:vAlign w:val="center"/>
                </w:tcPr>
                <w:p w14:paraId="203E903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41.17</w:t>
                  </w:r>
                </w:p>
              </w:tc>
              <w:tc>
                <w:tcPr>
                  <w:tcW w:w="1164" w:type="pct"/>
                  <w:tcBorders>
                    <w:tl2br w:val="nil"/>
                    <w:tr2bl w:val="nil"/>
                  </w:tcBorders>
                  <w:shd w:val="clear" w:color="auto" w:fill="auto"/>
                  <w:vAlign w:val="center"/>
                </w:tcPr>
                <w:p w14:paraId="7E78EFA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6</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12EFDF6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1728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896" w:type="pct"/>
                  <w:vMerge w:val="continue"/>
                  <w:tcBorders>
                    <w:tl2br w:val="nil"/>
                    <w:tr2bl w:val="nil"/>
                  </w:tcBorders>
                  <w:shd w:val="clear" w:color="auto" w:fill="auto"/>
                  <w:vAlign w:val="center"/>
                </w:tcPr>
                <w:p w14:paraId="37A63FD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西侧</w:t>
                  </w:r>
                </w:p>
              </w:tc>
              <w:tc>
                <w:tcPr>
                  <w:tcW w:w="807" w:type="pct"/>
                  <w:tcBorders>
                    <w:tl2br w:val="nil"/>
                    <w:tr2bl w:val="nil"/>
                  </w:tcBorders>
                  <w:shd w:val="clear" w:color="auto" w:fill="auto"/>
                  <w:vAlign w:val="center"/>
                </w:tcPr>
                <w:p w14:paraId="53DE844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夜间</w:t>
                  </w:r>
                </w:p>
              </w:tc>
              <w:tc>
                <w:tcPr>
                  <w:tcW w:w="1163" w:type="pct"/>
                  <w:tcBorders>
                    <w:tl2br w:val="nil"/>
                    <w:tr2bl w:val="nil"/>
                  </w:tcBorders>
                  <w:shd w:val="clear" w:color="auto" w:fill="auto"/>
                  <w:vAlign w:val="center"/>
                </w:tcPr>
                <w:p w14:paraId="3C0FBF8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w:t>
                  </w:r>
                </w:p>
              </w:tc>
              <w:tc>
                <w:tcPr>
                  <w:tcW w:w="1164" w:type="pct"/>
                  <w:tcBorders>
                    <w:tl2br w:val="nil"/>
                    <w:tr2bl w:val="nil"/>
                  </w:tcBorders>
                  <w:shd w:val="clear" w:color="auto" w:fill="auto"/>
                  <w:vAlign w:val="center"/>
                </w:tcPr>
                <w:p w14:paraId="21971B2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5</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4C3EB41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41FB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236" w:hRule="atLeast"/>
                <w:jc w:val="center"/>
              </w:trPr>
              <w:tc>
                <w:tcPr>
                  <w:tcW w:w="896" w:type="pct"/>
                  <w:vMerge w:val="restart"/>
                  <w:tcBorders>
                    <w:tl2br w:val="nil"/>
                    <w:tr2bl w:val="nil"/>
                  </w:tcBorders>
                  <w:shd w:val="clear" w:color="auto" w:fill="auto"/>
                  <w:vAlign w:val="center"/>
                </w:tcPr>
                <w:p w14:paraId="269E3A7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北侧</w:t>
                  </w:r>
                </w:p>
              </w:tc>
              <w:tc>
                <w:tcPr>
                  <w:tcW w:w="807" w:type="pct"/>
                  <w:tcBorders>
                    <w:tl2br w:val="nil"/>
                    <w:tr2bl w:val="nil"/>
                  </w:tcBorders>
                  <w:shd w:val="clear" w:color="auto" w:fill="auto"/>
                  <w:vAlign w:val="center"/>
                </w:tcPr>
                <w:p w14:paraId="6DC1449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昼间</w:t>
                  </w:r>
                </w:p>
              </w:tc>
              <w:tc>
                <w:tcPr>
                  <w:tcW w:w="1163" w:type="pct"/>
                  <w:tcBorders>
                    <w:tl2br w:val="nil"/>
                    <w:tr2bl w:val="nil"/>
                  </w:tcBorders>
                  <w:shd w:val="clear" w:color="auto" w:fill="auto"/>
                  <w:vAlign w:val="center"/>
                </w:tcPr>
                <w:p w14:paraId="399514D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52.94</w:t>
                  </w:r>
                </w:p>
              </w:tc>
              <w:tc>
                <w:tcPr>
                  <w:tcW w:w="1164" w:type="pct"/>
                  <w:tcBorders>
                    <w:tl2br w:val="nil"/>
                    <w:tr2bl w:val="nil"/>
                  </w:tcBorders>
                  <w:shd w:val="clear" w:color="auto" w:fill="auto"/>
                  <w:vAlign w:val="center"/>
                </w:tcPr>
                <w:p w14:paraId="489260A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6</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52AF3DA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r w14:paraId="3B09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6" w:hRule="atLeast"/>
                <w:jc w:val="center"/>
              </w:trPr>
              <w:tc>
                <w:tcPr>
                  <w:tcW w:w="896" w:type="pct"/>
                  <w:vMerge w:val="continue"/>
                  <w:tcBorders>
                    <w:tl2br w:val="nil"/>
                    <w:tr2bl w:val="nil"/>
                  </w:tcBorders>
                  <w:shd w:val="clear" w:color="auto" w:fill="auto"/>
                  <w:vAlign w:val="center"/>
                </w:tcPr>
                <w:p w14:paraId="1C7DF43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北侧</w:t>
                  </w:r>
                </w:p>
              </w:tc>
              <w:tc>
                <w:tcPr>
                  <w:tcW w:w="807" w:type="pct"/>
                  <w:tcBorders>
                    <w:tl2br w:val="nil"/>
                    <w:tr2bl w:val="nil"/>
                  </w:tcBorders>
                  <w:shd w:val="clear" w:color="auto" w:fill="auto"/>
                  <w:vAlign w:val="center"/>
                </w:tcPr>
                <w:p w14:paraId="6C9536E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夜间</w:t>
                  </w:r>
                </w:p>
              </w:tc>
              <w:tc>
                <w:tcPr>
                  <w:tcW w:w="1163" w:type="pct"/>
                  <w:tcBorders>
                    <w:tl2br w:val="nil"/>
                    <w:tr2bl w:val="nil"/>
                  </w:tcBorders>
                  <w:shd w:val="clear" w:color="auto" w:fill="auto"/>
                  <w:vAlign w:val="center"/>
                </w:tcPr>
                <w:p w14:paraId="780B959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w:t>
                  </w:r>
                </w:p>
              </w:tc>
              <w:tc>
                <w:tcPr>
                  <w:tcW w:w="1164" w:type="pct"/>
                  <w:tcBorders>
                    <w:tl2br w:val="nil"/>
                    <w:tr2bl w:val="nil"/>
                  </w:tcBorders>
                  <w:shd w:val="clear" w:color="auto" w:fill="auto"/>
                  <w:vAlign w:val="center"/>
                </w:tcPr>
                <w:p w14:paraId="6BDB200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5</w:t>
                  </w:r>
                  <w:r>
                    <w:rPr>
                      <w:rFonts w:hint="default" w:ascii="Times New Roman" w:hAnsi="Times New Roman" w:cs="Times New Roman" w:eastAsiaTheme="minorEastAsia"/>
                      <w:color w:val="auto"/>
                      <w:sz w:val="21"/>
                      <w:szCs w:val="21"/>
                      <w:highlight w:val="none"/>
                      <w:lang w:val="en-US" w:eastAsia="zh-CN"/>
                    </w:rPr>
                    <w:t>5</w:t>
                  </w:r>
                </w:p>
              </w:tc>
              <w:tc>
                <w:tcPr>
                  <w:tcW w:w="967" w:type="pct"/>
                  <w:tcBorders>
                    <w:tl2br w:val="nil"/>
                    <w:tr2bl w:val="nil"/>
                  </w:tcBorders>
                  <w:shd w:val="clear" w:color="auto" w:fill="auto"/>
                  <w:vAlign w:val="center"/>
                </w:tcPr>
                <w:p w14:paraId="1AC97DB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达标</w:t>
                  </w:r>
                </w:p>
              </w:tc>
            </w:tr>
          </w:tbl>
          <w:p w14:paraId="106A7A48">
            <w:pPr>
              <w:pStyle w:val="57"/>
              <w:keepNext w:val="0"/>
              <w:keepLines w:val="0"/>
              <w:pageBreakBefore w:val="0"/>
              <w:widowControl/>
              <w:kinsoku/>
              <w:wordWrap/>
              <w:overflowPunct/>
              <w:topLinePunct w:val="0"/>
              <w:autoSpaceDE w:val="0"/>
              <w:autoSpaceDN w:val="0"/>
              <w:bidi w:val="0"/>
              <w:adjustRightInd w:val="0"/>
              <w:snapToGrid w:val="0"/>
              <w:spacing w:before="0" w:beforeLines="50"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项目营运后，项目边界噪声水平可满足《工业企业厂界噪声排放标准》（GB12348-2008）</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类标准限值要求，噪声对外环境影响较小。</w:t>
            </w:r>
          </w:p>
          <w:p w14:paraId="0906B1C1">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为进一步降低噪声影响，通过选用低噪声设备，并设置减振垫，设置围墙阻隔等措施，使区域内的噪声降到最低值。</w:t>
            </w:r>
          </w:p>
          <w:p w14:paraId="0E85360C">
            <w:pPr>
              <w:pStyle w:val="56"/>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2"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三</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防治措施</w:t>
            </w:r>
          </w:p>
          <w:p w14:paraId="760356E7">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为有效减少生产设备对厂区职工的影响，建议建设方采取如下措施：</w:t>
            </w:r>
          </w:p>
          <w:p w14:paraId="4759DF0D">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在设备选型时优先选择高效、低噪声设备，做好设备的安装调试，同时加强营运期间对各种机械的维修保养，保持其良好的运行效果；</w:t>
            </w:r>
          </w:p>
          <w:p w14:paraId="6B973B4D">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车间内高噪声设备合理分布，避免集中放置。</w:t>
            </w:r>
          </w:p>
          <w:p w14:paraId="6E53C856">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建议建设单位合理安排工序，避免高噪声设备同时使用，把噪声影响降低在最低限度；</w:t>
            </w:r>
          </w:p>
          <w:p w14:paraId="54885F8B">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在生产车间外面种植绿化带</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面积为500m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w:t>
            </w:r>
          </w:p>
          <w:p w14:paraId="15EE6A40">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声源控制：高噪声设备加装减振垫，引风机安装消声器，避免设备振动而引起的噪声值增加；加强设备保养维护，避免因设备、风机故障产生高噪声。</w:t>
            </w:r>
          </w:p>
          <w:p w14:paraId="3F3220B2">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本项目的高噪声设备经上述防治措施和距离传播的衰减后，项目厂界噪声可达到《工业企业厂界环境噪声排放标准》（GB12348-2008）</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类标准，即昼间≤6</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，夜间≤5</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，对声环境影响轻微。</w:t>
            </w:r>
          </w:p>
          <w:p w14:paraId="6393BC7D">
            <w:pPr>
              <w:pStyle w:val="56"/>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2"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四</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噪声监测方案</w:t>
            </w:r>
          </w:p>
          <w:p w14:paraId="410F8B6D">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val="0"/>
                <w:color w:val="auto"/>
                <w:kern w:val="0"/>
                <w:sz w:val="24"/>
                <w:szCs w:val="24"/>
                <w:highlight w:val="none"/>
                <w:lang w:val="en-US" w:eastAsia="zh-CN" w:bidi="ar"/>
              </w:rPr>
              <w:t>根据《排污企业自行监测技术规范</w:t>
            </w:r>
            <w:r>
              <w:rPr>
                <w:rFonts w:hint="eastAsia" w:ascii="Times New Roman" w:hAnsi="Times New Roman" w:eastAsia="宋体" w:cs="Times New Roman"/>
                <w:snapToGrid w:val="0"/>
                <w:color w:val="auto"/>
                <w:kern w:val="0"/>
                <w:sz w:val="24"/>
                <w:szCs w:val="24"/>
                <w:highlight w:val="none"/>
                <w:lang w:val="en-US" w:eastAsia="zh-CN" w:bidi="ar"/>
              </w:rPr>
              <w:t xml:space="preserve"> 总则</w:t>
            </w:r>
            <w:r>
              <w:rPr>
                <w:rFonts w:hint="default" w:ascii="Times New Roman" w:hAnsi="Times New Roman" w:eastAsia="宋体" w:cs="Times New Roman"/>
                <w:snapToGrid w:val="0"/>
                <w:color w:val="auto"/>
                <w:kern w:val="0"/>
                <w:sz w:val="24"/>
                <w:szCs w:val="24"/>
                <w:highlight w:val="none"/>
                <w:lang w:val="en-US" w:eastAsia="zh-CN" w:bidi="ar"/>
              </w:rPr>
              <w:t>》</w:t>
            </w:r>
            <w:r>
              <w:rPr>
                <w:rFonts w:hint="default" w:ascii="Times New Roman" w:hAnsi="Times New Roman" w:eastAsia="宋体" w:cs="Times New Roman"/>
                <w:color w:val="auto"/>
                <w:spacing w:val="0"/>
                <w:sz w:val="24"/>
                <w:szCs w:val="24"/>
                <w:highlight w:val="none"/>
                <w:lang w:val="en-US" w:eastAsia="zh-CN"/>
              </w:rPr>
              <w:t>（HJ819-2017）</w:t>
            </w:r>
            <w:r>
              <w:rPr>
                <w:rFonts w:hint="default" w:ascii="Times New Roman" w:hAnsi="Times New Roman" w:eastAsia="宋体" w:cs="Times New Roman"/>
                <w:color w:val="auto"/>
                <w:sz w:val="24"/>
                <w:szCs w:val="24"/>
                <w:highlight w:val="none"/>
              </w:rPr>
              <w:t>噪声监测方案见表4-</w:t>
            </w:r>
            <w:r>
              <w:rPr>
                <w:rFonts w:hint="default" w:ascii="Times New Roman" w:hAnsi="Times New Roman" w:eastAsia="宋体" w:cs="Times New Roman"/>
                <w:color w:val="auto"/>
                <w:sz w:val="24"/>
                <w:szCs w:val="24"/>
                <w:highlight w:val="none"/>
                <w:lang w:val="en-US" w:eastAsia="zh-CN"/>
              </w:rPr>
              <w:t>14</w:t>
            </w:r>
          </w:p>
          <w:p w14:paraId="2863FE21">
            <w:pPr>
              <w:pStyle w:val="53"/>
              <w:keepNext w:val="0"/>
              <w:keepLines w:val="0"/>
              <w:pageBreakBefore w:val="0"/>
              <w:kinsoku/>
              <w:wordWrap/>
              <w:overflowPunct/>
              <w:topLinePunct w:val="0"/>
              <w:bidi w:val="0"/>
              <w:adjustRightInd w:val="0"/>
              <w:snapToGrid w:val="0"/>
              <w:spacing w:before="0" w:beforeAutospacing="0" w:afterAutospacing="0" w:line="360" w:lineRule="auto"/>
              <w:ind w:left="0" w:leftChars="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表4-</w:t>
            </w:r>
            <w:r>
              <w:rPr>
                <w:rFonts w:hint="default" w:ascii="Times New Roman" w:hAnsi="Times New Roman" w:eastAsia="宋体" w:cs="Times New Roman"/>
                <w:color w:val="auto"/>
                <w:sz w:val="21"/>
                <w:szCs w:val="21"/>
                <w:highlight w:val="none"/>
                <w:lang w:val="en-US" w:eastAsia="zh-CN"/>
              </w:rPr>
              <w:t>14</w:t>
            </w:r>
            <w:r>
              <w:rPr>
                <w:rFonts w:hint="default" w:ascii="Times New Roman" w:hAnsi="Times New Roman" w:eastAsia="宋体" w:cs="Times New Roman"/>
                <w:color w:val="auto"/>
                <w:sz w:val="21"/>
                <w:szCs w:val="21"/>
                <w:highlight w:val="none"/>
              </w:rPr>
              <w:t xml:space="preserve">   噪声监测方案</w:t>
            </w:r>
          </w:p>
          <w:tbl>
            <w:tblPr>
              <w:tblStyle w:val="29"/>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9"/>
              <w:gridCol w:w="1290"/>
              <w:gridCol w:w="1242"/>
              <w:gridCol w:w="3179"/>
            </w:tblGrid>
            <w:tr w14:paraId="3B17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pct"/>
                  <w:tcBorders>
                    <w:tl2br w:val="nil"/>
                    <w:tr2bl w:val="nil"/>
                  </w:tcBorders>
                  <w:shd w:val="clear" w:color="auto" w:fill="auto"/>
                  <w:vAlign w:val="center"/>
                </w:tcPr>
                <w:p w14:paraId="6E3E3B1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监测点位</w:t>
                  </w:r>
                </w:p>
              </w:tc>
              <w:tc>
                <w:tcPr>
                  <w:tcW w:w="756" w:type="pct"/>
                  <w:tcBorders>
                    <w:tl2br w:val="nil"/>
                    <w:tr2bl w:val="nil"/>
                  </w:tcBorders>
                  <w:shd w:val="clear" w:color="auto" w:fill="auto"/>
                  <w:vAlign w:val="center"/>
                </w:tcPr>
                <w:p w14:paraId="7632F16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监测内容</w:t>
                  </w:r>
                </w:p>
              </w:tc>
              <w:tc>
                <w:tcPr>
                  <w:tcW w:w="728" w:type="pct"/>
                  <w:tcBorders>
                    <w:tl2br w:val="nil"/>
                    <w:tr2bl w:val="nil"/>
                  </w:tcBorders>
                  <w:shd w:val="clear" w:color="auto" w:fill="auto"/>
                  <w:vAlign w:val="center"/>
                </w:tcPr>
                <w:p w14:paraId="23B29B9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监测频次</w:t>
                  </w:r>
                </w:p>
              </w:tc>
              <w:tc>
                <w:tcPr>
                  <w:tcW w:w="1863" w:type="pct"/>
                  <w:tcBorders>
                    <w:tl2br w:val="nil"/>
                    <w:tr2bl w:val="nil"/>
                  </w:tcBorders>
                  <w:shd w:val="clear" w:color="auto" w:fill="auto"/>
                  <w:vAlign w:val="center"/>
                </w:tcPr>
                <w:p w14:paraId="6DCF1A7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执行标准</w:t>
                  </w:r>
                </w:p>
              </w:tc>
            </w:tr>
            <w:tr w14:paraId="5750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pct"/>
                  <w:tcBorders>
                    <w:tl2br w:val="nil"/>
                    <w:tr2bl w:val="nil"/>
                  </w:tcBorders>
                  <w:shd w:val="clear" w:color="auto" w:fill="auto"/>
                  <w:vAlign w:val="center"/>
                </w:tcPr>
                <w:p w14:paraId="049D737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厂界东西南北侧各1个点位</w:t>
                  </w:r>
                </w:p>
              </w:tc>
              <w:tc>
                <w:tcPr>
                  <w:tcW w:w="756" w:type="pct"/>
                  <w:tcBorders>
                    <w:tl2br w:val="nil"/>
                    <w:tr2bl w:val="nil"/>
                  </w:tcBorders>
                  <w:shd w:val="clear" w:color="auto" w:fill="auto"/>
                  <w:vAlign w:val="center"/>
                </w:tcPr>
                <w:p w14:paraId="5435F3D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728" w:type="pct"/>
                  <w:tcBorders>
                    <w:tl2br w:val="nil"/>
                    <w:tr2bl w:val="nil"/>
                  </w:tcBorders>
                  <w:shd w:val="clear" w:color="auto" w:fill="auto"/>
                  <w:vAlign w:val="center"/>
                </w:tcPr>
                <w:p w14:paraId="52B5979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1次/季度</w:t>
                  </w:r>
                </w:p>
              </w:tc>
              <w:tc>
                <w:tcPr>
                  <w:tcW w:w="1863" w:type="pct"/>
                  <w:tcBorders>
                    <w:tl2br w:val="nil"/>
                    <w:tr2bl w:val="nil"/>
                  </w:tcBorders>
                  <w:shd w:val="clear" w:color="auto" w:fill="auto"/>
                  <w:vAlign w:val="center"/>
                </w:tcPr>
                <w:p w14:paraId="12ECE39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《工业企业厂界环境噪声排放标准》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GB12348-2008</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w:t>
                  </w:r>
                </w:p>
              </w:tc>
            </w:tr>
          </w:tbl>
          <w:p w14:paraId="03CE74A5">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50" w:after="0" w:afterLines="0" w:line="360" w:lineRule="auto"/>
              <w:textAlignment w:val="auto"/>
              <w:outlineLvl w:val="1"/>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四、</w:t>
            </w:r>
            <w:r>
              <w:rPr>
                <w:rFonts w:hint="default" w:ascii="Times New Roman" w:hAnsi="Times New Roman" w:eastAsia="宋体" w:cs="Times New Roman"/>
                <w:color w:val="auto"/>
                <w:spacing w:val="0"/>
                <w:position w:val="0"/>
                <w:sz w:val="24"/>
                <w:szCs w:val="24"/>
                <w:highlight w:val="none"/>
              </w:rPr>
              <w:t>固体废物影响分析</w:t>
            </w:r>
          </w:p>
          <w:p w14:paraId="7543B4F4">
            <w:pPr>
              <w:pageBreakBefore w:val="0"/>
              <w:widowControl w:val="0"/>
              <w:kinsoku/>
              <w:wordWrap/>
              <w:overflowPunct/>
              <w:topLinePunct/>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b/>
                <w:bCs/>
                <w:color w:val="auto"/>
                <w:spacing w:val="0"/>
                <w:sz w:val="24"/>
                <w:szCs w:val="24"/>
                <w:highlight w:val="none"/>
                <w:lang w:val="en-US" w:eastAsia="zh-CN"/>
              </w:rPr>
            </w:pPr>
            <w:r>
              <w:rPr>
                <w:rFonts w:hint="default" w:ascii="Times New Roman" w:hAnsi="Times New Roman" w:cs="Times New Roman" w:eastAsiaTheme="minorEastAsia"/>
                <w:b/>
                <w:bCs/>
                <w:color w:val="auto"/>
                <w:spacing w:val="0"/>
                <w:sz w:val="24"/>
                <w:szCs w:val="24"/>
                <w:highlight w:val="none"/>
                <w:lang w:val="en-US" w:eastAsia="zh-CN"/>
              </w:rPr>
              <w:t>（一）固废源强核算</w:t>
            </w:r>
          </w:p>
          <w:p w14:paraId="6EEEB3E9">
            <w:pPr>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auto"/>
                <w:spacing w:val="0"/>
                <w:sz w:val="24"/>
                <w:szCs w:val="24"/>
                <w:highlight w:val="none"/>
                <w:lang w:val="en-US" w:eastAsia="zh-CN"/>
              </w:rPr>
            </w:pPr>
            <w:r>
              <w:rPr>
                <w:rFonts w:hint="default" w:ascii="Times New Roman" w:hAnsi="Times New Roman" w:cs="Times New Roman" w:eastAsiaTheme="minorEastAsia"/>
                <w:color w:val="auto"/>
                <w:spacing w:val="0"/>
                <w:sz w:val="24"/>
                <w:szCs w:val="24"/>
                <w:highlight w:val="none"/>
                <w:lang w:val="en-US" w:eastAsia="zh-CN"/>
              </w:rPr>
              <w:t>项目运行期固体废物主要为生活垃圾、一般固体废物和危险废物。</w:t>
            </w:r>
          </w:p>
          <w:p w14:paraId="0CADEFD8">
            <w:pPr>
              <w:pageBreakBefore w:val="0"/>
              <w:widowControl w:val="0"/>
              <w:kinsoku/>
              <w:wordWrap/>
              <w:overflowPunct/>
              <w:topLinePunct/>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val="0"/>
                <w:color w:val="auto"/>
                <w:spacing w:val="0"/>
                <w:position w:val="0"/>
                <w:sz w:val="24"/>
                <w:highlight w:val="none"/>
                <w:lang w:eastAsia="zh-CN"/>
              </w:rPr>
            </w:pPr>
            <w:r>
              <w:rPr>
                <w:rFonts w:hint="default" w:ascii="Times New Roman" w:hAnsi="Times New Roman" w:eastAsia="宋体" w:cs="Times New Roman"/>
                <w:b/>
                <w:bCs w:val="0"/>
                <w:color w:val="auto"/>
                <w:spacing w:val="0"/>
                <w:position w:val="0"/>
                <w:sz w:val="24"/>
                <w:highlight w:val="none"/>
                <w:lang w:val="en-US" w:eastAsia="zh-CN"/>
              </w:rPr>
              <w:t>1.生活垃圾</w:t>
            </w:r>
          </w:p>
          <w:p w14:paraId="0997E93C">
            <w:pPr>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pacing w:val="0"/>
                <w:position w:val="0"/>
                <w:sz w:val="24"/>
                <w:highlight w:val="none"/>
                <w:lang w:eastAsia="zh-CN"/>
              </w:rPr>
            </w:pPr>
            <w:r>
              <w:rPr>
                <w:rFonts w:hint="default" w:ascii="Times New Roman" w:hAnsi="Times New Roman" w:eastAsia="宋体" w:cs="Times New Roman"/>
                <w:bCs/>
                <w:color w:val="auto"/>
                <w:spacing w:val="0"/>
                <w:position w:val="0"/>
                <w:sz w:val="24"/>
                <w:highlight w:val="none"/>
              </w:rPr>
              <w:t>本项目</w:t>
            </w:r>
            <w:r>
              <w:rPr>
                <w:rFonts w:hint="default" w:ascii="Times New Roman" w:hAnsi="Times New Roman" w:eastAsia="宋体" w:cs="Times New Roman"/>
                <w:bCs/>
                <w:color w:val="auto"/>
                <w:spacing w:val="0"/>
                <w:position w:val="0"/>
                <w:sz w:val="24"/>
                <w:highlight w:val="none"/>
                <w:lang w:eastAsia="zh-CN"/>
              </w:rPr>
              <w:t>劳动定员</w:t>
            </w:r>
            <w:r>
              <w:rPr>
                <w:rFonts w:hint="default" w:ascii="Times New Roman" w:hAnsi="Times New Roman" w:eastAsia="宋体" w:cs="Times New Roman"/>
                <w:bCs/>
                <w:color w:val="auto"/>
                <w:spacing w:val="0"/>
                <w:position w:val="0"/>
                <w:sz w:val="24"/>
                <w:highlight w:val="none"/>
                <w:lang w:val="en-US" w:eastAsia="zh-CN"/>
              </w:rPr>
              <w:t>13</w:t>
            </w:r>
            <w:r>
              <w:rPr>
                <w:rFonts w:hint="default" w:ascii="Times New Roman" w:hAnsi="Times New Roman" w:eastAsia="宋体" w:cs="Times New Roman"/>
                <w:bCs/>
                <w:color w:val="auto"/>
                <w:spacing w:val="0"/>
                <w:position w:val="0"/>
                <w:sz w:val="24"/>
                <w:highlight w:val="none"/>
              </w:rPr>
              <w:t>人，按照每人每天产生1kg垃圾计算，则本项目产生垃圾量为</w:t>
            </w:r>
            <w:r>
              <w:rPr>
                <w:rFonts w:hint="default" w:ascii="Times New Roman" w:hAnsi="Times New Roman" w:eastAsia="宋体" w:cs="Times New Roman"/>
                <w:bCs/>
                <w:color w:val="auto"/>
                <w:spacing w:val="0"/>
                <w:position w:val="0"/>
                <w:sz w:val="24"/>
                <w:highlight w:val="none"/>
                <w:lang w:val="en-US" w:eastAsia="zh-CN"/>
              </w:rPr>
              <w:t>0.013t</w:t>
            </w:r>
            <w:r>
              <w:rPr>
                <w:rFonts w:hint="default" w:ascii="Times New Roman" w:hAnsi="Times New Roman" w:eastAsia="宋体" w:cs="Times New Roman"/>
                <w:bCs/>
                <w:color w:val="auto"/>
                <w:spacing w:val="0"/>
                <w:position w:val="0"/>
                <w:sz w:val="24"/>
                <w:highlight w:val="none"/>
              </w:rPr>
              <w:t>/d（</w:t>
            </w:r>
            <w:r>
              <w:rPr>
                <w:rFonts w:hint="default" w:ascii="Times New Roman" w:hAnsi="Times New Roman" w:eastAsia="宋体" w:cs="Times New Roman"/>
                <w:bCs/>
                <w:color w:val="auto"/>
                <w:spacing w:val="0"/>
                <w:position w:val="0"/>
                <w:sz w:val="24"/>
                <w:highlight w:val="none"/>
                <w:lang w:val="en-US" w:eastAsia="zh-CN"/>
              </w:rPr>
              <w:t>3.9</w:t>
            </w:r>
            <w:r>
              <w:rPr>
                <w:rFonts w:hint="default" w:ascii="Times New Roman" w:hAnsi="Times New Roman" w:eastAsia="宋体" w:cs="Times New Roman"/>
                <w:bCs/>
                <w:color w:val="auto"/>
                <w:spacing w:val="0"/>
                <w:position w:val="0"/>
                <w:sz w:val="24"/>
                <w:highlight w:val="none"/>
              </w:rPr>
              <w:t>t/a）</w:t>
            </w:r>
            <w:r>
              <w:rPr>
                <w:rFonts w:hint="default" w:ascii="Times New Roman" w:hAnsi="Times New Roman" w:eastAsia="宋体" w:cs="Times New Roman"/>
                <w:bCs/>
                <w:color w:val="auto"/>
                <w:spacing w:val="0"/>
                <w:position w:val="0"/>
                <w:sz w:val="24"/>
                <w:highlight w:val="none"/>
                <w:lang w:eastAsia="zh-CN"/>
              </w:rPr>
              <w:t>，</w:t>
            </w:r>
            <w:r>
              <w:rPr>
                <w:rFonts w:hint="default" w:ascii="Times New Roman" w:hAnsi="Times New Roman" w:cs="Times New Roman" w:eastAsiaTheme="minorEastAsia"/>
                <w:color w:val="auto"/>
                <w:spacing w:val="0"/>
                <w:sz w:val="24"/>
                <w:szCs w:val="24"/>
                <w:highlight w:val="none"/>
                <w:lang w:val="en-US" w:eastAsia="zh-CN"/>
              </w:rPr>
              <w:t>生活垃圾在厂区内定点收集后，由环卫部门指定点集中处置</w:t>
            </w:r>
            <w:r>
              <w:rPr>
                <w:rFonts w:hint="default" w:ascii="Times New Roman" w:hAnsi="Times New Roman" w:eastAsia="宋体" w:cs="Times New Roman"/>
                <w:bCs/>
                <w:color w:val="auto"/>
                <w:spacing w:val="0"/>
                <w:position w:val="0"/>
                <w:sz w:val="24"/>
                <w:highlight w:val="none"/>
                <w:lang w:eastAsia="zh-CN"/>
              </w:rPr>
              <w:t>。</w:t>
            </w:r>
          </w:p>
          <w:p w14:paraId="2810FBAD">
            <w:pPr>
              <w:pStyle w:val="6"/>
              <w:keepNext/>
              <w:keepLines/>
              <w:pageBreakBefore w:val="0"/>
              <w:widowControl w:val="0"/>
              <w:numPr>
                <w:ilvl w:val="0"/>
                <w:numId w:val="0"/>
              </w:numPr>
              <w:kinsoku/>
              <w:wordWrap/>
              <w:overflowPunct/>
              <w:topLinePunct w:val="0"/>
              <w:autoSpaceDE/>
              <w:autoSpaceDN/>
              <w:bidi w:val="0"/>
              <w:adjustRightInd w:val="0"/>
              <w:snapToGrid w:val="0"/>
              <w:spacing w:before="0" w:after="0" w:line="360" w:lineRule="auto"/>
              <w:ind w:leftChars="200"/>
              <w:textAlignment w:val="auto"/>
              <w:rPr>
                <w:rFonts w:hint="default" w:ascii="Times New Roman" w:hAnsi="Times New Roman" w:cs="Times New Roman" w:eastAsiaTheme="minorEastAsia"/>
                <w:b/>
                <w:bCs/>
                <w:color w:val="auto"/>
                <w:spacing w:val="0"/>
                <w:sz w:val="24"/>
                <w:szCs w:val="24"/>
                <w:highlight w:val="none"/>
                <w:lang w:val="en-US" w:eastAsia="zh-CN"/>
              </w:rPr>
            </w:pPr>
            <w:r>
              <w:rPr>
                <w:rFonts w:hint="default" w:ascii="Times New Roman" w:hAnsi="Times New Roman" w:cs="Times New Roman" w:eastAsiaTheme="minorEastAsia"/>
                <w:b/>
                <w:bCs/>
                <w:color w:val="auto"/>
                <w:spacing w:val="0"/>
                <w:sz w:val="24"/>
                <w:szCs w:val="24"/>
                <w:highlight w:val="none"/>
                <w:lang w:val="en-US" w:eastAsia="zh-CN"/>
              </w:rPr>
              <w:t>2.一般固体废物</w:t>
            </w:r>
          </w:p>
          <w:p w14:paraId="7C5CB99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一般工业固废主要为废包装材料、金属边角料。</w:t>
            </w:r>
          </w:p>
          <w:p w14:paraId="1B94A3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①废包装材料：主要由纸箱、编织袋等组成，本项目建成后全厂产生量约</w:t>
            </w:r>
            <w:r>
              <w:rPr>
                <w:rFonts w:hint="eastAsia" w:ascii="Times New Roman" w:hAnsi="Times New Roman" w:cs="Times New Roman" w:eastAsiaTheme="minorEastAsia"/>
                <w:b w:val="0"/>
                <w:bCs w:val="0"/>
                <w:color w:val="auto"/>
                <w:kern w:val="2"/>
                <w:sz w:val="24"/>
                <w:szCs w:val="24"/>
                <w:highlight w:val="none"/>
                <w:lang w:val="en-US" w:eastAsia="zh-CN" w:bidi="ar-SA"/>
              </w:rPr>
              <w:t>1.594</w:t>
            </w:r>
            <w:r>
              <w:rPr>
                <w:rFonts w:hint="default" w:ascii="Times New Roman" w:hAnsi="Times New Roman" w:cs="Times New Roman" w:eastAsiaTheme="minorEastAsia"/>
                <w:b w:val="0"/>
                <w:bCs w:val="0"/>
                <w:color w:val="auto"/>
                <w:kern w:val="2"/>
                <w:sz w:val="24"/>
                <w:szCs w:val="24"/>
                <w:highlight w:val="none"/>
                <w:lang w:val="en-US" w:eastAsia="zh-CN" w:bidi="ar-SA"/>
              </w:rPr>
              <w:t>t/a，</w:t>
            </w:r>
            <w:r>
              <w:rPr>
                <w:rFonts w:hint="eastAsia" w:ascii="Times New Roman" w:hAnsi="Times New Roman" w:cs="Times New Roman" w:eastAsiaTheme="minorEastAsia"/>
                <w:b w:val="0"/>
                <w:bCs w:val="0"/>
                <w:color w:val="auto"/>
                <w:kern w:val="2"/>
                <w:sz w:val="24"/>
                <w:szCs w:val="24"/>
                <w:highlight w:val="none"/>
                <w:lang w:val="en-US" w:eastAsia="zh-CN" w:bidi="ar-SA"/>
              </w:rPr>
              <w:t>废物种类：</w:t>
            </w:r>
            <w:r>
              <w:rPr>
                <w:rFonts w:hint="default" w:ascii="Times New Roman" w:hAnsi="Times New Roman" w:cs="Times New Roman" w:eastAsiaTheme="minorEastAsia"/>
                <w:b w:val="0"/>
                <w:bCs w:val="0"/>
                <w:color w:val="auto"/>
                <w:kern w:val="2"/>
                <w:sz w:val="24"/>
                <w:szCs w:val="24"/>
                <w:highlight w:val="none"/>
                <w:lang w:val="en-US" w:eastAsia="zh-CN" w:bidi="ar-SA"/>
              </w:rPr>
              <w:t>SW17</w:t>
            </w:r>
            <w:r>
              <w:rPr>
                <w:rFonts w:hint="eastAsia" w:ascii="Times New Roman" w:hAnsi="Times New Roman" w:cs="Times New Roman" w:eastAsiaTheme="minorEastAsia"/>
                <w:b w:val="0"/>
                <w:bCs w:val="0"/>
                <w:color w:val="auto"/>
                <w:kern w:val="2"/>
                <w:sz w:val="24"/>
                <w:szCs w:val="24"/>
                <w:highlight w:val="none"/>
                <w:lang w:val="en-US" w:eastAsia="zh-CN" w:bidi="ar-SA"/>
              </w:rPr>
              <w:t>，废物代码：</w:t>
            </w:r>
            <w:r>
              <w:rPr>
                <w:rFonts w:hint="default" w:ascii="Times New Roman" w:hAnsi="Times New Roman" w:cs="Times New Roman" w:eastAsiaTheme="minorEastAsia"/>
                <w:b w:val="0"/>
                <w:bCs w:val="0"/>
                <w:color w:val="auto"/>
                <w:kern w:val="2"/>
                <w:sz w:val="24"/>
                <w:szCs w:val="24"/>
                <w:highlight w:val="none"/>
                <w:lang w:val="en-US" w:eastAsia="zh-CN" w:bidi="ar-SA"/>
              </w:rPr>
              <w:t>900-003-S17</w:t>
            </w:r>
            <w:r>
              <w:rPr>
                <w:rFonts w:hint="eastAsia" w:ascii="Times New Roman" w:hAnsi="Times New Roman" w:cs="Times New Roman" w:eastAsiaTheme="minorEastAsia"/>
                <w:b w:val="0"/>
                <w:bCs w:val="0"/>
                <w:color w:val="auto"/>
                <w:kern w:val="2"/>
                <w:sz w:val="24"/>
                <w:szCs w:val="24"/>
                <w:highlight w:val="none"/>
                <w:lang w:val="en-US" w:eastAsia="zh-CN" w:bidi="ar-SA"/>
              </w:rPr>
              <w:t>，</w:t>
            </w:r>
            <w:r>
              <w:rPr>
                <w:rFonts w:hint="default" w:ascii="Times New Roman" w:hAnsi="Times New Roman" w:cs="Times New Roman" w:eastAsiaTheme="minorEastAsia"/>
                <w:b w:val="0"/>
                <w:bCs w:val="0"/>
                <w:color w:val="auto"/>
                <w:kern w:val="2"/>
                <w:sz w:val="24"/>
                <w:szCs w:val="24"/>
                <w:highlight w:val="none"/>
                <w:lang w:val="en-US" w:eastAsia="zh-CN" w:bidi="ar-SA"/>
              </w:rPr>
              <w:t>收集后定期外售</w:t>
            </w:r>
            <w:r>
              <w:rPr>
                <w:rFonts w:hint="default" w:ascii="Times New Roman" w:hAnsi="Times New Roman" w:cs="Times New Roman"/>
                <w:color w:val="auto"/>
                <w:sz w:val="24"/>
                <w:szCs w:val="24"/>
                <w:highlight w:val="none"/>
                <w:lang w:val="en-US" w:eastAsia="zh-CN"/>
              </w:rPr>
              <w:t>废品回收站</w:t>
            </w:r>
            <w:r>
              <w:rPr>
                <w:rFonts w:hint="default" w:ascii="Times New Roman" w:hAnsi="Times New Roman" w:cs="Times New Roman" w:eastAsiaTheme="minorEastAsia"/>
                <w:b w:val="0"/>
                <w:bCs w:val="0"/>
                <w:color w:val="auto"/>
                <w:kern w:val="2"/>
                <w:sz w:val="24"/>
                <w:szCs w:val="24"/>
                <w:highlight w:val="none"/>
                <w:lang w:val="en-US" w:eastAsia="zh-CN" w:bidi="ar-SA"/>
              </w:rPr>
              <w:t>。</w:t>
            </w:r>
          </w:p>
          <w:p w14:paraId="26C8E84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②金属边角料：根据建设单位提供的数据本项目建成后边角料的产生量为2</w:t>
            </w:r>
            <w:r>
              <w:rPr>
                <w:rFonts w:hint="eastAsia" w:ascii="Times New Roman" w:hAnsi="Times New Roman" w:cs="Times New Roman" w:eastAsiaTheme="minorEastAsia"/>
                <w:b w:val="0"/>
                <w:bCs w:val="0"/>
                <w:color w:val="auto"/>
                <w:kern w:val="2"/>
                <w:sz w:val="24"/>
                <w:szCs w:val="24"/>
                <w:highlight w:val="none"/>
                <w:lang w:val="en-US" w:eastAsia="zh-CN" w:bidi="ar-SA"/>
              </w:rPr>
              <w:t>1</w:t>
            </w:r>
            <w:r>
              <w:rPr>
                <w:rFonts w:hint="default" w:ascii="Times New Roman" w:hAnsi="Times New Roman" w:cs="Times New Roman" w:eastAsiaTheme="minorEastAsia"/>
                <w:b w:val="0"/>
                <w:bCs w:val="0"/>
                <w:color w:val="auto"/>
                <w:kern w:val="2"/>
                <w:sz w:val="24"/>
                <w:szCs w:val="24"/>
                <w:highlight w:val="none"/>
                <w:lang w:val="en-US" w:eastAsia="zh-CN" w:bidi="ar-SA"/>
              </w:rPr>
              <w:t>t/a，</w:t>
            </w:r>
            <w:r>
              <w:rPr>
                <w:rFonts w:hint="eastAsia" w:ascii="Times New Roman" w:hAnsi="Times New Roman" w:cs="Times New Roman" w:eastAsiaTheme="minorEastAsia"/>
                <w:b w:val="0"/>
                <w:bCs w:val="0"/>
                <w:color w:val="auto"/>
                <w:kern w:val="2"/>
                <w:sz w:val="24"/>
                <w:szCs w:val="24"/>
                <w:highlight w:val="none"/>
                <w:lang w:val="en-US" w:eastAsia="zh-CN" w:bidi="ar-SA"/>
              </w:rPr>
              <w:t>废物种类：</w:t>
            </w:r>
            <w:r>
              <w:rPr>
                <w:rFonts w:hint="default" w:ascii="Times New Roman" w:hAnsi="Times New Roman" w:cs="Times New Roman" w:eastAsiaTheme="minorEastAsia"/>
                <w:b w:val="0"/>
                <w:bCs w:val="0"/>
                <w:color w:val="auto"/>
                <w:kern w:val="2"/>
                <w:sz w:val="24"/>
                <w:szCs w:val="24"/>
                <w:highlight w:val="none"/>
                <w:lang w:val="en-US" w:eastAsia="zh-CN" w:bidi="ar-SA"/>
              </w:rPr>
              <w:t>SW17</w:t>
            </w:r>
            <w:r>
              <w:rPr>
                <w:rFonts w:hint="eastAsia" w:ascii="Times New Roman" w:hAnsi="Times New Roman" w:cs="Times New Roman" w:eastAsiaTheme="minorEastAsia"/>
                <w:b w:val="0"/>
                <w:bCs w:val="0"/>
                <w:color w:val="auto"/>
                <w:kern w:val="2"/>
                <w:sz w:val="24"/>
                <w:szCs w:val="24"/>
                <w:highlight w:val="none"/>
                <w:lang w:val="en-US" w:eastAsia="zh-CN" w:bidi="ar-SA"/>
              </w:rPr>
              <w:t>，废物代码：</w:t>
            </w:r>
            <w:r>
              <w:rPr>
                <w:rFonts w:hint="default" w:ascii="Times New Roman" w:hAnsi="Times New Roman" w:cs="Times New Roman" w:eastAsiaTheme="minorEastAsia"/>
                <w:b w:val="0"/>
                <w:bCs w:val="0"/>
                <w:color w:val="auto"/>
                <w:kern w:val="2"/>
                <w:sz w:val="24"/>
                <w:szCs w:val="24"/>
                <w:highlight w:val="none"/>
                <w:lang w:val="en-US" w:eastAsia="zh-CN" w:bidi="ar-SA"/>
              </w:rPr>
              <w:t>900-001-S17</w:t>
            </w:r>
            <w:r>
              <w:rPr>
                <w:rFonts w:hint="eastAsia" w:ascii="Times New Roman" w:hAnsi="Times New Roman" w:cs="Times New Roman" w:eastAsiaTheme="minorEastAsia"/>
                <w:b w:val="0"/>
                <w:bCs w:val="0"/>
                <w:color w:val="auto"/>
                <w:kern w:val="2"/>
                <w:sz w:val="24"/>
                <w:szCs w:val="24"/>
                <w:highlight w:val="none"/>
                <w:lang w:val="en-US" w:eastAsia="zh-CN" w:bidi="ar-SA"/>
              </w:rPr>
              <w:t>，</w:t>
            </w:r>
            <w:r>
              <w:rPr>
                <w:rFonts w:hint="default" w:ascii="Times New Roman" w:hAnsi="Times New Roman" w:cs="Times New Roman" w:eastAsiaTheme="minorEastAsia"/>
                <w:b w:val="0"/>
                <w:bCs w:val="0"/>
                <w:color w:val="auto"/>
                <w:kern w:val="2"/>
                <w:sz w:val="24"/>
                <w:szCs w:val="24"/>
                <w:highlight w:val="none"/>
                <w:lang w:val="en-US" w:eastAsia="zh-CN" w:bidi="ar-SA"/>
              </w:rPr>
              <w:t>此部分固废打包后外售废品回收站。</w:t>
            </w:r>
          </w:p>
          <w:p w14:paraId="09B9C929">
            <w:pPr>
              <w:pStyle w:val="2"/>
              <w:rPr>
                <w:rFonts w:hint="default"/>
                <w:color w:val="auto"/>
                <w:highlight w:val="none"/>
                <w:lang w:val="en-US" w:eastAsia="zh-CN"/>
              </w:rPr>
            </w:pPr>
            <w:r>
              <w:rPr>
                <w:rFonts w:hint="eastAsia" w:cs="Times New Roman" w:eastAsiaTheme="minorEastAsia"/>
                <w:b w:val="0"/>
                <w:bCs w:val="0"/>
                <w:color w:val="auto"/>
                <w:kern w:val="2"/>
                <w:sz w:val="24"/>
                <w:szCs w:val="24"/>
                <w:highlight w:val="none"/>
                <w:lang w:val="en-US" w:eastAsia="zh-CN" w:bidi="ar-SA"/>
              </w:rPr>
              <w:t>③除尘灰：主要为除尘器收集粉尘，除尘灰量为10.538t/a，</w:t>
            </w:r>
            <w:r>
              <w:rPr>
                <w:rFonts w:hint="eastAsia" w:ascii="Times New Roman" w:hAnsi="Times New Roman" w:cs="Times New Roman" w:eastAsiaTheme="minorEastAsia"/>
                <w:b w:val="0"/>
                <w:bCs w:val="0"/>
                <w:color w:val="auto"/>
                <w:kern w:val="2"/>
                <w:sz w:val="24"/>
                <w:szCs w:val="24"/>
                <w:highlight w:val="none"/>
                <w:lang w:val="en-US" w:eastAsia="zh-CN" w:bidi="ar-SA"/>
              </w:rPr>
              <w:t>废物种类：</w:t>
            </w:r>
            <w:r>
              <w:rPr>
                <w:rFonts w:hint="eastAsia" w:cs="Times New Roman" w:eastAsiaTheme="minorEastAsia"/>
                <w:b w:val="0"/>
                <w:bCs w:val="0"/>
                <w:color w:val="auto"/>
                <w:kern w:val="2"/>
                <w:sz w:val="24"/>
                <w:szCs w:val="24"/>
                <w:highlight w:val="none"/>
                <w:lang w:val="en-US" w:eastAsia="zh-CN" w:bidi="ar-SA"/>
              </w:rPr>
              <w:t>SW59，</w:t>
            </w:r>
            <w:r>
              <w:rPr>
                <w:rFonts w:hint="eastAsia" w:ascii="Times New Roman" w:hAnsi="Times New Roman" w:cs="Times New Roman" w:eastAsiaTheme="minorEastAsia"/>
                <w:b w:val="0"/>
                <w:bCs w:val="0"/>
                <w:color w:val="auto"/>
                <w:kern w:val="2"/>
                <w:sz w:val="24"/>
                <w:szCs w:val="24"/>
                <w:highlight w:val="none"/>
                <w:lang w:val="en-US" w:eastAsia="zh-CN" w:bidi="ar-SA"/>
              </w:rPr>
              <w:t>废物代码：</w:t>
            </w:r>
            <w:r>
              <w:rPr>
                <w:rFonts w:hint="eastAsia" w:cs="Times New Roman" w:eastAsiaTheme="minorEastAsia"/>
                <w:b w:val="0"/>
                <w:bCs w:val="0"/>
                <w:color w:val="auto"/>
                <w:kern w:val="2"/>
                <w:sz w:val="24"/>
                <w:szCs w:val="24"/>
                <w:highlight w:val="none"/>
                <w:lang w:val="en-US" w:eastAsia="zh-CN" w:bidi="ar-SA"/>
              </w:rPr>
              <w:t>900-099-S59，此部分固废打包与金属边角料一起外售废品回收站。</w:t>
            </w:r>
          </w:p>
          <w:p w14:paraId="04D97A0C">
            <w:pPr>
              <w:keepNext w:val="0"/>
              <w:keepLines w:val="0"/>
              <w:pageBreakBefore w:val="0"/>
              <w:widowControl w:val="0"/>
              <w:kinsoku/>
              <w:wordWrap/>
              <w:overflowPunct/>
              <w:topLinePunct w:val="0"/>
              <w:autoSpaceDE/>
              <w:autoSpaceDN/>
              <w:bidi w:val="0"/>
              <w:adjustRightInd w:val="0"/>
              <w:snapToGrid w:val="0"/>
              <w:spacing w:after="0" w:line="360" w:lineRule="auto"/>
              <w:ind w:left="0" w:firstLine="482" w:firstLineChars="200"/>
              <w:textAlignment w:val="auto"/>
              <w:outlineLvl w:val="9"/>
              <w:rPr>
                <w:rFonts w:hint="default" w:ascii="Times New Roman" w:hAnsi="Times New Roman" w:cs="Times New Roman" w:eastAsiaTheme="minorEastAsia"/>
                <w:b/>
                <w:bCs/>
                <w:color w:val="auto"/>
                <w:kern w:val="2"/>
                <w:sz w:val="24"/>
                <w:szCs w:val="24"/>
                <w:highlight w:val="none"/>
                <w:lang w:val="en-US" w:eastAsia="zh-CN" w:bidi="ar-SA"/>
              </w:rPr>
            </w:pPr>
            <w:r>
              <w:rPr>
                <w:rFonts w:hint="default" w:ascii="Times New Roman" w:hAnsi="Times New Roman" w:cs="Times New Roman" w:eastAsiaTheme="minorEastAsia"/>
                <w:b/>
                <w:bCs/>
                <w:color w:val="auto"/>
                <w:kern w:val="2"/>
                <w:sz w:val="24"/>
                <w:szCs w:val="24"/>
                <w:highlight w:val="none"/>
                <w:lang w:val="en-US" w:eastAsia="zh-CN" w:bidi="ar-SA"/>
              </w:rPr>
              <w:t>3.危险废物</w:t>
            </w:r>
          </w:p>
          <w:p w14:paraId="6923E5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①油漆桶：项目油漆使用过程会有废包装桶产生，预计产生废塑料桶约10个，空铁桶重量约10kg/个，总产生量为0.05t/a。属于《国家危险废物名录（2025年版）》HW12染料、涂料废物中“非特定行业-使用油漆（不包括水性漆）、有机溶剂进行喷漆、上漆过程中产生的废物”，代码：900-252-12。暂存项目危废暂存间，定期交由有资质单位处置。</w:t>
            </w:r>
          </w:p>
          <w:p w14:paraId="5F35D050">
            <w:pPr>
              <w:keepNext w:val="0"/>
              <w:keepLines w:val="0"/>
              <w:pageBreakBefore w:val="0"/>
              <w:widowControl w:val="0"/>
              <w:kinsoku/>
              <w:wordWrap/>
              <w:overflowPunct/>
              <w:topLinePunct w:val="0"/>
              <w:autoSpaceDE/>
              <w:autoSpaceDN/>
              <w:bidi w:val="0"/>
              <w:adjustRightInd w:val="0"/>
              <w:snapToGrid w:val="0"/>
              <w:spacing w:after="0" w:line="360" w:lineRule="auto"/>
              <w:ind w:left="0" w:firstLine="480" w:firstLineChars="200"/>
              <w:jc w:val="both"/>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②废活性炭：活性炭吸附/催化燃烧处理处理有机废气，装置由于长期使用净化效率大大降低，需定期更换新的活性炭，废活性炭属于《国家危险废物名录》（2025年版）HW49其他废物中“烟气、VOCs治理过程（不包括餐饮行业油烟 治理过程）产生的废活性炭，化学原料和化学制品脱色（不包括有机合成食品添加剂脱色）、除杂、净化过程产生的废活性炭”，代码900-039-49。</w:t>
            </w:r>
          </w:p>
          <w:p w14:paraId="29642930">
            <w:pPr>
              <w:keepNext w:val="0"/>
              <w:keepLines w:val="0"/>
              <w:pageBreakBefore w:val="0"/>
              <w:widowControl w:val="0"/>
              <w:kinsoku/>
              <w:wordWrap/>
              <w:overflowPunct/>
              <w:topLinePunct w:val="0"/>
              <w:autoSpaceDE/>
              <w:autoSpaceDN/>
              <w:bidi w:val="0"/>
              <w:adjustRightInd w:val="0"/>
              <w:snapToGrid w:val="0"/>
              <w:spacing w:after="0" w:line="360" w:lineRule="auto"/>
              <w:ind w:left="0" w:firstLine="480" w:firstLineChars="200"/>
              <w:jc w:val="both"/>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本项目在涂装工段有机废气处理过程中因选用活性炭吸附工艺，根据《吸附法工业有机废气治理工程技术规范》（HJ2026-2013）相关要求：</w:t>
            </w:r>
            <w:r>
              <w:rPr>
                <w:rFonts w:hint="eastAsia" w:ascii="Times New Roman" w:hAnsi="Times New Roman" w:eastAsia="宋体" w:cs="Times New Roman"/>
                <w:b w:val="0"/>
                <w:bCs w:val="0"/>
                <w:color w:val="auto"/>
                <w:kern w:val="2"/>
                <w:sz w:val="24"/>
                <w:szCs w:val="24"/>
                <w:highlight w:val="none"/>
                <w:lang w:val="en-US" w:eastAsia="zh-CN" w:bidi="ar-SA"/>
              </w:rPr>
              <w:t>当</w:t>
            </w:r>
            <w:r>
              <w:rPr>
                <w:rFonts w:hint="default" w:ascii="Times New Roman" w:hAnsi="Times New Roman" w:eastAsia="宋体" w:cs="Times New Roman"/>
                <w:b w:val="0"/>
                <w:bCs w:val="0"/>
                <w:color w:val="auto"/>
                <w:kern w:val="2"/>
                <w:sz w:val="24"/>
                <w:szCs w:val="24"/>
                <w:highlight w:val="none"/>
                <w:lang w:val="en-US" w:eastAsia="zh-CN" w:bidi="ar-SA"/>
              </w:rPr>
              <w:t>吸附有机废气量超过吸附容量的80%时，必须更换活性炭</w:t>
            </w:r>
            <w:r>
              <w:rPr>
                <w:rFonts w:hint="eastAsia" w:ascii="Times New Roman" w:hAnsi="Times New Roman" w:eastAsia="宋体" w:cs="Times New Roman"/>
                <w:b w:val="0"/>
                <w:bCs w:val="0"/>
                <w:color w:val="auto"/>
                <w:kern w:val="2"/>
                <w:sz w:val="24"/>
                <w:szCs w:val="24"/>
                <w:highlight w:val="none"/>
                <w:lang w:val="en-US" w:eastAsia="zh-CN" w:bidi="ar-SA"/>
              </w:rPr>
              <w:t>。</w:t>
            </w:r>
            <w:r>
              <w:rPr>
                <w:rFonts w:hint="default" w:ascii="Times New Roman" w:hAnsi="Times New Roman" w:cs="Times New Roman"/>
                <w:b w:val="0"/>
                <w:bCs/>
                <w:color w:val="auto"/>
                <w:kern w:val="0"/>
                <w:sz w:val="24"/>
                <w:szCs w:val="24"/>
                <w:highlight w:val="none"/>
                <w:lang w:val="en-US" w:eastAsia="zh-CN" w:bidi="ar"/>
              </w:rPr>
              <w:t>根据设备厂家提供资料，两年更换一次，</w:t>
            </w:r>
            <w:r>
              <w:rPr>
                <w:rFonts w:hint="default" w:ascii="Times New Roman" w:hAnsi="Times New Roman" w:eastAsia="宋体" w:cs="Times New Roman"/>
                <w:b w:val="0"/>
                <w:bCs/>
                <w:color w:val="auto"/>
                <w:kern w:val="0"/>
                <w:sz w:val="24"/>
                <w:szCs w:val="24"/>
                <w:highlight w:val="none"/>
                <w:lang w:val="en-US" w:eastAsia="zh-CN" w:bidi="ar"/>
              </w:rPr>
              <w:t>企业活性炭箱</w:t>
            </w:r>
            <w:r>
              <w:rPr>
                <w:rFonts w:hint="default" w:ascii="Times New Roman" w:hAnsi="Times New Roman" w:cs="Times New Roman"/>
                <w:b w:val="0"/>
                <w:bCs/>
                <w:color w:val="auto"/>
                <w:kern w:val="0"/>
                <w:sz w:val="24"/>
                <w:szCs w:val="24"/>
                <w:highlight w:val="none"/>
                <w:lang w:val="en-US" w:eastAsia="zh-CN" w:bidi="ar"/>
              </w:rPr>
              <w:t>1.0</w:t>
            </w:r>
            <w:r>
              <w:rPr>
                <w:rFonts w:hint="default" w:ascii="Times New Roman" w:hAnsi="Times New Roman" w:eastAsia="宋体" w:cs="Times New Roman"/>
                <w:b w:val="0"/>
                <w:bCs/>
                <w:color w:val="auto"/>
                <w:kern w:val="0"/>
                <w:sz w:val="24"/>
                <w:szCs w:val="24"/>
                <w:highlight w:val="none"/>
                <w:lang w:val="en-US" w:eastAsia="zh-CN" w:bidi="ar"/>
              </w:rPr>
              <w:t>m</w:t>
            </w:r>
            <w:r>
              <w:rPr>
                <w:rFonts w:hint="default" w:ascii="Times New Roman" w:hAnsi="Times New Roman" w:eastAsia="宋体" w:cs="Times New Roman"/>
                <w:b w:val="0"/>
                <w:bCs/>
                <w:color w:val="auto"/>
                <w:kern w:val="0"/>
                <w:sz w:val="24"/>
                <w:szCs w:val="24"/>
                <w:highlight w:val="none"/>
                <w:vertAlign w:val="superscript"/>
                <w:lang w:val="en-US" w:eastAsia="zh-CN" w:bidi="ar"/>
              </w:rPr>
              <w:t>3</w:t>
            </w:r>
            <w:r>
              <w:rPr>
                <w:rFonts w:hint="default" w:ascii="Times New Roman" w:hAnsi="Times New Roman" w:eastAsia="宋体" w:cs="Times New Roman"/>
                <w:b w:val="0"/>
                <w:bCs/>
                <w:color w:val="auto"/>
                <w:kern w:val="0"/>
                <w:sz w:val="24"/>
                <w:szCs w:val="24"/>
                <w:highlight w:val="none"/>
                <w:lang w:val="en-US" w:eastAsia="zh-CN" w:bidi="ar"/>
              </w:rPr>
              <w:t>的活性炭，选择碘值不低于800</w:t>
            </w:r>
            <w:r>
              <w:rPr>
                <w:rFonts w:hint="default" w:ascii="Times New Roman" w:hAnsi="Times New Roman" w:cs="Times New Roman"/>
                <w:b w:val="0"/>
                <w:bCs/>
                <w:color w:val="auto"/>
                <w:kern w:val="0"/>
                <w:sz w:val="24"/>
                <w:szCs w:val="24"/>
                <w:highlight w:val="none"/>
                <w:lang w:val="en-US" w:eastAsia="zh-CN" w:bidi="ar"/>
              </w:rPr>
              <w:t>mg</w:t>
            </w:r>
            <w:r>
              <w:rPr>
                <w:rFonts w:hint="default" w:ascii="Times New Roman" w:hAnsi="Times New Roman" w:eastAsia="宋体" w:cs="Times New Roman"/>
                <w:b w:val="0"/>
                <w:bCs/>
                <w:color w:val="auto"/>
                <w:kern w:val="0"/>
                <w:sz w:val="24"/>
                <w:szCs w:val="24"/>
                <w:highlight w:val="none"/>
                <w:lang w:val="en-US" w:eastAsia="zh-CN" w:bidi="ar"/>
              </w:rPr>
              <w:t>/</w:t>
            </w:r>
            <w:r>
              <w:rPr>
                <w:rFonts w:hint="default" w:ascii="Times New Roman" w:hAnsi="Times New Roman" w:cs="Times New Roman"/>
                <w:b w:val="0"/>
                <w:bCs/>
                <w:color w:val="auto"/>
                <w:kern w:val="0"/>
                <w:sz w:val="24"/>
                <w:szCs w:val="24"/>
                <w:highlight w:val="none"/>
                <w:lang w:val="en-US" w:eastAsia="zh-CN" w:bidi="ar"/>
              </w:rPr>
              <w:t>g</w:t>
            </w:r>
            <w:r>
              <w:rPr>
                <w:rFonts w:hint="default" w:ascii="Times New Roman" w:hAnsi="Times New Roman" w:eastAsia="宋体" w:cs="Times New Roman"/>
                <w:b w:val="0"/>
                <w:bCs/>
                <w:color w:val="auto"/>
                <w:kern w:val="0"/>
                <w:sz w:val="24"/>
                <w:szCs w:val="24"/>
                <w:highlight w:val="none"/>
                <w:lang w:val="en-US" w:eastAsia="zh-CN" w:bidi="ar"/>
              </w:rPr>
              <w:t>的活性炭，再以活性炭密度以550kg/m</w:t>
            </w:r>
            <w:r>
              <w:rPr>
                <w:rFonts w:hint="default" w:ascii="Times New Roman" w:hAnsi="Times New Roman" w:eastAsia="宋体" w:cs="Times New Roman"/>
                <w:b w:val="0"/>
                <w:bCs/>
                <w:color w:val="auto"/>
                <w:kern w:val="0"/>
                <w:sz w:val="24"/>
                <w:szCs w:val="24"/>
                <w:highlight w:val="none"/>
                <w:vertAlign w:val="superscript"/>
                <w:lang w:val="en-US" w:eastAsia="zh-CN" w:bidi="ar"/>
              </w:rPr>
              <w:t>3</w:t>
            </w:r>
            <w:r>
              <w:rPr>
                <w:rFonts w:hint="default" w:ascii="Times New Roman" w:hAnsi="Times New Roman" w:eastAsia="宋体" w:cs="Times New Roman"/>
                <w:b w:val="0"/>
                <w:bCs/>
                <w:color w:val="auto"/>
                <w:kern w:val="0"/>
                <w:sz w:val="24"/>
                <w:szCs w:val="24"/>
                <w:highlight w:val="none"/>
                <w:lang w:val="en-US" w:eastAsia="zh-CN" w:bidi="ar"/>
              </w:rPr>
              <w:t>计算，企业活性炭箱可装</w:t>
            </w:r>
            <w:r>
              <w:rPr>
                <w:rFonts w:hint="default" w:ascii="Times New Roman" w:hAnsi="Times New Roman" w:cs="Times New Roman"/>
                <w:b w:val="0"/>
                <w:bCs/>
                <w:color w:val="auto"/>
                <w:kern w:val="0"/>
                <w:sz w:val="24"/>
                <w:szCs w:val="24"/>
                <w:highlight w:val="none"/>
                <w:lang w:val="en-US" w:eastAsia="zh-CN" w:bidi="ar"/>
              </w:rPr>
              <w:t>0.55</w:t>
            </w:r>
            <w:r>
              <w:rPr>
                <w:rFonts w:hint="default" w:ascii="Times New Roman" w:hAnsi="Times New Roman" w:eastAsia="宋体" w:cs="Times New Roman"/>
                <w:b w:val="0"/>
                <w:bCs/>
                <w:color w:val="auto"/>
                <w:kern w:val="0"/>
                <w:sz w:val="24"/>
                <w:szCs w:val="24"/>
                <w:highlight w:val="none"/>
                <w:lang w:val="en-US" w:eastAsia="zh-CN" w:bidi="ar"/>
              </w:rPr>
              <w:t>t活性炭，</w:t>
            </w:r>
            <w:r>
              <w:rPr>
                <w:rFonts w:hint="default" w:ascii="Times New Roman" w:hAnsi="Times New Roman" w:cs="Times New Roman"/>
                <w:b w:val="0"/>
                <w:bCs/>
                <w:color w:val="auto"/>
                <w:kern w:val="0"/>
                <w:sz w:val="24"/>
                <w:szCs w:val="24"/>
                <w:highlight w:val="none"/>
                <w:lang w:val="en-US" w:eastAsia="zh-CN" w:bidi="ar"/>
              </w:rPr>
              <w:t>1</w:t>
            </w:r>
            <w:r>
              <w:rPr>
                <w:rFonts w:hint="default" w:ascii="Times New Roman" w:hAnsi="Times New Roman" w:eastAsia="宋体" w:cs="Times New Roman"/>
                <w:b w:val="0"/>
                <w:bCs/>
                <w:color w:val="auto"/>
                <w:kern w:val="0"/>
                <w:sz w:val="24"/>
                <w:szCs w:val="24"/>
                <w:highlight w:val="none"/>
                <w:lang w:val="en-US" w:eastAsia="zh-CN" w:bidi="ar"/>
              </w:rPr>
              <w:t>年约更换</w:t>
            </w:r>
            <w:r>
              <w:rPr>
                <w:rFonts w:hint="default" w:ascii="Times New Roman" w:hAnsi="Times New Roman" w:cs="Times New Roman"/>
                <w:b w:val="0"/>
                <w:bCs/>
                <w:color w:val="auto"/>
                <w:kern w:val="0"/>
                <w:sz w:val="24"/>
                <w:szCs w:val="24"/>
                <w:highlight w:val="none"/>
                <w:lang w:val="en-US" w:eastAsia="zh-CN" w:bidi="ar"/>
              </w:rPr>
              <w:t>1</w:t>
            </w:r>
            <w:r>
              <w:rPr>
                <w:rFonts w:hint="default" w:ascii="Times New Roman" w:hAnsi="Times New Roman" w:eastAsia="宋体" w:cs="Times New Roman"/>
                <w:b w:val="0"/>
                <w:bCs/>
                <w:color w:val="auto"/>
                <w:kern w:val="0"/>
                <w:sz w:val="24"/>
                <w:szCs w:val="24"/>
                <w:highlight w:val="none"/>
                <w:lang w:val="en-US" w:eastAsia="zh-CN" w:bidi="ar"/>
              </w:rPr>
              <w:t>次活性炭</w:t>
            </w:r>
            <w:r>
              <w:rPr>
                <w:rFonts w:hint="default" w:ascii="Times New Roman" w:hAnsi="Times New Roman" w:cs="Times New Roman"/>
                <w:b w:val="0"/>
                <w:bCs/>
                <w:color w:val="auto"/>
                <w:kern w:val="0"/>
                <w:sz w:val="24"/>
                <w:szCs w:val="24"/>
                <w:highlight w:val="none"/>
                <w:lang w:val="en-US" w:eastAsia="zh-CN" w:bidi="ar"/>
              </w:rPr>
              <w:t>，一次更换量为0.55t</w:t>
            </w:r>
            <w:r>
              <w:rPr>
                <w:rFonts w:hint="default" w:ascii="Times New Roman" w:hAnsi="Times New Roman" w:eastAsia="宋体" w:cs="Times New Roman"/>
                <w:b w:val="0"/>
                <w:bCs/>
                <w:color w:val="auto"/>
                <w:kern w:val="0"/>
                <w:sz w:val="24"/>
                <w:szCs w:val="24"/>
                <w:highlight w:val="none"/>
                <w:lang w:val="en-US" w:eastAsia="zh-CN" w:bidi="ar"/>
              </w:rPr>
              <w:t>。</w:t>
            </w:r>
            <w:r>
              <w:rPr>
                <w:rFonts w:hint="default" w:ascii="Times New Roman" w:hAnsi="Times New Roman" w:eastAsia="宋体" w:cs="Times New Roman"/>
                <w:b w:val="0"/>
                <w:bCs w:val="0"/>
                <w:color w:val="auto"/>
                <w:kern w:val="2"/>
                <w:sz w:val="24"/>
                <w:szCs w:val="24"/>
                <w:highlight w:val="none"/>
                <w:lang w:val="en-US" w:eastAsia="zh-CN" w:bidi="ar-SA"/>
              </w:rPr>
              <w:t>由企业收集后暂存危废库，定期委托有相关危废处理资质的单位进行处置。</w:t>
            </w:r>
          </w:p>
          <w:p w14:paraId="57E3846D">
            <w:pPr>
              <w:keepNext w:val="0"/>
              <w:keepLines w:val="0"/>
              <w:pageBreakBefore w:val="0"/>
              <w:widowControl w:val="0"/>
              <w:kinsoku/>
              <w:wordWrap/>
              <w:overflowPunct/>
              <w:topLinePunct w:val="0"/>
              <w:autoSpaceDE/>
              <w:autoSpaceDN/>
              <w:bidi w:val="0"/>
              <w:adjustRightInd w:val="0"/>
              <w:snapToGrid w:val="0"/>
              <w:spacing w:after="0" w:line="360" w:lineRule="auto"/>
              <w:ind w:left="0" w:firstLine="480" w:firstLineChars="200"/>
              <w:jc w:val="both"/>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③废漆渣：考虑生产作业时，会有少量油漆沾</w:t>
            </w:r>
            <w:r>
              <w:rPr>
                <w:rFonts w:hint="eastAsia" w:ascii="Times New Roman" w:hAnsi="Times New Roman" w:eastAsia="宋体" w:cs="Times New Roman"/>
                <w:b w:val="0"/>
                <w:bCs w:val="0"/>
                <w:color w:val="auto"/>
                <w:kern w:val="2"/>
                <w:sz w:val="24"/>
                <w:szCs w:val="24"/>
                <w:highlight w:val="none"/>
                <w:lang w:val="en-US" w:eastAsia="zh-CN" w:bidi="ar-SA"/>
              </w:rPr>
              <w:t>附</w:t>
            </w:r>
            <w:r>
              <w:rPr>
                <w:rFonts w:hint="default" w:ascii="Times New Roman" w:hAnsi="Times New Roman" w:eastAsia="宋体" w:cs="Times New Roman"/>
                <w:b w:val="0"/>
                <w:bCs w:val="0"/>
                <w:color w:val="auto"/>
                <w:kern w:val="2"/>
                <w:sz w:val="24"/>
                <w:szCs w:val="24"/>
                <w:highlight w:val="none"/>
                <w:lang w:val="en-US" w:eastAsia="zh-CN" w:bidi="ar-SA"/>
              </w:rPr>
              <w:t>在毛毡滚筒以及附属部件上，需定期刮除，产生废漆渣。废漆渣产生量约0.03t/a，属于《国家危险废物名录（2025年版）》的HW12燃料、涂料废物中“非特定行业-</w:t>
            </w:r>
            <w:r>
              <w:rPr>
                <w:rFonts w:hint="default" w:ascii="Times New Roman" w:hAnsi="Times New Roman" w:eastAsia="宋体" w:cs="Times New Roman"/>
                <w:color w:val="auto"/>
                <w:sz w:val="24"/>
                <w:szCs w:val="24"/>
                <w:highlight w:val="none"/>
              </w:rPr>
              <w:t>使用油漆（不包括水性漆）、有机溶剂进行喷漆、上漆过程中过喷漆雾湿法捕集产生的漆渣</w:t>
            </w:r>
            <w:r>
              <w:rPr>
                <w:rFonts w:hint="eastAsia" w:ascii="Times New Roman" w:hAnsi="Times New Roman" w:eastAsia="宋体" w:cs="Times New Roman"/>
                <w:color w:val="auto"/>
                <w:sz w:val="24"/>
                <w:szCs w:val="24"/>
                <w:highlight w:val="none"/>
                <w:lang w:eastAsia="zh-CN"/>
              </w:rPr>
              <w:t>，以及</w:t>
            </w:r>
            <w:r>
              <w:rPr>
                <w:rFonts w:hint="default" w:ascii="Times New Roman" w:hAnsi="Times New Roman" w:eastAsia="宋体" w:cs="Times New Roman"/>
                <w:color w:val="auto"/>
                <w:sz w:val="24"/>
                <w:szCs w:val="24"/>
                <w:highlight w:val="none"/>
              </w:rPr>
              <w:t>喷涂工位和管道清理过程产生的落地漆渣</w:t>
            </w:r>
            <w:r>
              <w:rPr>
                <w:rFonts w:hint="default" w:ascii="Times New Roman" w:hAnsi="Times New Roman" w:eastAsia="宋体" w:cs="Times New Roman"/>
                <w:b w:val="0"/>
                <w:bCs w:val="0"/>
                <w:color w:val="auto"/>
                <w:kern w:val="2"/>
                <w:sz w:val="24"/>
                <w:szCs w:val="24"/>
                <w:highlight w:val="none"/>
                <w:lang w:val="en-US" w:eastAsia="zh-CN" w:bidi="ar-SA"/>
              </w:rPr>
              <w:t>”，废物代码为900-252-12。</w:t>
            </w:r>
          </w:p>
          <w:p w14:paraId="5FE8CD4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rPr>
              <w:t>区内产生的危险废物需在厂内经过短途运输时，按照</w:t>
            </w:r>
            <w:r>
              <w:rPr>
                <w:rFonts w:hint="eastAsia" w:ascii="宋体" w:hAnsi="宋体" w:eastAsia="宋体" w:cs="宋体"/>
                <w:color w:val="auto"/>
                <w:kern w:val="0"/>
                <w:sz w:val="24"/>
                <w:szCs w:val="24"/>
                <w:highlight w:val="none"/>
                <w:lang w:val="en-US" w:eastAsia="zh-CN" w:bidi="ar"/>
              </w:rPr>
              <w:t>危险废物运输应执行《道路危险货物运输管理规定》（交通运输部令</w:t>
            </w:r>
            <w:r>
              <w:rPr>
                <w:rFonts w:hint="default" w:ascii="Times New Roman" w:hAnsi="Times New Roman" w:eastAsia="宋体" w:cs="Times New Roman"/>
                <w:color w:val="auto"/>
                <w:kern w:val="0"/>
                <w:sz w:val="24"/>
                <w:szCs w:val="24"/>
                <w:highlight w:val="none"/>
                <w:lang w:val="en-US" w:eastAsia="zh-CN" w:bidi="ar"/>
              </w:rPr>
              <w:t>2022</w:t>
            </w:r>
            <w:r>
              <w:rPr>
                <w:rFonts w:hint="eastAsia" w:ascii="宋体" w:hAnsi="宋体" w:eastAsia="宋体" w:cs="宋体"/>
                <w:color w:val="auto"/>
                <w:kern w:val="0"/>
                <w:sz w:val="24"/>
                <w:szCs w:val="24"/>
                <w:highlight w:val="none"/>
                <w:lang w:val="en-US" w:eastAsia="zh-CN" w:bidi="ar"/>
              </w:rPr>
              <w:t>年第</w:t>
            </w:r>
            <w:r>
              <w:rPr>
                <w:rFonts w:hint="default" w:ascii="Times New Roman" w:hAnsi="Times New Roman" w:eastAsia="宋体" w:cs="Times New Roman"/>
                <w:color w:val="auto"/>
                <w:kern w:val="0"/>
                <w:sz w:val="24"/>
                <w:szCs w:val="24"/>
                <w:highlight w:val="none"/>
                <w:lang w:val="en-US" w:eastAsia="zh-CN" w:bidi="ar"/>
              </w:rPr>
              <w:t>36</w:t>
            </w:r>
            <w:r>
              <w:rPr>
                <w:rFonts w:hint="eastAsia" w:ascii="宋体" w:hAnsi="宋体" w:eastAsia="宋体" w:cs="宋体"/>
                <w:color w:val="auto"/>
                <w:kern w:val="0"/>
                <w:sz w:val="24"/>
                <w:szCs w:val="24"/>
                <w:highlight w:val="none"/>
                <w:lang w:val="en-US" w:eastAsia="zh-CN" w:bidi="ar"/>
              </w:rPr>
              <w:t>号）、</w:t>
            </w:r>
            <w:r>
              <w:rPr>
                <w:rFonts w:hint="default" w:ascii="Times New Roman" w:hAnsi="Times New Roman" w:eastAsia="宋体" w:cs="Times New Roman"/>
                <w:color w:val="auto"/>
                <w:spacing w:val="0"/>
                <w:sz w:val="24"/>
                <w:szCs w:val="24"/>
                <w:highlight w:val="none"/>
              </w:rPr>
              <w:t>《危险废物收集 贮存 运输技术规范》（HJ2025-2012）的要求，采用危险废物运输汽车在厂区内运行转运，为更加安全环保的实现危险废物的厂内运输，本次环评要求建设单位在危废运输中应做到以下要求，具体要求见表4-</w:t>
            </w:r>
            <w:r>
              <w:rPr>
                <w:rFonts w:hint="default" w:ascii="Times New Roman" w:hAnsi="Times New Roman" w:eastAsia="宋体" w:cs="Times New Roman"/>
                <w:color w:val="auto"/>
                <w:spacing w:val="0"/>
                <w:sz w:val="24"/>
                <w:szCs w:val="24"/>
                <w:highlight w:val="none"/>
                <w:lang w:val="en-US" w:eastAsia="zh-CN"/>
              </w:rPr>
              <w:t>15</w:t>
            </w:r>
            <w:r>
              <w:rPr>
                <w:rFonts w:hint="default" w:ascii="Times New Roman" w:hAnsi="Times New Roman" w:eastAsia="宋体" w:cs="Times New Roman"/>
                <w:color w:val="auto"/>
                <w:spacing w:val="0"/>
                <w:sz w:val="24"/>
                <w:szCs w:val="24"/>
                <w:highlight w:val="none"/>
              </w:rPr>
              <w:t>。</w:t>
            </w:r>
          </w:p>
          <w:p w14:paraId="3C0CE1C3">
            <w:pPr>
              <w:keepNext w:val="0"/>
              <w:keepLines w:val="0"/>
              <w:pageBreakBefore w:val="0"/>
              <w:kinsoku/>
              <w:wordWrap/>
              <w:overflowPunct/>
              <w:topLinePunct w:val="0"/>
              <w:autoSpaceDE w:val="0"/>
              <w:autoSpaceDN w:val="0"/>
              <w:bidi w:val="0"/>
              <w:adjustRightInd w:val="0"/>
              <w:snapToGrid w:val="0"/>
              <w:spacing w:line="240" w:lineRule="auto"/>
              <w:ind w:firstLine="0"/>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表4-</w:t>
            </w:r>
            <w:r>
              <w:rPr>
                <w:rFonts w:hint="default" w:ascii="Times New Roman" w:hAnsi="Times New Roman" w:eastAsia="宋体" w:cs="Times New Roman"/>
                <w:b/>
                <w:bCs/>
                <w:color w:val="auto"/>
                <w:spacing w:val="0"/>
                <w:sz w:val="21"/>
                <w:szCs w:val="21"/>
                <w:highlight w:val="none"/>
                <w:lang w:val="en-US" w:eastAsia="zh-CN"/>
              </w:rPr>
              <w:t>15</w:t>
            </w:r>
            <w:r>
              <w:rPr>
                <w:rFonts w:hint="default" w:ascii="Times New Roman" w:hAnsi="Times New Roman" w:eastAsia="宋体" w:cs="Times New Roman"/>
                <w:b/>
                <w:bCs/>
                <w:color w:val="auto"/>
                <w:spacing w:val="0"/>
                <w:sz w:val="21"/>
                <w:szCs w:val="21"/>
                <w:highlight w:val="none"/>
              </w:rPr>
              <w:t xml:space="preserve"> </w:t>
            </w:r>
            <w:r>
              <w:rPr>
                <w:rFonts w:hint="default" w:ascii="Times New Roman" w:hAnsi="Times New Roman" w:eastAsia="宋体" w:cs="Times New Roman"/>
                <w:b/>
                <w:bCs/>
                <w:color w:val="auto"/>
                <w:spacing w:val="0"/>
                <w:sz w:val="21"/>
                <w:szCs w:val="21"/>
                <w:highlight w:val="none"/>
                <w:lang w:eastAsia="zh-CN"/>
              </w:rPr>
              <w:t>本项目</w:t>
            </w:r>
            <w:r>
              <w:rPr>
                <w:rFonts w:hint="default" w:ascii="Times New Roman" w:hAnsi="Times New Roman" w:eastAsia="宋体" w:cs="Times New Roman"/>
                <w:b/>
                <w:bCs/>
                <w:color w:val="auto"/>
                <w:spacing w:val="0"/>
                <w:sz w:val="21"/>
                <w:szCs w:val="21"/>
                <w:highlight w:val="none"/>
              </w:rPr>
              <w:t>运输要求一览表</w:t>
            </w:r>
          </w:p>
          <w:tbl>
            <w:tblPr>
              <w:tblStyle w:val="29"/>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6903"/>
            </w:tblGrid>
            <w:tr w14:paraId="282B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4" w:type="pct"/>
                  <w:tcBorders>
                    <w:tl2br w:val="nil"/>
                    <w:tr2bl w:val="nil"/>
                  </w:tcBorders>
                  <w:noWrap w:val="0"/>
                  <w:vAlign w:val="center"/>
                </w:tcPr>
                <w:p w14:paraId="761A4117">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运输对象</w:t>
                  </w:r>
                </w:p>
              </w:tc>
              <w:tc>
                <w:tcPr>
                  <w:tcW w:w="4045" w:type="pct"/>
                  <w:tcBorders>
                    <w:tl2br w:val="nil"/>
                    <w:tr2bl w:val="nil"/>
                  </w:tcBorders>
                  <w:noWrap w:val="0"/>
                  <w:vAlign w:val="center"/>
                </w:tcPr>
                <w:p w14:paraId="5978D4F9">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运输要求标准</w:t>
                  </w:r>
                </w:p>
              </w:tc>
            </w:tr>
            <w:tr w14:paraId="4766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54" w:type="pct"/>
                  <w:tcBorders>
                    <w:tl2br w:val="nil"/>
                    <w:tr2bl w:val="nil"/>
                  </w:tcBorders>
                  <w:noWrap w:val="0"/>
                  <w:vAlign w:val="center"/>
                </w:tcPr>
                <w:p w14:paraId="2C0AF8BF">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危险废物</w:t>
                  </w:r>
                </w:p>
              </w:tc>
              <w:tc>
                <w:tcPr>
                  <w:tcW w:w="4045" w:type="pct"/>
                  <w:tcBorders>
                    <w:tl2br w:val="nil"/>
                    <w:tr2bl w:val="nil"/>
                  </w:tcBorders>
                  <w:noWrap w:val="0"/>
                  <w:vAlign w:val="center"/>
                </w:tcPr>
                <w:p w14:paraId="49C9E020">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① 根据危险废物的产生点，规划转运路线，路线应尽量避开办公生活区；</w:t>
                  </w:r>
                </w:p>
                <w:p w14:paraId="334D1B26">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② 采用专用工具，填写《危险废物厂内转运记录表》</w:t>
                  </w:r>
                  <w:r>
                    <w:rPr>
                      <w:rFonts w:hint="default" w:ascii="Times New Roman" w:hAnsi="Times New Roman" w:eastAsia="宋体" w:cs="Times New Roman"/>
                      <w:color w:val="auto"/>
                      <w:spacing w:val="0"/>
                      <w:sz w:val="21"/>
                      <w:szCs w:val="21"/>
                      <w:highlight w:val="none"/>
                      <w:lang w:eastAsia="zh-CN"/>
                    </w:rPr>
                    <w:t>；</w:t>
                  </w:r>
                </w:p>
                <w:p w14:paraId="5B8FCF0E">
                  <w:pPr>
                    <w:keepNext w:val="0"/>
                    <w:keepLines w:val="0"/>
                    <w:pageBreakBefore w:val="0"/>
                    <w:widowControl w:val="0"/>
                    <w:kinsoku/>
                    <w:wordWrap/>
                    <w:overflowPunct/>
                    <w:topLinePunct w:val="0"/>
                    <w:autoSpaceDE w:val="0"/>
                    <w:autoSpaceDN w:val="0"/>
                    <w:bidi w:val="0"/>
                    <w:adjustRightInd w:val="0"/>
                    <w:snapToGrid w:val="0"/>
                    <w:spacing w:line="240" w:lineRule="auto"/>
                    <w:ind w:firstLine="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③ 内部转运结束后，应</w:t>
                  </w:r>
                  <w:r>
                    <w:rPr>
                      <w:rFonts w:hint="default" w:ascii="Times New Roman" w:hAnsi="Times New Roman" w:eastAsia="宋体" w:cs="Times New Roman"/>
                      <w:color w:val="auto"/>
                      <w:spacing w:val="0"/>
                      <w:sz w:val="21"/>
                      <w:szCs w:val="21"/>
                      <w:highlight w:val="none"/>
                      <w:lang w:val="en-US" w:eastAsia="zh-CN"/>
                    </w:rPr>
                    <w:t>对</w:t>
                  </w:r>
                  <w:r>
                    <w:rPr>
                      <w:rFonts w:hint="default" w:ascii="Times New Roman" w:hAnsi="Times New Roman" w:eastAsia="宋体" w:cs="Times New Roman"/>
                      <w:color w:val="auto"/>
                      <w:spacing w:val="0"/>
                      <w:sz w:val="21"/>
                      <w:szCs w:val="21"/>
                      <w:highlight w:val="none"/>
                    </w:rPr>
                    <w:t>转运路线进行检查和清理，确保无危险废物遗失在转运路线上，并对转运工具进行清洗。</w:t>
                  </w:r>
                </w:p>
              </w:tc>
            </w:tr>
          </w:tbl>
          <w:p w14:paraId="557F878D">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eastAsia="zh-CN"/>
              </w:rPr>
              <w:t>综上所述，本项目</w:t>
            </w:r>
            <w:r>
              <w:rPr>
                <w:rFonts w:hint="default" w:ascii="Times New Roman" w:hAnsi="Times New Roman" w:eastAsia="宋体" w:cs="Times New Roman"/>
                <w:color w:val="auto"/>
                <w:spacing w:val="0"/>
                <w:sz w:val="24"/>
                <w:szCs w:val="24"/>
                <w:highlight w:val="none"/>
              </w:rPr>
              <w:t>固体废物排放情况详见表4-</w:t>
            </w:r>
            <w:r>
              <w:rPr>
                <w:rFonts w:hint="default" w:ascii="Times New Roman" w:hAnsi="Times New Roman" w:eastAsia="宋体" w:cs="Times New Roman"/>
                <w:color w:val="auto"/>
                <w:spacing w:val="0"/>
                <w:sz w:val="24"/>
                <w:szCs w:val="24"/>
                <w:highlight w:val="none"/>
                <w:lang w:val="en-US" w:eastAsia="zh-CN"/>
              </w:rPr>
              <w:t>16</w:t>
            </w:r>
            <w:r>
              <w:rPr>
                <w:rFonts w:hint="default" w:ascii="Times New Roman" w:hAnsi="Times New Roman" w:eastAsia="宋体" w:cs="Times New Roman"/>
                <w:color w:val="auto"/>
                <w:spacing w:val="0"/>
                <w:sz w:val="24"/>
                <w:szCs w:val="24"/>
                <w:highlight w:val="none"/>
              </w:rPr>
              <w:t>。</w:t>
            </w:r>
          </w:p>
          <w:p w14:paraId="57C1DBFF">
            <w:pPr>
              <w:pStyle w:val="53"/>
              <w:keepNext w:val="0"/>
              <w:keepLines w:val="0"/>
              <w:pageBreakBefore w:val="0"/>
              <w:kinsoku/>
              <w:wordWrap/>
              <w:overflowPunct/>
              <w:topLinePunct w:val="0"/>
              <w:bidi w:val="0"/>
              <w:adjustRightInd w:val="0"/>
              <w:snapToGrid w:val="0"/>
              <w:spacing w:before="0" w:line="240" w:lineRule="auto"/>
              <w:ind w:left="0" w:leftChars="0" w:right="0" w:rightChars="0"/>
              <w:rPr>
                <w:rFonts w:hint="default" w:ascii="Times New Roman" w:hAnsi="Times New Roman" w:eastAsia="宋体" w:cs="Times New Roman"/>
                <w:b/>
                <w:color w:val="auto"/>
                <w:spacing w:val="0"/>
                <w:sz w:val="21"/>
                <w:szCs w:val="21"/>
                <w:highlight w:val="none"/>
                <w:lang w:val="en-US" w:eastAsia="zh-CN"/>
              </w:rPr>
            </w:pPr>
            <w:r>
              <w:rPr>
                <w:rFonts w:hint="default" w:ascii="Times New Roman" w:hAnsi="Times New Roman" w:eastAsia="宋体" w:cs="Times New Roman"/>
                <w:b/>
                <w:color w:val="auto"/>
                <w:spacing w:val="0"/>
                <w:sz w:val="21"/>
                <w:szCs w:val="21"/>
                <w:highlight w:val="none"/>
                <w:lang w:val="en-US" w:eastAsia="zh-CN"/>
              </w:rPr>
              <w:t>表4-16  固体废物排放信息</w:t>
            </w:r>
          </w:p>
          <w:tbl>
            <w:tblPr>
              <w:tblStyle w:val="30"/>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500"/>
              <w:gridCol w:w="1650"/>
              <w:gridCol w:w="1868"/>
              <w:gridCol w:w="1091"/>
              <w:gridCol w:w="1693"/>
            </w:tblGrid>
            <w:tr w14:paraId="5D17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1352C209">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序号</w:t>
                  </w:r>
                </w:p>
              </w:tc>
              <w:tc>
                <w:tcPr>
                  <w:tcW w:w="1500" w:type="dxa"/>
                  <w:tcBorders>
                    <w:tl2br w:val="nil"/>
                    <w:tr2bl w:val="nil"/>
                  </w:tcBorders>
                  <w:vAlign w:val="center"/>
                </w:tcPr>
                <w:p w14:paraId="713DF1EB">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固废名称</w:t>
                  </w:r>
                </w:p>
              </w:tc>
              <w:tc>
                <w:tcPr>
                  <w:tcW w:w="1650" w:type="dxa"/>
                  <w:tcBorders>
                    <w:tl2br w:val="nil"/>
                    <w:tr2bl w:val="nil"/>
                  </w:tcBorders>
                  <w:vAlign w:val="center"/>
                </w:tcPr>
                <w:p w14:paraId="7637BFF1">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属性</w:t>
                  </w:r>
                </w:p>
              </w:tc>
              <w:tc>
                <w:tcPr>
                  <w:tcW w:w="1868" w:type="dxa"/>
                  <w:tcBorders>
                    <w:tl2br w:val="nil"/>
                    <w:tr2bl w:val="nil"/>
                  </w:tcBorders>
                  <w:vAlign w:val="center"/>
                </w:tcPr>
                <w:p w14:paraId="7E7D2583">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废物代码</w:t>
                  </w:r>
                </w:p>
              </w:tc>
              <w:tc>
                <w:tcPr>
                  <w:tcW w:w="1091" w:type="dxa"/>
                  <w:tcBorders>
                    <w:tl2br w:val="nil"/>
                    <w:tr2bl w:val="nil"/>
                  </w:tcBorders>
                  <w:vAlign w:val="center"/>
                </w:tcPr>
                <w:p w14:paraId="4AE9835E">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产生量</w:t>
                  </w:r>
                </w:p>
              </w:tc>
              <w:tc>
                <w:tcPr>
                  <w:tcW w:w="1693" w:type="dxa"/>
                  <w:tcBorders>
                    <w:tl2br w:val="nil"/>
                    <w:tr2bl w:val="nil"/>
                  </w:tcBorders>
                  <w:vAlign w:val="center"/>
                </w:tcPr>
                <w:p w14:paraId="15F04BBB">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处置方式</w:t>
                  </w:r>
                </w:p>
              </w:tc>
            </w:tr>
            <w:tr w14:paraId="0811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79CA86D2">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500" w:type="dxa"/>
                  <w:tcBorders>
                    <w:tl2br w:val="nil"/>
                    <w:tr2bl w:val="nil"/>
                  </w:tcBorders>
                  <w:vAlign w:val="center"/>
                </w:tcPr>
                <w:p w14:paraId="1D415E65">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废包装材料</w:t>
                  </w:r>
                </w:p>
              </w:tc>
              <w:tc>
                <w:tcPr>
                  <w:tcW w:w="1650" w:type="dxa"/>
                  <w:tcBorders>
                    <w:tl2br w:val="nil"/>
                    <w:tr2bl w:val="nil"/>
                  </w:tcBorders>
                  <w:vAlign w:val="center"/>
                </w:tcPr>
                <w:p w14:paraId="346A6CBA">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一般工业固废</w:t>
                  </w:r>
                </w:p>
              </w:tc>
              <w:tc>
                <w:tcPr>
                  <w:tcW w:w="1868" w:type="dxa"/>
                  <w:tcBorders>
                    <w:tl2br w:val="nil"/>
                    <w:tr2bl w:val="nil"/>
                  </w:tcBorders>
                  <w:vAlign w:val="center"/>
                </w:tcPr>
                <w:p w14:paraId="0207B856">
                  <w:pPr>
                    <w:keepNext w:val="0"/>
                    <w:keepLines w:val="0"/>
                    <w:widowControl/>
                    <w:suppressLineNumbers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lang w:val="en-US" w:eastAsia="zh-CN" w:bidi="ar"/>
                    </w:rPr>
                    <w:t>SW17,900</w:t>
                  </w:r>
                  <w:r>
                    <w:rPr>
                      <w:rFonts w:hint="default" w:ascii="Times New Roman" w:hAnsi="Times New Roman" w:eastAsia="宋体" w:cs="Times New Roman"/>
                      <w:snapToGrid w:val="0"/>
                      <w:color w:val="auto"/>
                      <w:kern w:val="0"/>
                      <w:sz w:val="21"/>
                      <w:szCs w:val="21"/>
                      <w:highlight w:val="none"/>
                      <w:lang w:val="en-US" w:eastAsia="zh-CN" w:bidi="ar"/>
                    </w:rPr>
                    <w:t>-00</w:t>
                  </w:r>
                  <w:r>
                    <w:rPr>
                      <w:rFonts w:hint="eastAsia" w:ascii="Times New Roman" w:hAnsi="Times New Roman" w:eastAsia="宋体" w:cs="Times New Roman"/>
                      <w:snapToGrid w:val="0"/>
                      <w:color w:val="auto"/>
                      <w:kern w:val="0"/>
                      <w:sz w:val="21"/>
                      <w:szCs w:val="21"/>
                      <w:highlight w:val="none"/>
                      <w:lang w:val="en-US" w:eastAsia="zh-CN" w:bidi="ar"/>
                    </w:rPr>
                    <w:t>3</w:t>
                  </w:r>
                  <w:r>
                    <w:rPr>
                      <w:rFonts w:hint="default" w:ascii="Times New Roman" w:hAnsi="Times New Roman" w:eastAsia="宋体" w:cs="Times New Roman"/>
                      <w:snapToGrid w:val="0"/>
                      <w:color w:val="auto"/>
                      <w:kern w:val="0"/>
                      <w:sz w:val="21"/>
                      <w:szCs w:val="21"/>
                      <w:highlight w:val="none"/>
                      <w:lang w:val="en-US" w:eastAsia="zh-CN" w:bidi="ar"/>
                    </w:rPr>
                    <w:t>-</w:t>
                  </w:r>
                  <w:r>
                    <w:rPr>
                      <w:rFonts w:hint="eastAsia" w:ascii="Times New Roman" w:hAnsi="Times New Roman" w:eastAsia="宋体" w:cs="Times New Roman"/>
                      <w:snapToGrid w:val="0"/>
                      <w:color w:val="auto"/>
                      <w:kern w:val="0"/>
                      <w:sz w:val="21"/>
                      <w:szCs w:val="21"/>
                      <w:highlight w:val="none"/>
                      <w:lang w:val="en-US" w:eastAsia="zh-CN" w:bidi="ar"/>
                    </w:rPr>
                    <w:t>S17</w:t>
                  </w:r>
                </w:p>
              </w:tc>
              <w:tc>
                <w:tcPr>
                  <w:tcW w:w="1091" w:type="dxa"/>
                  <w:tcBorders>
                    <w:tl2br w:val="nil"/>
                    <w:tr2bl w:val="nil"/>
                  </w:tcBorders>
                  <w:vAlign w:val="center"/>
                </w:tcPr>
                <w:p w14:paraId="14529FE8">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1.594</w:t>
                  </w:r>
                  <w:r>
                    <w:rPr>
                      <w:rFonts w:hint="default" w:ascii="Times New Roman" w:hAnsi="Times New Roman" w:cs="Times New Roman"/>
                      <w:color w:val="auto"/>
                      <w:sz w:val="21"/>
                      <w:szCs w:val="21"/>
                      <w:highlight w:val="none"/>
                      <w:lang w:val="en-US" w:eastAsia="zh-CN"/>
                    </w:rPr>
                    <w:t>t/a</w:t>
                  </w:r>
                </w:p>
              </w:tc>
              <w:tc>
                <w:tcPr>
                  <w:tcW w:w="1693" w:type="dxa"/>
                  <w:tcBorders>
                    <w:tl2br w:val="nil"/>
                    <w:tr2bl w:val="nil"/>
                  </w:tcBorders>
                  <w:vAlign w:val="center"/>
                </w:tcPr>
                <w:p w14:paraId="16C4E60F">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外售废品回收站</w:t>
                  </w:r>
                </w:p>
              </w:tc>
            </w:tr>
            <w:tr w14:paraId="59D7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0E9DBDD0">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500" w:type="dxa"/>
                  <w:tcBorders>
                    <w:tl2br w:val="nil"/>
                    <w:tr2bl w:val="nil"/>
                  </w:tcBorders>
                  <w:vAlign w:val="center"/>
                </w:tcPr>
                <w:p w14:paraId="40FC5ADD">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金属边角料</w:t>
                  </w:r>
                </w:p>
              </w:tc>
              <w:tc>
                <w:tcPr>
                  <w:tcW w:w="1650" w:type="dxa"/>
                  <w:tcBorders>
                    <w:tl2br w:val="nil"/>
                    <w:tr2bl w:val="nil"/>
                  </w:tcBorders>
                  <w:vAlign w:val="center"/>
                </w:tcPr>
                <w:p w14:paraId="7203E874">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一般工业固废</w:t>
                  </w:r>
                </w:p>
              </w:tc>
              <w:tc>
                <w:tcPr>
                  <w:tcW w:w="1868" w:type="dxa"/>
                  <w:tcBorders>
                    <w:tl2br w:val="nil"/>
                    <w:tr2bl w:val="nil"/>
                  </w:tcBorders>
                  <w:vAlign w:val="center"/>
                </w:tcPr>
                <w:p w14:paraId="2A710115">
                  <w:pPr>
                    <w:keepNext w:val="0"/>
                    <w:keepLines w:val="0"/>
                    <w:widowControl/>
                    <w:suppressLineNumbers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lang w:val="en-US" w:eastAsia="zh-CN" w:bidi="ar"/>
                    </w:rPr>
                    <w:t>SW17,900</w:t>
                  </w:r>
                  <w:r>
                    <w:rPr>
                      <w:rFonts w:hint="default" w:ascii="Times New Roman" w:hAnsi="Times New Roman" w:eastAsia="宋体" w:cs="Times New Roman"/>
                      <w:snapToGrid w:val="0"/>
                      <w:color w:val="auto"/>
                      <w:kern w:val="0"/>
                      <w:sz w:val="21"/>
                      <w:szCs w:val="21"/>
                      <w:highlight w:val="none"/>
                      <w:lang w:val="en-US" w:eastAsia="zh-CN" w:bidi="ar"/>
                    </w:rPr>
                    <w:t>-00</w:t>
                  </w:r>
                  <w:r>
                    <w:rPr>
                      <w:rFonts w:hint="eastAsia" w:ascii="Times New Roman" w:hAnsi="Times New Roman" w:eastAsia="宋体" w:cs="Times New Roman"/>
                      <w:snapToGrid w:val="0"/>
                      <w:color w:val="auto"/>
                      <w:kern w:val="0"/>
                      <w:sz w:val="21"/>
                      <w:szCs w:val="21"/>
                      <w:highlight w:val="none"/>
                      <w:lang w:val="en-US" w:eastAsia="zh-CN" w:bidi="ar"/>
                    </w:rPr>
                    <w:t>1</w:t>
                  </w:r>
                  <w:r>
                    <w:rPr>
                      <w:rFonts w:hint="default" w:ascii="Times New Roman" w:hAnsi="Times New Roman" w:eastAsia="宋体" w:cs="Times New Roman"/>
                      <w:snapToGrid w:val="0"/>
                      <w:color w:val="auto"/>
                      <w:kern w:val="0"/>
                      <w:sz w:val="21"/>
                      <w:szCs w:val="21"/>
                      <w:highlight w:val="none"/>
                      <w:lang w:val="en-US" w:eastAsia="zh-CN" w:bidi="ar"/>
                    </w:rPr>
                    <w:t>-</w:t>
                  </w:r>
                  <w:r>
                    <w:rPr>
                      <w:rFonts w:hint="eastAsia" w:ascii="Times New Roman" w:hAnsi="Times New Roman" w:eastAsia="宋体" w:cs="Times New Roman"/>
                      <w:snapToGrid w:val="0"/>
                      <w:color w:val="auto"/>
                      <w:kern w:val="0"/>
                      <w:sz w:val="21"/>
                      <w:szCs w:val="21"/>
                      <w:highlight w:val="none"/>
                      <w:lang w:val="en-US" w:eastAsia="zh-CN" w:bidi="ar"/>
                    </w:rPr>
                    <w:t>S17</w:t>
                  </w:r>
                </w:p>
              </w:tc>
              <w:tc>
                <w:tcPr>
                  <w:tcW w:w="1091" w:type="dxa"/>
                  <w:tcBorders>
                    <w:tl2br w:val="nil"/>
                    <w:tr2bl w:val="nil"/>
                  </w:tcBorders>
                  <w:vAlign w:val="center"/>
                </w:tcPr>
                <w:p w14:paraId="29663B95">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t/a</w:t>
                  </w:r>
                </w:p>
              </w:tc>
              <w:tc>
                <w:tcPr>
                  <w:tcW w:w="1693" w:type="dxa"/>
                  <w:tcBorders>
                    <w:tl2br w:val="nil"/>
                    <w:tr2bl w:val="nil"/>
                  </w:tcBorders>
                  <w:vAlign w:val="center"/>
                </w:tcPr>
                <w:p w14:paraId="0F2E6C3E">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外售废品回收站</w:t>
                  </w:r>
                </w:p>
              </w:tc>
            </w:tr>
            <w:tr w14:paraId="2E77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6919D6F8">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500" w:type="dxa"/>
                  <w:tcBorders>
                    <w:tl2br w:val="nil"/>
                    <w:tr2bl w:val="nil"/>
                  </w:tcBorders>
                  <w:vAlign w:val="center"/>
                </w:tcPr>
                <w:p w14:paraId="114CF861">
                  <w:pPr>
                    <w:widowControl w:val="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除尘灰</w:t>
                  </w:r>
                </w:p>
              </w:tc>
              <w:tc>
                <w:tcPr>
                  <w:tcW w:w="1650" w:type="dxa"/>
                  <w:tcBorders>
                    <w:tl2br w:val="nil"/>
                    <w:tr2bl w:val="nil"/>
                  </w:tcBorders>
                  <w:vAlign w:val="center"/>
                </w:tcPr>
                <w:p w14:paraId="1AB8E3D6">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一般工业固废</w:t>
                  </w:r>
                </w:p>
              </w:tc>
              <w:tc>
                <w:tcPr>
                  <w:tcW w:w="1868" w:type="dxa"/>
                  <w:tcBorders>
                    <w:tl2br w:val="nil"/>
                    <w:tr2bl w:val="nil"/>
                  </w:tcBorders>
                  <w:vAlign w:val="center"/>
                </w:tcPr>
                <w:p w14:paraId="5863E0B8">
                  <w:pPr>
                    <w:keepNext w:val="0"/>
                    <w:keepLines w:val="0"/>
                    <w:widowControl/>
                    <w:suppressLineNumbers w:val="0"/>
                    <w:jc w:val="center"/>
                    <w:rPr>
                      <w:rFonts w:hint="default" w:ascii="Times New Roman" w:hAnsi="Times New Roman" w:eastAsia="宋体" w:cs="Times New Roman"/>
                      <w:snapToGrid w:val="0"/>
                      <w:color w:val="auto"/>
                      <w:kern w:val="0"/>
                      <w:sz w:val="21"/>
                      <w:szCs w:val="21"/>
                      <w:highlight w:val="none"/>
                      <w:lang w:val="en-US" w:eastAsia="zh-CN" w:bidi="ar"/>
                    </w:rPr>
                  </w:pPr>
                  <w:r>
                    <w:rPr>
                      <w:rFonts w:hint="eastAsia" w:ascii="Times New Roman" w:hAnsi="Times New Roman" w:eastAsia="宋体" w:cs="Times New Roman"/>
                      <w:snapToGrid w:val="0"/>
                      <w:color w:val="auto"/>
                      <w:kern w:val="0"/>
                      <w:sz w:val="21"/>
                      <w:szCs w:val="21"/>
                      <w:highlight w:val="none"/>
                      <w:lang w:val="en-US" w:eastAsia="zh-CN" w:bidi="ar"/>
                    </w:rPr>
                    <w:t>SW59,</w:t>
                  </w:r>
                  <w:r>
                    <w:rPr>
                      <w:rFonts w:hint="default" w:ascii="Times New Roman" w:hAnsi="Times New Roman" w:eastAsia="宋体" w:cs="Times New Roman"/>
                      <w:snapToGrid w:val="0"/>
                      <w:color w:val="auto"/>
                      <w:kern w:val="0"/>
                      <w:sz w:val="21"/>
                      <w:szCs w:val="21"/>
                      <w:highlight w:val="none"/>
                      <w:lang w:val="en-US" w:eastAsia="zh-CN" w:bidi="ar"/>
                    </w:rPr>
                    <w:t>900-099-S59</w:t>
                  </w:r>
                </w:p>
              </w:tc>
              <w:tc>
                <w:tcPr>
                  <w:tcW w:w="1091" w:type="dxa"/>
                  <w:tcBorders>
                    <w:tl2br w:val="nil"/>
                    <w:tr2bl w:val="nil"/>
                  </w:tcBorders>
                  <w:vAlign w:val="center"/>
                </w:tcPr>
                <w:p w14:paraId="782F60B8">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10.538</w:t>
                  </w:r>
                </w:p>
              </w:tc>
              <w:tc>
                <w:tcPr>
                  <w:tcW w:w="1693" w:type="dxa"/>
                  <w:tcBorders>
                    <w:tl2br w:val="nil"/>
                    <w:tr2bl w:val="nil"/>
                  </w:tcBorders>
                  <w:shd w:val="clear" w:color="auto" w:fill="auto"/>
                  <w:vAlign w:val="center"/>
                </w:tcPr>
                <w:p w14:paraId="2173165B">
                  <w:pPr>
                    <w:widowControl w:val="0"/>
                    <w:jc w:val="center"/>
                    <w:rPr>
                      <w:rFonts w:hint="default" w:ascii="Times New Roman" w:hAnsi="Times New Roman" w:eastAsia="Arial" w:cs="Times New Roman"/>
                      <w:snapToGrid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外售废品回收站</w:t>
                  </w:r>
                </w:p>
              </w:tc>
            </w:tr>
            <w:tr w14:paraId="45D7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245367F4">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1500" w:type="dxa"/>
                  <w:tcBorders>
                    <w:tl2br w:val="nil"/>
                    <w:tr2bl w:val="nil"/>
                  </w:tcBorders>
                  <w:vAlign w:val="center"/>
                </w:tcPr>
                <w:p w14:paraId="05DB451F">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油漆桶</w:t>
                  </w:r>
                </w:p>
              </w:tc>
              <w:tc>
                <w:tcPr>
                  <w:tcW w:w="1650" w:type="dxa"/>
                  <w:tcBorders>
                    <w:tl2br w:val="nil"/>
                    <w:tr2bl w:val="nil"/>
                  </w:tcBorders>
                  <w:vAlign w:val="center"/>
                </w:tcPr>
                <w:p w14:paraId="70CC37AA">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危险固废</w:t>
                  </w:r>
                </w:p>
              </w:tc>
              <w:tc>
                <w:tcPr>
                  <w:tcW w:w="1868" w:type="dxa"/>
                  <w:tcBorders>
                    <w:tl2br w:val="nil"/>
                    <w:tr2bl w:val="nil"/>
                  </w:tcBorders>
                  <w:vAlign w:val="center"/>
                </w:tcPr>
                <w:p w14:paraId="6B69D5A9">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HW12</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900-252-12</w:t>
                  </w:r>
                </w:p>
              </w:tc>
              <w:tc>
                <w:tcPr>
                  <w:tcW w:w="1091" w:type="dxa"/>
                  <w:tcBorders>
                    <w:tl2br w:val="nil"/>
                    <w:tr2bl w:val="nil"/>
                  </w:tcBorders>
                  <w:vAlign w:val="center"/>
                </w:tcPr>
                <w:p w14:paraId="07854333">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0.05t/a</w:t>
                  </w:r>
                </w:p>
              </w:tc>
              <w:tc>
                <w:tcPr>
                  <w:tcW w:w="1693" w:type="dxa"/>
                  <w:vMerge w:val="restart"/>
                  <w:tcBorders>
                    <w:tl2br w:val="nil"/>
                    <w:tr2bl w:val="nil"/>
                  </w:tcBorders>
                  <w:vAlign w:val="center"/>
                </w:tcPr>
                <w:p w14:paraId="381F7F29">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有资质的单位进行处置</w:t>
                  </w:r>
                </w:p>
              </w:tc>
            </w:tr>
            <w:tr w14:paraId="3B1E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445685A7">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1500" w:type="dxa"/>
                  <w:tcBorders>
                    <w:tl2br w:val="nil"/>
                    <w:tr2bl w:val="nil"/>
                  </w:tcBorders>
                  <w:vAlign w:val="center"/>
                </w:tcPr>
                <w:p w14:paraId="4E72C9E1">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废活性炭</w:t>
                  </w:r>
                </w:p>
              </w:tc>
              <w:tc>
                <w:tcPr>
                  <w:tcW w:w="1650" w:type="dxa"/>
                  <w:tcBorders>
                    <w:tl2br w:val="nil"/>
                    <w:tr2bl w:val="nil"/>
                  </w:tcBorders>
                  <w:vAlign w:val="center"/>
                </w:tcPr>
                <w:p w14:paraId="691A2396">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危险固废</w:t>
                  </w:r>
                </w:p>
              </w:tc>
              <w:tc>
                <w:tcPr>
                  <w:tcW w:w="1868" w:type="dxa"/>
                  <w:tcBorders>
                    <w:tl2br w:val="nil"/>
                    <w:tr2bl w:val="nil"/>
                  </w:tcBorders>
                  <w:vAlign w:val="center"/>
                </w:tcPr>
                <w:p w14:paraId="130BC71D">
                  <w:pPr>
                    <w:keepNext w:val="0"/>
                    <w:keepLines w:val="0"/>
                    <w:widowControl/>
                    <w:suppressLineNumbers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
                    </w:rPr>
                    <w:t>HW49</w:t>
                  </w:r>
                  <w:r>
                    <w:rPr>
                      <w:rFonts w:hint="eastAsia" w:ascii="Times New Roman" w:hAnsi="Times New Roman" w:eastAsia="宋体" w:cs="Times New Roman"/>
                      <w:snapToGrid w:val="0"/>
                      <w:color w:val="auto"/>
                      <w:kern w:val="0"/>
                      <w:sz w:val="21"/>
                      <w:szCs w:val="21"/>
                      <w:highlight w:val="none"/>
                      <w:lang w:val="en-US" w:eastAsia="zh-CN" w:bidi="ar"/>
                    </w:rPr>
                    <w:t>,</w:t>
                  </w:r>
                  <w:r>
                    <w:rPr>
                      <w:rFonts w:hint="default" w:ascii="Times New Roman" w:hAnsi="Times New Roman" w:eastAsia="宋体" w:cs="Times New Roman"/>
                      <w:snapToGrid w:val="0"/>
                      <w:color w:val="auto"/>
                      <w:kern w:val="0"/>
                      <w:sz w:val="21"/>
                      <w:szCs w:val="21"/>
                      <w:highlight w:val="none"/>
                      <w:lang w:val="en-US" w:eastAsia="zh-CN" w:bidi="ar"/>
                    </w:rPr>
                    <w:t>900-039-49</w:t>
                  </w:r>
                </w:p>
              </w:tc>
              <w:tc>
                <w:tcPr>
                  <w:tcW w:w="1091" w:type="dxa"/>
                  <w:tcBorders>
                    <w:tl2br w:val="nil"/>
                    <w:tr2bl w:val="nil"/>
                  </w:tcBorders>
                  <w:vAlign w:val="center"/>
                </w:tcPr>
                <w:p w14:paraId="1AB31273">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55</w:t>
                  </w:r>
                  <w:r>
                    <w:rPr>
                      <w:rFonts w:hint="default" w:ascii="Times New Roman" w:hAnsi="Times New Roman" w:cs="Times New Roman"/>
                      <w:color w:val="auto"/>
                      <w:sz w:val="21"/>
                      <w:szCs w:val="21"/>
                      <w:highlight w:val="none"/>
                      <w:lang w:val="en-US" w:eastAsia="zh-CN"/>
                    </w:rPr>
                    <w:t>t/a</w:t>
                  </w:r>
                </w:p>
              </w:tc>
              <w:tc>
                <w:tcPr>
                  <w:tcW w:w="1693" w:type="dxa"/>
                  <w:vMerge w:val="continue"/>
                  <w:tcBorders>
                    <w:tl2br w:val="nil"/>
                    <w:tr2bl w:val="nil"/>
                  </w:tcBorders>
                  <w:vAlign w:val="center"/>
                </w:tcPr>
                <w:p w14:paraId="6BEE49FD">
                  <w:pPr>
                    <w:widowControl w:val="0"/>
                    <w:jc w:val="center"/>
                    <w:rPr>
                      <w:rFonts w:hint="default" w:ascii="Times New Roman" w:hAnsi="Times New Roman" w:cs="Times New Roman"/>
                      <w:color w:val="auto"/>
                      <w:sz w:val="21"/>
                      <w:szCs w:val="21"/>
                      <w:highlight w:val="none"/>
                      <w:lang w:val="en-US" w:eastAsia="zh-CN"/>
                    </w:rPr>
                  </w:pPr>
                </w:p>
              </w:tc>
            </w:tr>
            <w:tr w14:paraId="22D2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Borders>
                    <w:tl2br w:val="nil"/>
                    <w:tr2bl w:val="nil"/>
                  </w:tcBorders>
                  <w:vAlign w:val="center"/>
                </w:tcPr>
                <w:p w14:paraId="2352F6E1">
                  <w:pPr>
                    <w:widowControl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1500" w:type="dxa"/>
                  <w:tcBorders>
                    <w:tl2br w:val="nil"/>
                    <w:tr2bl w:val="nil"/>
                  </w:tcBorders>
                  <w:vAlign w:val="center"/>
                </w:tcPr>
                <w:p w14:paraId="2D3E8BF8">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废漆渣</w:t>
                  </w:r>
                </w:p>
              </w:tc>
              <w:tc>
                <w:tcPr>
                  <w:tcW w:w="1650" w:type="dxa"/>
                  <w:tcBorders>
                    <w:tl2br w:val="nil"/>
                    <w:tr2bl w:val="nil"/>
                  </w:tcBorders>
                  <w:vAlign w:val="center"/>
                </w:tcPr>
                <w:p w14:paraId="0447E492">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危险固废</w:t>
                  </w:r>
                </w:p>
              </w:tc>
              <w:tc>
                <w:tcPr>
                  <w:tcW w:w="1868" w:type="dxa"/>
                  <w:tcBorders>
                    <w:tl2br w:val="nil"/>
                    <w:tr2bl w:val="nil"/>
                  </w:tcBorders>
                  <w:vAlign w:val="center"/>
                </w:tcPr>
                <w:p w14:paraId="1879C1ED">
                  <w:pPr>
                    <w:keepNext w:val="0"/>
                    <w:keepLines w:val="0"/>
                    <w:widowControl/>
                    <w:suppressLineNumbers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
                    </w:rPr>
                    <w:t>HW12</w:t>
                  </w:r>
                  <w:r>
                    <w:rPr>
                      <w:rFonts w:hint="eastAsia" w:ascii="Times New Roman" w:hAnsi="Times New Roman" w:eastAsia="宋体" w:cs="Times New Roman"/>
                      <w:snapToGrid w:val="0"/>
                      <w:color w:val="auto"/>
                      <w:kern w:val="0"/>
                      <w:sz w:val="21"/>
                      <w:szCs w:val="21"/>
                      <w:highlight w:val="none"/>
                      <w:lang w:val="en-US" w:eastAsia="zh-CN" w:bidi="ar"/>
                    </w:rPr>
                    <w:t>,</w:t>
                  </w:r>
                  <w:r>
                    <w:rPr>
                      <w:rFonts w:hint="default" w:ascii="Times New Roman" w:hAnsi="Times New Roman" w:eastAsia="宋体" w:cs="Times New Roman"/>
                      <w:snapToGrid w:val="0"/>
                      <w:color w:val="auto"/>
                      <w:kern w:val="0"/>
                      <w:sz w:val="21"/>
                      <w:szCs w:val="21"/>
                      <w:highlight w:val="none"/>
                      <w:lang w:val="en-US" w:eastAsia="zh-CN" w:bidi="ar"/>
                    </w:rPr>
                    <w:t>900-252-12</w:t>
                  </w:r>
                </w:p>
              </w:tc>
              <w:tc>
                <w:tcPr>
                  <w:tcW w:w="1091" w:type="dxa"/>
                  <w:tcBorders>
                    <w:tl2br w:val="nil"/>
                    <w:tr2bl w:val="nil"/>
                  </w:tcBorders>
                  <w:vAlign w:val="center"/>
                </w:tcPr>
                <w:p w14:paraId="4BFD6E5A">
                  <w:pPr>
                    <w:widowControl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0.03t/a</w:t>
                  </w:r>
                </w:p>
              </w:tc>
              <w:tc>
                <w:tcPr>
                  <w:tcW w:w="1693" w:type="dxa"/>
                  <w:vMerge w:val="continue"/>
                  <w:tcBorders>
                    <w:tl2br w:val="nil"/>
                    <w:tr2bl w:val="nil"/>
                  </w:tcBorders>
                  <w:vAlign w:val="center"/>
                </w:tcPr>
                <w:p w14:paraId="3E0F6612">
                  <w:pPr>
                    <w:widowControl w:val="0"/>
                    <w:jc w:val="center"/>
                    <w:rPr>
                      <w:rFonts w:hint="default" w:ascii="Times New Roman" w:hAnsi="Times New Roman" w:cs="Times New Roman"/>
                      <w:color w:val="auto"/>
                      <w:sz w:val="21"/>
                      <w:szCs w:val="21"/>
                      <w:highlight w:val="none"/>
                      <w:lang w:val="en-US" w:eastAsia="zh-CN"/>
                    </w:rPr>
                  </w:pPr>
                </w:p>
              </w:tc>
            </w:tr>
          </w:tbl>
          <w:p w14:paraId="5643F996">
            <w:pPr>
              <w:pStyle w:val="38"/>
              <w:keepNext w:val="0"/>
              <w:keepLines w:val="0"/>
              <w:pageBreakBefore w:val="0"/>
              <w:widowControl w:val="0"/>
              <w:kinsoku/>
              <w:wordWrap/>
              <w:overflowPunct/>
              <w:topLinePunct w:val="0"/>
              <w:autoSpaceDE/>
              <w:autoSpaceDN/>
              <w:bidi w:val="0"/>
              <w:adjustRightInd w:val="0"/>
              <w:snapToGrid w:val="0"/>
              <w:spacing w:before="0" w:beforeLines="50" w:line="360" w:lineRule="auto"/>
              <w:ind w:firstLine="482" w:firstLineChars="200"/>
              <w:jc w:val="both"/>
              <w:textAlignment w:val="auto"/>
              <w:rPr>
                <w:rFonts w:hint="default" w:ascii="Times New Roman" w:hAnsi="Times New Roman" w:cs="Times New Roman" w:eastAsiaTheme="minorEastAsia"/>
                <w:color w:val="auto"/>
                <w:spacing w:val="0"/>
                <w:sz w:val="24"/>
                <w:szCs w:val="24"/>
                <w:highlight w:val="none"/>
                <w:lang w:val="en-US" w:eastAsia="zh-CN"/>
              </w:rPr>
            </w:pPr>
            <w:r>
              <w:rPr>
                <w:rFonts w:hint="default" w:ascii="Times New Roman" w:hAnsi="Times New Roman" w:cs="Times New Roman" w:eastAsiaTheme="minorEastAsia"/>
                <w:b/>
                <w:bCs/>
                <w:color w:val="auto"/>
                <w:spacing w:val="0"/>
                <w:sz w:val="24"/>
                <w:szCs w:val="24"/>
                <w:highlight w:val="none"/>
                <w:lang w:val="en-US" w:eastAsia="zh-CN"/>
              </w:rPr>
              <w:t>（二）一般</w:t>
            </w:r>
            <w:r>
              <w:rPr>
                <w:rFonts w:hint="default" w:ascii="Times New Roman" w:hAnsi="Times New Roman" w:cs="Times New Roman" w:eastAsiaTheme="minorEastAsia"/>
                <w:b/>
                <w:bCs/>
                <w:color w:val="auto"/>
                <w:spacing w:val="0"/>
                <w:sz w:val="24"/>
                <w:szCs w:val="24"/>
                <w:highlight w:val="none"/>
              </w:rPr>
              <w:t>固废</w:t>
            </w:r>
            <w:r>
              <w:rPr>
                <w:rFonts w:hint="default" w:ascii="Times New Roman" w:hAnsi="Times New Roman" w:cs="Times New Roman" w:eastAsiaTheme="minorEastAsia"/>
                <w:b/>
                <w:bCs/>
                <w:color w:val="auto"/>
                <w:spacing w:val="0"/>
                <w:sz w:val="24"/>
                <w:szCs w:val="24"/>
                <w:highlight w:val="none"/>
                <w:lang w:val="en-US" w:eastAsia="zh-CN"/>
              </w:rPr>
              <w:t>管理要求</w:t>
            </w:r>
          </w:p>
          <w:p w14:paraId="4B667BE1">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 xml:space="preserve">一般固体废物的管理应严格按照《中华人民共和国固体废物污染环境防治法》中一般固废的相关条款执行。一般固体废物的贮存及管理台账应按《一般工业固体废物贮存和填埋污染控制标准》（GB 18599-2020）、《一般工业固体废物管理台账制定指南（试行）》（公告2021年第82号）的有关规定执行。 </w:t>
            </w:r>
          </w:p>
          <w:p w14:paraId="0C46AEBD">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（1）企业应当根据经济、技术条件对工业固体废物加以利用；对暂时不利用或者不能利用的，应当按照生态环境主管部门的规定建设贮存设施、场所</w:t>
            </w:r>
            <w:r>
              <w:rPr>
                <w:rFonts w:hint="eastAsia" w:ascii="Times New Roman" w:hAnsi="Times New Roman" w:eastAsia="宋体" w:cs="Times New Roman"/>
                <w:color w:val="auto"/>
                <w:spacing w:val="0"/>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防雨、防渗、防扬尘</w:t>
            </w:r>
            <w:r>
              <w:rPr>
                <w:rFonts w:hint="eastAsia" w:ascii="Times New Roman" w:hAnsi="Times New Roman" w:eastAsia="宋体"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 xml:space="preserve">，安全分类存放，或者采取无害化处置措施。 </w:t>
            </w:r>
          </w:p>
          <w:p w14:paraId="03B386EF">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 xml:space="preserve">（2）贮存工业固体废物应当采取符合国家环境保护标准的防护措施。 </w:t>
            </w:r>
          </w:p>
          <w:p w14:paraId="1B70286A">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 xml:space="preserve">（3）应当在指定的地点分类投放生活垃圾。禁止随意倾倒、抛撒、堆放或者焚烧生活垃圾。 </w:t>
            </w:r>
          </w:p>
          <w:p w14:paraId="6B1DCEA5">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 xml:space="preserve">（4）易产生扬尘的贮存采取分区作业、覆盖、洒水等有效抑尘措施防止扬尘污染。 </w:t>
            </w:r>
          </w:p>
          <w:p w14:paraId="30BF3A66">
            <w:pPr>
              <w:pStyle w:val="38"/>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val="en-US" w:eastAsia="zh-CN"/>
              </w:rPr>
              <w:t xml:space="preserve">（5）按年填写固体废物产生信息及变动情况；按月填写固体废物产生、贮存、利用、处置数量和利用、处置方式等信息；按批次填写每一批次固体废物的出厂以及转移信息。 </w:t>
            </w:r>
          </w:p>
          <w:p w14:paraId="5A5FC9BC">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pacing w:val="0"/>
                <w:kern w:val="2"/>
                <w:sz w:val="24"/>
                <w:szCs w:val="24"/>
                <w:highlight w:val="none"/>
                <w:lang w:val="en-US" w:eastAsia="zh-CN" w:bidi="ar-SA"/>
              </w:rPr>
            </w:pPr>
            <w:r>
              <w:rPr>
                <w:rFonts w:hint="default" w:ascii="Times New Roman" w:hAnsi="Times New Roman" w:eastAsia="宋体" w:cs="Times New Roman"/>
                <w:b/>
                <w:bCs/>
                <w:color w:val="auto"/>
                <w:spacing w:val="0"/>
                <w:kern w:val="2"/>
                <w:sz w:val="24"/>
                <w:szCs w:val="24"/>
                <w:highlight w:val="none"/>
                <w:lang w:val="en-US" w:eastAsia="zh-CN" w:bidi="ar-SA"/>
              </w:rPr>
              <w:t>（三）危险废物的环境管理</w:t>
            </w:r>
          </w:p>
          <w:p w14:paraId="54CCEBAD">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（1）危废暂存间应具有固定的区域边界，并与其他区域进行隔离。 </w:t>
            </w:r>
          </w:p>
          <w:p w14:paraId="5E1CBF68">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（2）危废暂存间应采取防风、防雨、防晒和防止危险废物流失、扬散等措施。 </w:t>
            </w:r>
          </w:p>
          <w:p w14:paraId="3252411F">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（3）危废暂存间贮存的危险废物应置于容器或包装物中，不应直接散堆。 </w:t>
            </w:r>
          </w:p>
          <w:p w14:paraId="44599CD3">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（4）应根据危险废物的形态、物理化学性质、包装形式等，采取防渗、防漏等污染防治措施或采用具有相应功能的装置。 </w:t>
            </w:r>
          </w:p>
          <w:p w14:paraId="5C80ED61">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（5）危废暂存间应及时清运贮存的危险废物，实时贮存</w:t>
            </w:r>
            <w:r>
              <w:rPr>
                <w:rFonts w:hint="eastAsia" w:ascii="Times New Roman" w:hAnsi="Times New Roman" w:eastAsia="宋体" w:cs="Times New Roman"/>
                <w:color w:val="auto"/>
                <w:sz w:val="24"/>
                <w:szCs w:val="24"/>
                <w:highlight w:val="none"/>
                <w:lang w:val="en-US" w:eastAsia="zh-CN"/>
              </w:rPr>
              <w:t>时间不应超过一年</w:t>
            </w:r>
            <w:r>
              <w:rPr>
                <w:rFonts w:hint="default" w:ascii="Times New Roman" w:hAnsi="Times New Roman" w:eastAsia="宋体" w:cs="Times New Roman"/>
                <w:color w:val="auto"/>
                <w:sz w:val="24"/>
                <w:szCs w:val="24"/>
                <w:highlight w:val="none"/>
                <w:lang w:val="en-US" w:eastAsia="zh-CN"/>
              </w:rPr>
              <w:t xml:space="preserve">。 </w:t>
            </w:r>
          </w:p>
          <w:p w14:paraId="4BE5BC4C">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（6）危废暂存间由企业指定专员管理，危废暂存间须设置危险废物管理台账，做好出入库的检验和登记。 </w:t>
            </w:r>
          </w:p>
          <w:p w14:paraId="02B92120">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（7）危险废物管理台账保存时间原则上应存档5年以上。 </w:t>
            </w:r>
          </w:p>
          <w:p w14:paraId="694F248B">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（8）建设单位应建立规范的管理和技术人员培训制度，定期对管理和技术人员进行培训。培训内容包括：危险废物转移联单管理、危险废物包装和标识、危险废物运输要求、危险废物事故应急方法等。</w:t>
            </w:r>
          </w:p>
          <w:p w14:paraId="1800C5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rPr>
            </w:pPr>
            <w:r>
              <w:rPr>
                <w:rFonts w:hint="eastAsia" w:ascii="Times New Roman" w:hAnsi="Times New Roman" w:eastAsia="宋体" w:cs="Times New Roman"/>
                <w:bCs/>
                <w:color w:val="auto"/>
                <w:spacing w:val="0"/>
                <w:sz w:val="24"/>
                <w:highlight w:val="none"/>
                <w:lang w:val="en-US" w:eastAsia="zh-CN"/>
              </w:rPr>
              <w:t>（9）</w:t>
            </w:r>
            <w:r>
              <w:rPr>
                <w:rFonts w:hint="default" w:ascii="Times New Roman" w:hAnsi="Times New Roman" w:eastAsia="宋体" w:cs="Times New Roman"/>
                <w:color w:val="auto"/>
                <w:sz w:val="24"/>
                <w:szCs w:val="24"/>
                <w:highlight w:val="none"/>
                <w:lang w:val="en-US" w:eastAsia="zh-CN"/>
              </w:rPr>
              <w:t>危险废物</w:t>
            </w:r>
            <w:r>
              <w:rPr>
                <w:rFonts w:hint="default" w:ascii="Times New Roman" w:hAnsi="Times New Roman" w:cs="Times New Roman"/>
                <w:color w:val="auto"/>
                <w:sz w:val="24"/>
                <w:szCs w:val="24"/>
                <w:highlight w:val="none"/>
                <w:lang w:val="en-US" w:eastAsia="zh-CN"/>
              </w:rPr>
              <w:t>暂存间</w:t>
            </w:r>
            <w:r>
              <w:rPr>
                <w:rFonts w:hint="default" w:ascii="Times New Roman" w:hAnsi="Times New Roman" w:eastAsia="宋体" w:cs="Times New Roman"/>
                <w:color w:val="auto"/>
                <w:sz w:val="24"/>
                <w:szCs w:val="24"/>
                <w:highlight w:val="none"/>
                <w:lang w:val="en-US" w:eastAsia="zh-CN"/>
              </w:rPr>
              <w:t>内</w:t>
            </w:r>
            <w:r>
              <w:rPr>
                <w:rFonts w:hint="eastAsia" w:ascii="Times New Roman" w:hAnsi="Times New Roman" w:eastAsia="宋体" w:cs="Times New Roman"/>
                <w:color w:val="auto"/>
                <w:sz w:val="24"/>
                <w:szCs w:val="24"/>
                <w:highlight w:val="none"/>
                <w:lang w:val="en-US" w:eastAsia="zh-CN"/>
              </w:rPr>
              <w:t>需</w:t>
            </w:r>
            <w:r>
              <w:rPr>
                <w:rFonts w:hint="default" w:ascii="Times New Roman" w:hAnsi="Times New Roman" w:eastAsia="宋体" w:cs="Times New Roman"/>
                <w:color w:val="auto"/>
                <w:sz w:val="24"/>
                <w:szCs w:val="24"/>
                <w:highlight w:val="none"/>
                <w:lang w:val="en-US" w:eastAsia="zh-CN"/>
              </w:rPr>
              <w:t>设置分区进行分类贮存，</w:t>
            </w:r>
            <w:r>
              <w:rPr>
                <w:rFonts w:hint="default" w:ascii="Times New Roman" w:hAnsi="Times New Roman" w:cs="Times New Roman"/>
                <w:color w:val="auto"/>
                <w:sz w:val="24"/>
                <w:szCs w:val="24"/>
                <w:highlight w:val="none"/>
                <w:lang w:val="en-US" w:eastAsia="zh-CN"/>
              </w:rPr>
              <w:t>危险废物暂存间</w:t>
            </w:r>
            <w:r>
              <w:rPr>
                <w:rFonts w:hint="default" w:ascii="Times New Roman" w:hAnsi="Times New Roman" w:eastAsia="宋体" w:cs="Times New Roman"/>
                <w:color w:val="auto"/>
                <w:sz w:val="24"/>
                <w:szCs w:val="24"/>
                <w:highlight w:val="none"/>
                <w:lang w:val="en-US" w:eastAsia="zh-CN"/>
              </w:rPr>
              <w:t>地面导流沟、墙裙、围堰采取了防渗、防腐措施，铺设2mm厚高密度聚乙烯材料，或至少2mm 厚</w:t>
            </w:r>
            <w:r>
              <w:rPr>
                <w:rFonts w:hint="eastAsia" w:cs="Times New Roman"/>
                <w:color w:val="auto"/>
                <w:sz w:val="24"/>
                <w:szCs w:val="24"/>
                <w:highlight w:val="none"/>
                <w:lang w:val="en-US" w:eastAsia="zh-CN"/>
              </w:rPr>
              <w:t>的其他</w:t>
            </w:r>
            <w:r>
              <w:rPr>
                <w:rFonts w:hint="default" w:ascii="Times New Roman" w:hAnsi="Times New Roman" w:eastAsia="宋体" w:cs="Times New Roman"/>
                <w:color w:val="auto"/>
                <w:sz w:val="24"/>
                <w:szCs w:val="24"/>
                <w:highlight w:val="none"/>
                <w:lang w:val="en-US" w:eastAsia="zh-CN"/>
              </w:rPr>
              <w:t>人工材料，渗透系数≤10</w:t>
            </w:r>
            <w:r>
              <w:rPr>
                <w:rFonts w:hint="default" w:ascii="Times New Roman" w:hAnsi="Times New Roman" w:eastAsia="宋体" w:cs="Times New Roman"/>
                <w:color w:val="auto"/>
                <w:sz w:val="24"/>
                <w:szCs w:val="24"/>
                <w:highlight w:val="none"/>
                <w:vertAlign w:val="superscript"/>
                <w:lang w:val="en-US" w:eastAsia="zh-CN"/>
              </w:rPr>
              <w:t xml:space="preserve"> -</w:t>
            </w:r>
            <w:r>
              <w:rPr>
                <w:rFonts w:hint="default" w:ascii="Times New Roman" w:hAnsi="Times New Roman" w:cs="Times New Roman"/>
                <w:color w:val="auto"/>
                <w:sz w:val="24"/>
                <w:szCs w:val="24"/>
                <w:highlight w:val="none"/>
                <w:vertAlign w:val="superscript"/>
                <w:lang w:val="en-US" w:eastAsia="zh-CN"/>
              </w:rPr>
              <w:t>7</w:t>
            </w:r>
            <w:r>
              <w:rPr>
                <w:rFonts w:hint="default" w:ascii="Times New Roman" w:hAnsi="Times New Roman" w:eastAsia="宋体" w:cs="Times New Roman"/>
                <w:color w:val="auto"/>
                <w:sz w:val="24"/>
                <w:szCs w:val="24"/>
                <w:highlight w:val="none"/>
                <w:lang w:val="en-US" w:eastAsia="zh-CN"/>
              </w:rPr>
              <w:t xml:space="preserve"> cm/s，保证无渗漏缝，符合《危险废物贮存污染控制标准》（GB18597-</w:t>
            </w:r>
            <w:r>
              <w:rPr>
                <w:rFonts w:hint="default" w:ascii="Times New Roman" w:hAnsi="Times New Roman" w:cs="Times New Roman"/>
                <w:color w:val="auto"/>
                <w:sz w:val="24"/>
                <w:szCs w:val="24"/>
                <w:highlight w:val="none"/>
                <w:lang w:val="en-US" w:eastAsia="zh-CN"/>
              </w:rPr>
              <w:t>2023</w:t>
            </w:r>
            <w:r>
              <w:rPr>
                <w:rFonts w:hint="default" w:ascii="Times New Roman" w:hAnsi="Times New Roman" w:eastAsia="宋体" w:cs="Times New Roman"/>
                <w:color w:val="auto"/>
                <w:sz w:val="24"/>
                <w:szCs w:val="24"/>
                <w:highlight w:val="none"/>
                <w:lang w:val="en-US" w:eastAsia="zh-CN"/>
              </w:rPr>
              <w:t>）要求。</w:t>
            </w:r>
            <w:r>
              <w:rPr>
                <w:rFonts w:hint="default" w:ascii="Times New Roman" w:hAnsi="Times New Roman" w:cs="Times New Roman"/>
                <w:color w:val="auto"/>
                <w:sz w:val="24"/>
                <w:szCs w:val="24"/>
                <w:highlight w:val="none"/>
                <w:lang w:val="en-US" w:eastAsia="zh-CN"/>
              </w:rPr>
              <w:t>暂存间内</w:t>
            </w:r>
            <w:r>
              <w:rPr>
                <w:rFonts w:hint="default" w:ascii="Times New Roman" w:hAnsi="Times New Roman" w:eastAsia="宋体" w:cs="Times New Roman"/>
                <w:color w:val="auto"/>
                <w:sz w:val="24"/>
                <w:szCs w:val="24"/>
                <w:highlight w:val="none"/>
                <w:lang w:val="en-US" w:eastAsia="zh-CN"/>
              </w:rPr>
              <w:t>设置防爆照明设施和观察窗口</w:t>
            </w:r>
            <w:r>
              <w:rPr>
                <w:rStyle w:val="54"/>
                <w:rFonts w:hint="default" w:ascii="Times New Roman" w:hAnsi="Times New Roman" w:eastAsia="宋体" w:cs="Times New Roman"/>
                <w:color w:val="auto"/>
                <w:spacing w:val="0"/>
                <w:sz w:val="24"/>
                <w:szCs w:val="24"/>
                <w:highlight w:val="none"/>
                <w:lang w:val="en-US" w:eastAsia="zh-CN"/>
              </w:rPr>
              <w:t>，暂存间外设立分区、危险废物贮存设施</w:t>
            </w:r>
            <w:r>
              <w:rPr>
                <w:rStyle w:val="54"/>
                <w:rFonts w:hint="eastAsia" w:ascii="Times New Roman" w:hAnsi="Times New Roman" w:eastAsia="宋体" w:cs="Times New Roman"/>
                <w:color w:val="auto"/>
                <w:spacing w:val="0"/>
                <w:sz w:val="24"/>
                <w:szCs w:val="24"/>
                <w:highlight w:val="none"/>
                <w:lang w:val="en-US" w:eastAsia="zh-CN"/>
              </w:rPr>
              <w:t>以及</w:t>
            </w:r>
            <w:r>
              <w:rPr>
                <w:rStyle w:val="54"/>
                <w:rFonts w:hint="default" w:ascii="Times New Roman" w:hAnsi="Times New Roman" w:eastAsia="宋体" w:cs="Times New Roman"/>
                <w:color w:val="auto"/>
                <w:spacing w:val="0"/>
                <w:sz w:val="24"/>
                <w:szCs w:val="24"/>
                <w:highlight w:val="none"/>
                <w:lang w:val="en-US" w:eastAsia="zh-CN"/>
              </w:rPr>
              <w:t>危险废物种类标识。</w:t>
            </w:r>
            <w:r>
              <w:rPr>
                <w:rFonts w:hint="default" w:ascii="Times New Roman" w:hAnsi="Times New Roman" w:eastAsia="宋体" w:cs="Times New Roman"/>
                <w:color w:val="auto"/>
                <w:sz w:val="24"/>
                <w:szCs w:val="24"/>
                <w:highlight w:val="none"/>
                <w:lang w:val="en-US" w:eastAsia="zh-CN"/>
              </w:rPr>
              <w:t>危废暂存间面积为</w:t>
            </w: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最大暂存量为1t/a，</w:t>
            </w:r>
            <w:r>
              <w:rPr>
                <w:rFonts w:hint="default" w:ascii="Times New Roman" w:hAnsi="Times New Roman" w:eastAsia="宋体" w:cs="Times New Roman"/>
                <w:color w:val="auto"/>
                <w:sz w:val="24"/>
                <w:szCs w:val="24"/>
                <w:highlight w:val="none"/>
                <w:lang w:val="en-US" w:eastAsia="zh-CN"/>
              </w:rPr>
              <w:t>危废做到及时处理，不在暂存间内长时间暂存</w:t>
            </w:r>
            <w:r>
              <w:rPr>
                <w:rFonts w:hint="eastAsia" w:ascii="Times New Roman" w:hAnsi="Times New Roman" w:eastAsia="宋体" w:cs="Times New Roman"/>
                <w:color w:val="auto"/>
                <w:sz w:val="24"/>
                <w:szCs w:val="24"/>
                <w:highlight w:val="none"/>
                <w:lang w:val="en-US" w:eastAsia="zh-CN"/>
              </w:rPr>
              <w:t>，危废暂存时间不可超过1年</w:t>
            </w:r>
            <w:r>
              <w:rPr>
                <w:rFonts w:hint="default" w:ascii="Times New Roman" w:hAnsi="Times New Roman" w:eastAsia="宋体" w:cs="Times New Roman"/>
                <w:color w:val="auto"/>
                <w:sz w:val="24"/>
                <w:szCs w:val="24"/>
                <w:highlight w:val="none"/>
                <w:lang w:val="en-US" w:eastAsia="zh-CN"/>
              </w:rPr>
              <w:t>。</w:t>
            </w:r>
          </w:p>
          <w:p w14:paraId="06BADF6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baseline"/>
              <w:rPr>
                <w:rStyle w:val="54"/>
                <w:rFonts w:hint="default" w:ascii="Times New Roman" w:hAnsi="Times New Roman" w:eastAsia="宋体" w:cs="Times New Roman"/>
                <w:color w:val="auto"/>
                <w:spacing w:val="0"/>
                <w:sz w:val="24"/>
                <w:szCs w:val="24"/>
                <w:highlight w:val="none"/>
              </w:rPr>
            </w:pPr>
            <w:r>
              <w:rPr>
                <w:rStyle w:val="54"/>
                <w:rFonts w:hint="eastAsia" w:ascii="Times New Roman" w:hAnsi="Times New Roman" w:eastAsia="宋体" w:cs="Times New Roman"/>
                <w:color w:val="auto"/>
                <w:spacing w:val="0"/>
                <w:sz w:val="24"/>
                <w:szCs w:val="24"/>
                <w:highlight w:val="none"/>
                <w:lang w:val="en-US" w:eastAsia="zh-CN"/>
              </w:rPr>
              <w:t>（10）</w:t>
            </w:r>
            <w:r>
              <w:rPr>
                <w:rStyle w:val="54"/>
                <w:rFonts w:hint="default" w:ascii="Times New Roman" w:hAnsi="Times New Roman" w:eastAsia="宋体" w:cs="Times New Roman"/>
                <w:color w:val="auto"/>
                <w:spacing w:val="0"/>
                <w:sz w:val="24"/>
                <w:szCs w:val="24"/>
                <w:highlight w:val="none"/>
              </w:rPr>
              <w:t>危险废物的容器和包装物必须设置危险废物识别标志。收集、贮存、运输危险废物的设施、场所，必须设置危险废物识别标志。详见表4-</w:t>
            </w:r>
            <w:r>
              <w:rPr>
                <w:rStyle w:val="54"/>
                <w:rFonts w:hint="default" w:ascii="Times New Roman" w:hAnsi="Times New Roman" w:eastAsia="宋体" w:cs="Times New Roman"/>
                <w:color w:val="auto"/>
                <w:spacing w:val="0"/>
                <w:sz w:val="24"/>
                <w:szCs w:val="24"/>
                <w:highlight w:val="none"/>
                <w:lang w:val="en-US" w:eastAsia="zh-CN"/>
              </w:rPr>
              <w:t>17</w:t>
            </w:r>
            <w:r>
              <w:rPr>
                <w:rStyle w:val="54"/>
                <w:rFonts w:hint="default" w:ascii="Times New Roman" w:hAnsi="Times New Roman" w:eastAsia="宋体" w:cs="Times New Roman"/>
                <w:color w:val="auto"/>
                <w:spacing w:val="0"/>
                <w:sz w:val="24"/>
                <w:szCs w:val="24"/>
                <w:highlight w:val="none"/>
              </w:rPr>
              <w:t>。</w:t>
            </w:r>
          </w:p>
          <w:p w14:paraId="605C77A4">
            <w:pPr>
              <w:pStyle w:val="55"/>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表4-</w:t>
            </w:r>
            <w:r>
              <w:rPr>
                <w:rFonts w:hint="default" w:ascii="Times New Roman" w:hAnsi="Times New Roman" w:eastAsia="宋体" w:cs="Times New Roman"/>
                <w:color w:val="auto"/>
                <w:spacing w:val="0"/>
                <w:sz w:val="21"/>
                <w:szCs w:val="21"/>
                <w:highlight w:val="none"/>
                <w:lang w:val="en-US" w:eastAsia="zh-CN"/>
              </w:rPr>
              <w:t>17</w:t>
            </w:r>
            <w:r>
              <w:rPr>
                <w:rFonts w:hint="default" w:ascii="Times New Roman" w:hAnsi="Times New Roman" w:eastAsia="宋体" w:cs="Times New Roman"/>
                <w:color w:val="auto"/>
                <w:spacing w:val="0"/>
                <w:sz w:val="21"/>
                <w:szCs w:val="21"/>
                <w:highlight w:val="none"/>
              </w:rPr>
              <w:t xml:space="preserve">  危险废物标识标牌</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2843"/>
              <w:gridCol w:w="4595"/>
            </w:tblGrid>
            <w:tr w14:paraId="5851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pct"/>
                  <w:tcBorders>
                    <w:tl2br w:val="nil"/>
                    <w:tr2bl w:val="nil"/>
                  </w:tcBorders>
                  <w:noWrap w:val="0"/>
                  <w:vAlign w:val="center"/>
                </w:tcPr>
                <w:p w14:paraId="777679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pacing w:val="0"/>
                      <w:sz w:val="21"/>
                      <w:szCs w:val="21"/>
                      <w:highlight w:val="none"/>
                    </w:rPr>
                  </w:pPr>
                  <w:r>
                    <w:rPr>
                      <w:rFonts w:hint="default" w:ascii="Times New Roman" w:hAnsi="Times New Roman" w:eastAsia="宋体" w:cs="Times New Roman"/>
                      <w:b/>
                      <w:color w:val="auto"/>
                      <w:spacing w:val="0"/>
                      <w:sz w:val="21"/>
                      <w:szCs w:val="21"/>
                      <w:highlight w:val="none"/>
                    </w:rPr>
                    <w:t>位置</w:t>
                  </w:r>
                </w:p>
              </w:tc>
              <w:tc>
                <w:tcPr>
                  <w:tcW w:w="1666" w:type="pct"/>
                  <w:tcBorders>
                    <w:tl2br w:val="nil"/>
                    <w:tr2bl w:val="nil"/>
                  </w:tcBorders>
                  <w:noWrap w:val="0"/>
                  <w:vAlign w:val="center"/>
                </w:tcPr>
                <w:p w14:paraId="1F575B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pacing w:val="0"/>
                      <w:sz w:val="21"/>
                      <w:szCs w:val="21"/>
                      <w:highlight w:val="none"/>
                    </w:rPr>
                  </w:pPr>
                  <w:r>
                    <w:rPr>
                      <w:rFonts w:hint="default" w:ascii="Times New Roman" w:hAnsi="Times New Roman" w:eastAsia="宋体" w:cs="Times New Roman"/>
                      <w:b/>
                      <w:color w:val="auto"/>
                      <w:spacing w:val="0"/>
                      <w:sz w:val="21"/>
                      <w:szCs w:val="21"/>
                      <w:highlight w:val="none"/>
                    </w:rPr>
                    <w:t>图形符号</w:t>
                  </w:r>
                </w:p>
              </w:tc>
              <w:tc>
                <w:tcPr>
                  <w:tcW w:w="2693" w:type="pct"/>
                  <w:tcBorders>
                    <w:tl2br w:val="nil"/>
                    <w:tr2bl w:val="nil"/>
                  </w:tcBorders>
                  <w:noWrap w:val="0"/>
                  <w:vAlign w:val="center"/>
                </w:tcPr>
                <w:p w14:paraId="26BAEB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pacing w:val="0"/>
                      <w:sz w:val="21"/>
                      <w:szCs w:val="21"/>
                      <w:highlight w:val="none"/>
                    </w:rPr>
                  </w:pPr>
                  <w:r>
                    <w:rPr>
                      <w:rFonts w:hint="default" w:ascii="Times New Roman" w:hAnsi="Times New Roman" w:eastAsia="宋体" w:cs="Times New Roman"/>
                      <w:b/>
                      <w:color w:val="auto"/>
                      <w:spacing w:val="0"/>
                      <w:sz w:val="21"/>
                      <w:szCs w:val="21"/>
                      <w:highlight w:val="none"/>
                    </w:rPr>
                    <w:t>说明</w:t>
                  </w:r>
                </w:p>
              </w:tc>
            </w:tr>
            <w:tr w14:paraId="70BF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pct"/>
                  <w:tcBorders>
                    <w:tl2br w:val="nil"/>
                    <w:tr2bl w:val="nil"/>
                  </w:tcBorders>
                  <w:noWrap w:val="0"/>
                  <w:vAlign w:val="center"/>
                </w:tcPr>
                <w:p w14:paraId="4E851E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适合在室内外悬挂</w:t>
                  </w:r>
                </w:p>
              </w:tc>
              <w:tc>
                <w:tcPr>
                  <w:tcW w:w="1666" w:type="pct"/>
                  <w:tcBorders>
                    <w:tl2br w:val="nil"/>
                    <w:tr2bl w:val="nil"/>
                  </w:tcBorders>
                  <w:noWrap w:val="0"/>
                  <w:vAlign w:val="center"/>
                </w:tcPr>
                <w:p w14:paraId="18C4F4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highlight w:val="none"/>
                    </w:rPr>
                    <w:drawing>
                      <wp:inline distT="0" distB="0" distL="114300" distR="114300">
                        <wp:extent cx="1649095" cy="1042035"/>
                        <wp:effectExtent l="0" t="0" r="825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0"/>
                                <a:stretch>
                                  <a:fillRect/>
                                </a:stretch>
                              </pic:blipFill>
                              <pic:spPr>
                                <a:xfrm>
                                  <a:off x="0" y="0"/>
                                  <a:ext cx="1649095" cy="1042035"/>
                                </a:xfrm>
                                <a:prstGeom prst="rect">
                                  <a:avLst/>
                                </a:prstGeom>
                                <a:noFill/>
                                <a:ln>
                                  <a:noFill/>
                                </a:ln>
                              </pic:spPr>
                            </pic:pic>
                          </a:graphicData>
                        </a:graphic>
                      </wp:inline>
                    </w:drawing>
                  </w:r>
                </w:p>
              </w:tc>
              <w:tc>
                <w:tcPr>
                  <w:tcW w:w="2693" w:type="pct"/>
                  <w:tcBorders>
                    <w:tl2br w:val="nil"/>
                    <w:tr2bl w:val="nil"/>
                  </w:tcBorders>
                  <w:noWrap w:val="0"/>
                  <w:vAlign w:val="center"/>
                </w:tcPr>
                <w:p w14:paraId="093F323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eastAsia" w:ascii="Times New Roman" w:hAnsi="Times New Roman" w:eastAsia="宋体" w:cs="Times New Roman"/>
                      <w:bCs/>
                      <w:color w:val="auto"/>
                      <w:spacing w:val="0"/>
                      <w:sz w:val="21"/>
                      <w:szCs w:val="21"/>
                      <w:highlight w:val="none"/>
                      <w:lang w:eastAsia="zh-CN"/>
                    </w:rPr>
                    <w:t>1.</w:t>
                  </w:r>
                  <w:r>
                    <w:rPr>
                      <w:rFonts w:hint="default" w:ascii="Times New Roman" w:hAnsi="Times New Roman" w:eastAsia="宋体" w:cs="Times New Roman"/>
                      <w:bCs/>
                      <w:color w:val="auto"/>
                      <w:spacing w:val="0"/>
                      <w:sz w:val="21"/>
                      <w:szCs w:val="21"/>
                      <w:highlight w:val="none"/>
                    </w:rPr>
                    <w:t>危险废物警告标志规格颜色</w:t>
                  </w:r>
                </w:p>
                <w:p w14:paraId="6041B97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颜色：背景为黄色，字体和边框颜色为黑色</w:t>
                  </w:r>
                </w:p>
                <w:p w14:paraId="29BDD9A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eastAsia" w:ascii="Times New Roman" w:hAnsi="Times New Roman" w:eastAsia="宋体" w:cs="Times New Roman"/>
                      <w:bCs/>
                      <w:color w:val="auto"/>
                      <w:spacing w:val="0"/>
                      <w:sz w:val="21"/>
                      <w:szCs w:val="21"/>
                      <w:highlight w:val="none"/>
                      <w:lang w:eastAsia="zh-CN"/>
                    </w:rPr>
                    <w:t>2.适用</w:t>
                  </w:r>
                  <w:r>
                    <w:rPr>
                      <w:rFonts w:hint="default" w:ascii="Times New Roman" w:hAnsi="Times New Roman" w:eastAsia="宋体" w:cs="Times New Roman"/>
                      <w:bCs/>
                      <w:color w:val="auto"/>
                      <w:spacing w:val="0"/>
                      <w:sz w:val="21"/>
                      <w:szCs w:val="21"/>
                      <w:highlight w:val="none"/>
                    </w:rPr>
                    <w:t>于：危险废物贮存设为房屋的，建有围墙或防护栅栏，且高度高于100CM时；部分危险废物利用、处置场所。</w:t>
                  </w:r>
                </w:p>
              </w:tc>
            </w:tr>
            <w:tr w14:paraId="2078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640" w:type="pct"/>
                  <w:tcBorders>
                    <w:tl2br w:val="nil"/>
                    <w:tr2bl w:val="nil"/>
                  </w:tcBorders>
                  <w:noWrap w:val="0"/>
                  <w:vAlign w:val="center"/>
                </w:tcPr>
                <w:p w14:paraId="172C4D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粘贴于危险废物储存容器</w:t>
                  </w:r>
                </w:p>
              </w:tc>
              <w:tc>
                <w:tcPr>
                  <w:tcW w:w="1666" w:type="pct"/>
                  <w:tcBorders>
                    <w:tl2br w:val="nil"/>
                    <w:tr2bl w:val="nil"/>
                  </w:tcBorders>
                  <w:noWrap w:val="0"/>
                  <w:vAlign w:val="center"/>
                </w:tcPr>
                <w:p w14:paraId="156674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cs="Times New Roman"/>
                      <w:color w:val="auto"/>
                      <w:highlight w:val="none"/>
                    </w:rPr>
                    <w:drawing>
                      <wp:inline distT="0" distB="0" distL="114300" distR="114300">
                        <wp:extent cx="1257300" cy="1257300"/>
                        <wp:effectExtent l="0" t="0" r="0" b="0"/>
                        <wp:docPr id="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pic:cNvPicPr>
                                  <a:picLocks noChangeAspect="1"/>
                                </pic:cNvPicPr>
                              </pic:nvPicPr>
                              <pic:blipFill>
                                <a:blip r:embed="rId31"/>
                                <a:stretch>
                                  <a:fillRect/>
                                </a:stretch>
                              </pic:blipFill>
                              <pic:spPr>
                                <a:xfrm>
                                  <a:off x="0" y="0"/>
                                  <a:ext cx="1257300" cy="1257300"/>
                                </a:xfrm>
                                <a:prstGeom prst="rect">
                                  <a:avLst/>
                                </a:prstGeom>
                                <a:noFill/>
                                <a:ln>
                                  <a:noFill/>
                                </a:ln>
                              </pic:spPr>
                            </pic:pic>
                          </a:graphicData>
                        </a:graphic>
                      </wp:inline>
                    </w:drawing>
                  </w:r>
                </w:p>
              </w:tc>
              <w:tc>
                <w:tcPr>
                  <w:tcW w:w="2693" w:type="pct"/>
                  <w:tcBorders>
                    <w:tl2br w:val="nil"/>
                    <w:tr2bl w:val="nil"/>
                  </w:tcBorders>
                  <w:noWrap w:val="0"/>
                  <w:vAlign w:val="center"/>
                </w:tcPr>
                <w:p w14:paraId="3A0A714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eastAsia" w:ascii="Times New Roman" w:hAnsi="Times New Roman" w:eastAsia="宋体" w:cs="Times New Roman"/>
                      <w:bCs/>
                      <w:color w:val="auto"/>
                      <w:spacing w:val="0"/>
                      <w:sz w:val="21"/>
                      <w:szCs w:val="21"/>
                      <w:highlight w:val="none"/>
                      <w:lang w:eastAsia="zh-CN"/>
                    </w:rPr>
                    <w:t>1.</w:t>
                  </w:r>
                  <w:r>
                    <w:rPr>
                      <w:rFonts w:hint="default" w:ascii="Times New Roman" w:hAnsi="Times New Roman" w:eastAsia="宋体" w:cs="Times New Roman"/>
                      <w:bCs/>
                      <w:color w:val="auto"/>
                      <w:spacing w:val="0"/>
                      <w:sz w:val="21"/>
                      <w:szCs w:val="21"/>
                      <w:highlight w:val="none"/>
                    </w:rPr>
                    <w:t>危险废物标签尺寸颜色</w:t>
                  </w:r>
                </w:p>
                <w:p w14:paraId="6C27282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尺寸：20×20cm</w:t>
                  </w:r>
                </w:p>
                <w:p w14:paraId="11DA0D5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底色：醒目的橘黄色</w:t>
                  </w:r>
                </w:p>
                <w:p w14:paraId="03A67C6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字体：黑体字</w:t>
                  </w:r>
                </w:p>
                <w:p w14:paraId="28850F2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字体颜色：黑色</w:t>
                  </w:r>
                </w:p>
                <w:p w14:paraId="6AEBF78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eastAsia" w:ascii="Times New Roman" w:hAnsi="Times New Roman" w:eastAsia="宋体" w:cs="Times New Roman"/>
                      <w:bCs/>
                      <w:color w:val="auto"/>
                      <w:spacing w:val="0"/>
                      <w:sz w:val="21"/>
                      <w:szCs w:val="21"/>
                      <w:highlight w:val="none"/>
                      <w:lang w:eastAsia="zh-CN"/>
                    </w:rPr>
                    <w:t>2.</w:t>
                  </w:r>
                  <w:r>
                    <w:rPr>
                      <w:rFonts w:hint="default" w:ascii="Times New Roman" w:hAnsi="Times New Roman" w:eastAsia="宋体" w:cs="Times New Roman"/>
                      <w:bCs/>
                      <w:color w:val="auto"/>
                      <w:spacing w:val="0"/>
                      <w:sz w:val="21"/>
                      <w:szCs w:val="21"/>
                      <w:highlight w:val="none"/>
                    </w:rPr>
                    <w:t>危险类别：按危险废物种类选择。</w:t>
                  </w:r>
                </w:p>
                <w:p w14:paraId="2B4FCD2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pacing w:val="0"/>
                      <w:sz w:val="21"/>
                      <w:szCs w:val="21"/>
                      <w:highlight w:val="none"/>
                    </w:rPr>
                  </w:pPr>
                  <w:r>
                    <w:rPr>
                      <w:rFonts w:hint="eastAsia" w:ascii="Times New Roman" w:hAnsi="Times New Roman" w:eastAsia="宋体" w:cs="Times New Roman"/>
                      <w:bCs/>
                      <w:color w:val="auto"/>
                      <w:spacing w:val="0"/>
                      <w:sz w:val="21"/>
                      <w:szCs w:val="21"/>
                      <w:highlight w:val="none"/>
                      <w:lang w:eastAsia="zh-CN"/>
                    </w:rPr>
                    <w:t>3.</w:t>
                  </w:r>
                  <w:r>
                    <w:rPr>
                      <w:rFonts w:hint="default" w:ascii="Times New Roman" w:hAnsi="Times New Roman" w:eastAsia="宋体" w:cs="Times New Roman"/>
                      <w:bCs/>
                      <w:color w:val="auto"/>
                      <w:spacing w:val="0"/>
                      <w:sz w:val="21"/>
                      <w:szCs w:val="21"/>
                      <w:highlight w:val="none"/>
                    </w:rPr>
                    <w:t>材料为不干胶印刷品。</w:t>
                  </w:r>
                </w:p>
              </w:tc>
            </w:tr>
          </w:tbl>
          <w:p w14:paraId="46FD19EE">
            <w:pPr>
              <w:keepNext w:val="0"/>
              <w:keepLines w:val="0"/>
              <w:pageBreakBefore w:val="0"/>
              <w:widowControl/>
              <w:suppressLineNumbers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通过采取以上措施，危险废物发生散落、泄漏事故的概率极小，对周围环境影响较小。</w:t>
            </w:r>
          </w:p>
          <w:p w14:paraId="7C777A0D">
            <w:pPr>
              <w:keepNext w:val="0"/>
              <w:keepLines w:val="0"/>
              <w:pageBreakBefore w:val="0"/>
              <w:widowControl w:val="0"/>
              <w:kinsoku/>
              <w:wordWrap/>
              <w:overflowPunct/>
              <w:topLinePunct/>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pacing w:val="0"/>
                <w:kern w:val="2"/>
                <w:sz w:val="24"/>
                <w:szCs w:val="24"/>
                <w:highlight w:val="none"/>
                <w:lang w:val="en-US" w:eastAsia="zh-CN" w:bidi="ar-SA"/>
              </w:rPr>
            </w:pPr>
            <w:r>
              <w:rPr>
                <w:rFonts w:hint="default" w:ascii="Times New Roman" w:hAnsi="Times New Roman" w:eastAsia="宋体" w:cs="Times New Roman"/>
                <w:b/>
                <w:bCs/>
                <w:color w:val="auto"/>
                <w:spacing w:val="0"/>
                <w:kern w:val="2"/>
                <w:sz w:val="24"/>
                <w:szCs w:val="24"/>
                <w:highlight w:val="none"/>
                <w:lang w:val="en-US" w:eastAsia="zh-CN" w:bidi="ar-SA"/>
              </w:rPr>
              <w:t>（四）危险废物的运输</w:t>
            </w:r>
          </w:p>
          <w:p w14:paraId="6A95E4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rPr>
            </w:pPr>
            <w:r>
              <w:rPr>
                <w:rFonts w:hint="default" w:ascii="Times New Roman" w:hAnsi="Times New Roman" w:cs="Times New Roman"/>
                <w:bCs/>
                <w:color w:val="auto"/>
                <w:spacing w:val="0"/>
                <w:sz w:val="24"/>
                <w:highlight w:val="none"/>
              </w:rPr>
              <w:t>危险废物转移过程应按《危险废物转移管理办法》执行。危险废物需按照《危险废物收集、贮存、运输技术规范》</w:t>
            </w:r>
            <w:r>
              <w:rPr>
                <w:rFonts w:hint="default" w:ascii="Times New Roman" w:hAnsi="Times New Roman" w:cs="Times New Roman"/>
                <w:bCs/>
                <w:color w:val="auto"/>
                <w:spacing w:val="0"/>
                <w:sz w:val="24"/>
                <w:highlight w:val="none"/>
                <w:lang w:eastAsia="zh-CN"/>
              </w:rPr>
              <w:t>（</w:t>
            </w:r>
            <w:r>
              <w:rPr>
                <w:rFonts w:hint="default" w:ascii="Times New Roman" w:hAnsi="Times New Roman" w:cs="Times New Roman"/>
                <w:bCs/>
                <w:color w:val="auto"/>
                <w:spacing w:val="0"/>
                <w:sz w:val="24"/>
                <w:highlight w:val="none"/>
              </w:rPr>
              <w:t>HJ2025-2012</w:t>
            </w:r>
            <w:r>
              <w:rPr>
                <w:rFonts w:hint="default" w:ascii="Times New Roman" w:hAnsi="Times New Roman" w:cs="Times New Roman"/>
                <w:bCs/>
                <w:color w:val="auto"/>
                <w:spacing w:val="0"/>
                <w:sz w:val="24"/>
                <w:highlight w:val="none"/>
                <w:lang w:eastAsia="zh-CN"/>
              </w:rPr>
              <w:t>）</w:t>
            </w:r>
            <w:r>
              <w:rPr>
                <w:rFonts w:hint="default" w:ascii="Times New Roman" w:hAnsi="Times New Roman" w:cs="Times New Roman"/>
                <w:bCs/>
                <w:color w:val="auto"/>
                <w:spacing w:val="0"/>
                <w:sz w:val="24"/>
                <w:highlight w:val="none"/>
              </w:rPr>
              <w:t>中的要求进行运输。产废单位负责危险废物的收集，第三方运输企业负责运输，在接收危险废物原料时，本项目工作人员和运输单位需协调相关危险废物运输车辆，要求其按照规范要求操作，避免运输途中的污染。</w:t>
            </w:r>
          </w:p>
          <w:p w14:paraId="1E5122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rPr>
            </w:pPr>
            <w:r>
              <w:rPr>
                <w:rFonts w:hint="default" w:ascii="Times New Roman" w:hAnsi="Times New Roman" w:eastAsia="宋体" w:cs="Times New Roman"/>
                <w:bCs/>
                <w:color w:val="auto"/>
                <w:spacing w:val="0"/>
                <w:sz w:val="24"/>
                <w:highlight w:val="none"/>
                <w:lang w:val="en-US" w:eastAsia="zh-CN"/>
              </w:rPr>
              <w:t>1.</w:t>
            </w:r>
            <w:r>
              <w:rPr>
                <w:rFonts w:hint="default" w:ascii="Times New Roman" w:hAnsi="Times New Roman" w:cs="Times New Roman"/>
                <w:bCs/>
                <w:color w:val="auto"/>
                <w:spacing w:val="0"/>
                <w:sz w:val="24"/>
                <w:highlight w:val="none"/>
              </w:rPr>
              <w:t>危险废物运输应由持有危险废物经营许可证的单位按照其许可证的经营范围组织实施，承担危险废物运输的单位应获得交通运输部门颁发的危险货物运输资质。</w:t>
            </w:r>
          </w:p>
          <w:p w14:paraId="3F0D07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rPr>
            </w:pPr>
            <w:r>
              <w:rPr>
                <w:rFonts w:hint="default" w:ascii="Times New Roman" w:hAnsi="Times New Roman" w:eastAsia="宋体" w:cs="Times New Roman"/>
                <w:bCs/>
                <w:color w:val="auto"/>
                <w:spacing w:val="0"/>
                <w:sz w:val="24"/>
                <w:highlight w:val="none"/>
                <w:lang w:val="en-US" w:eastAsia="zh-CN"/>
              </w:rPr>
              <w:t>2.</w:t>
            </w:r>
            <w:r>
              <w:rPr>
                <w:rFonts w:hint="eastAsia" w:ascii="Times New Roman" w:hAnsi="Times New Roman" w:eastAsia="宋体" w:cs="Times New Roman"/>
                <w:bCs/>
                <w:color w:val="auto"/>
                <w:spacing w:val="0"/>
                <w:sz w:val="24"/>
                <w:highlight w:val="none"/>
                <w:lang w:val="en-US" w:eastAsia="zh-CN"/>
              </w:rPr>
              <w:t>危险废物运输应执行</w:t>
            </w:r>
            <w:r>
              <w:rPr>
                <w:rFonts w:hint="eastAsia" w:ascii="宋体" w:hAnsi="宋体" w:eastAsia="宋体" w:cs="宋体"/>
                <w:color w:val="auto"/>
                <w:kern w:val="0"/>
                <w:sz w:val="24"/>
                <w:szCs w:val="24"/>
                <w:highlight w:val="none"/>
                <w:lang w:val="en-US" w:eastAsia="zh-CN" w:bidi="ar"/>
              </w:rPr>
              <w:t>《道路危险货物运输管理规定》（交通运输部令</w:t>
            </w:r>
            <w:r>
              <w:rPr>
                <w:rFonts w:hint="default" w:ascii="Times New Roman" w:hAnsi="Times New Roman" w:eastAsia="宋体" w:cs="Times New Roman"/>
                <w:color w:val="auto"/>
                <w:kern w:val="0"/>
                <w:sz w:val="24"/>
                <w:szCs w:val="24"/>
                <w:highlight w:val="none"/>
                <w:lang w:val="en-US" w:eastAsia="zh-CN" w:bidi="ar"/>
              </w:rPr>
              <w:t>2022</w:t>
            </w:r>
            <w:r>
              <w:rPr>
                <w:rFonts w:hint="eastAsia" w:ascii="宋体" w:hAnsi="宋体" w:eastAsia="宋体" w:cs="宋体"/>
                <w:color w:val="auto"/>
                <w:kern w:val="0"/>
                <w:sz w:val="24"/>
                <w:szCs w:val="24"/>
                <w:highlight w:val="none"/>
                <w:lang w:val="en-US" w:eastAsia="zh-CN" w:bidi="ar"/>
              </w:rPr>
              <w:t>年第</w:t>
            </w:r>
            <w:r>
              <w:rPr>
                <w:rFonts w:hint="default" w:ascii="Times New Roman" w:hAnsi="Times New Roman" w:eastAsia="宋体" w:cs="Times New Roman"/>
                <w:color w:val="auto"/>
                <w:kern w:val="0"/>
                <w:sz w:val="24"/>
                <w:szCs w:val="24"/>
                <w:highlight w:val="none"/>
                <w:lang w:val="en-US" w:eastAsia="zh-CN" w:bidi="ar"/>
              </w:rPr>
              <w:t>36</w:t>
            </w:r>
            <w:r>
              <w:rPr>
                <w:rFonts w:hint="eastAsia" w:ascii="宋体" w:hAnsi="宋体" w:eastAsia="宋体" w:cs="宋体"/>
                <w:color w:val="auto"/>
                <w:kern w:val="0"/>
                <w:sz w:val="24"/>
                <w:szCs w:val="24"/>
                <w:highlight w:val="none"/>
                <w:lang w:val="en-US" w:eastAsia="zh-CN" w:bidi="ar"/>
              </w:rPr>
              <w:t>号）</w:t>
            </w:r>
            <w:r>
              <w:rPr>
                <w:rFonts w:hint="default" w:ascii="Times New Roman" w:hAnsi="Times New Roman" w:cs="Times New Roman"/>
                <w:bCs/>
                <w:color w:val="auto"/>
                <w:spacing w:val="0"/>
                <w:sz w:val="24"/>
                <w:highlight w:val="none"/>
              </w:rPr>
              <w:t>。</w:t>
            </w:r>
          </w:p>
          <w:p w14:paraId="6DC8E7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rPr>
            </w:pPr>
            <w:r>
              <w:rPr>
                <w:rFonts w:hint="default" w:ascii="Times New Roman" w:hAnsi="Times New Roman" w:eastAsia="宋体" w:cs="Times New Roman"/>
                <w:bCs/>
                <w:color w:val="auto"/>
                <w:spacing w:val="0"/>
                <w:sz w:val="24"/>
                <w:highlight w:val="none"/>
                <w:lang w:val="en-US" w:eastAsia="zh-CN"/>
              </w:rPr>
              <w:t>3.</w:t>
            </w:r>
            <w:r>
              <w:rPr>
                <w:rFonts w:hint="default" w:ascii="Times New Roman" w:hAnsi="Times New Roman" w:cs="Times New Roman"/>
                <w:bCs/>
                <w:color w:val="auto"/>
                <w:spacing w:val="0"/>
                <w:sz w:val="24"/>
                <w:highlight w:val="none"/>
              </w:rPr>
              <w:t>危险废物公路运输时，运输车辆应按GB13392设置车辆标识。</w:t>
            </w:r>
          </w:p>
          <w:p w14:paraId="6C3DD9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0"/>
                <w:sz w:val="24"/>
                <w:highlight w:val="none"/>
                <w:lang w:val="en-US" w:eastAsia="zh-CN"/>
              </w:rPr>
            </w:pPr>
            <w:r>
              <w:rPr>
                <w:rFonts w:hint="default" w:ascii="Times New Roman" w:hAnsi="Times New Roman" w:eastAsia="宋体" w:cs="Times New Roman"/>
                <w:bCs/>
                <w:color w:val="auto"/>
                <w:spacing w:val="0"/>
                <w:sz w:val="24"/>
                <w:highlight w:val="none"/>
                <w:lang w:val="en-US" w:eastAsia="zh-CN"/>
              </w:rPr>
              <w:t>4.</w:t>
            </w:r>
            <w:r>
              <w:rPr>
                <w:rFonts w:hint="default" w:ascii="Times New Roman" w:hAnsi="Times New Roman" w:cs="Times New Roman"/>
                <w:bCs/>
                <w:color w:val="auto"/>
                <w:spacing w:val="0"/>
                <w:sz w:val="24"/>
                <w:highlight w:val="none"/>
              </w:rPr>
              <w:t>根据《新疆维吾尔自治区危险废物处置利用行业环保准入条件》：危险废物处置利用单位必须有固定的危险废物运输车辆，并在运输车辆安装GPS装置。</w:t>
            </w:r>
          </w:p>
          <w:p w14:paraId="15B09393">
            <w:pPr>
              <w:pStyle w:val="4"/>
              <w:pageBreakBefore w:val="0"/>
              <w:widowControl w:val="0"/>
              <w:kinsoku/>
              <w:wordWrap/>
              <w:topLinePunct w:val="0"/>
              <w:autoSpaceDE w:val="0"/>
              <w:autoSpaceDN/>
              <w:bidi w:val="0"/>
              <w:adjustRightInd w:val="0"/>
              <w:snapToGrid w:val="0"/>
              <w:spacing w:before="0" w:after="0" w:line="360" w:lineRule="auto"/>
              <w:jc w:val="both"/>
              <w:textAlignment w:val="auto"/>
              <w:outlineLvl w:val="1"/>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五、</w:t>
            </w:r>
            <w:r>
              <w:rPr>
                <w:rFonts w:hint="default" w:ascii="Times New Roman" w:hAnsi="Times New Roman" w:eastAsia="宋体" w:cs="Times New Roman"/>
                <w:color w:val="auto"/>
                <w:spacing w:val="0"/>
                <w:position w:val="0"/>
                <w:sz w:val="24"/>
                <w:szCs w:val="24"/>
                <w:highlight w:val="none"/>
              </w:rPr>
              <w:t>土壤、地下水治理措施</w:t>
            </w:r>
          </w:p>
          <w:p w14:paraId="35436F75">
            <w:pPr>
              <w:pStyle w:val="4"/>
              <w:pageBreakBefore w:val="0"/>
              <w:widowControl w:val="0"/>
              <w:kinsoku/>
              <w:wordWrap/>
              <w:topLinePunct w:val="0"/>
              <w:autoSpaceDE w:val="0"/>
              <w:autoSpaceDN/>
              <w:bidi w:val="0"/>
              <w:adjustRightInd w:val="0"/>
              <w:snapToGrid w:val="0"/>
              <w:spacing w:before="0" w:after="0" w:line="360" w:lineRule="auto"/>
              <w:ind w:firstLine="480" w:firstLineChars="200"/>
              <w:jc w:val="both"/>
              <w:textAlignment w:val="auto"/>
              <w:outlineLvl w:val="1"/>
              <w:rPr>
                <w:rFonts w:hint="default" w:ascii="Times New Roman" w:hAnsi="Times New Roman" w:eastAsia="宋体" w:cs="Times New Roman"/>
                <w:b w:val="0"/>
                <w:color w:val="auto"/>
                <w:spacing w:val="0"/>
                <w:position w:val="0"/>
                <w:sz w:val="24"/>
                <w:szCs w:val="24"/>
                <w:highlight w:val="none"/>
              </w:rPr>
            </w:pPr>
            <w:r>
              <w:rPr>
                <w:rFonts w:hint="default" w:ascii="Times New Roman" w:hAnsi="Times New Roman" w:eastAsia="宋体" w:cs="Times New Roman"/>
                <w:b w:val="0"/>
                <w:color w:val="auto"/>
                <w:spacing w:val="0"/>
                <w:position w:val="0"/>
                <w:sz w:val="24"/>
                <w:szCs w:val="24"/>
                <w:highlight w:val="none"/>
              </w:rPr>
              <w:t>项目</w:t>
            </w:r>
            <w:r>
              <w:rPr>
                <w:rFonts w:hint="default" w:ascii="Times New Roman" w:hAnsi="Times New Roman" w:eastAsia="宋体" w:cs="Times New Roman"/>
                <w:b w:val="0"/>
                <w:color w:val="auto"/>
                <w:spacing w:val="0"/>
                <w:position w:val="0"/>
                <w:sz w:val="24"/>
                <w:szCs w:val="24"/>
                <w:highlight w:val="none"/>
                <w:lang w:val="en-US" w:eastAsia="zh-CN"/>
              </w:rPr>
              <w:t>生产不用水，生活污水</w:t>
            </w:r>
            <w:r>
              <w:rPr>
                <w:rFonts w:hint="eastAsia" w:ascii="Times New Roman" w:hAnsi="Times New Roman" w:eastAsia="宋体" w:cs="Times New Roman"/>
                <w:b w:val="0"/>
                <w:color w:val="auto"/>
                <w:spacing w:val="0"/>
                <w:position w:val="0"/>
                <w:sz w:val="24"/>
                <w:szCs w:val="24"/>
                <w:highlight w:val="none"/>
                <w:lang w:val="en-US" w:eastAsia="zh-CN"/>
              </w:rPr>
              <w:t>排入</w:t>
            </w:r>
            <w:r>
              <w:rPr>
                <w:rFonts w:hint="default" w:ascii="Times New Roman" w:hAnsi="Times New Roman" w:eastAsia="宋体" w:cs="Times New Roman"/>
                <w:b w:val="0"/>
                <w:color w:val="auto"/>
                <w:spacing w:val="0"/>
                <w:position w:val="0"/>
                <w:sz w:val="24"/>
                <w:szCs w:val="24"/>
                <w:highlight w:val="none"/>
              </w:rPr>
              <w:t>市政污水管网。不会对区域地下水环境造成影响。</w:t>
            </w:r>
          </w:p>
          <w:p w14:paraId="0AB1316F">
            <w:pPr>
              <w:pStyle w:val="4"/>
              <w:pageBreakBefore w:val="0"/>
              <w:widowControl w:val="0"/>
              <w:kinsoku/>
              <w:wordWrap/>
              <w:topLinePunct w:val="0"/>
              <w:autoSpaceDE w:val="0"/>
              <w:autoSpaceDN/>
              <w:bidi w:val="0"/>
              <w:adjustRightInd w:val="0"/>
              <w:snapToGrid w:val="0"/>
              <w:spacing w:before="0" w:after="0" w:line="360" w:lineRule="auto"/>
              <w:ind w:firstLine="480" w:firstLineChars="200"/>
              <w:jc w:val="both"/>
              <w:textAlignment w:val="auto"/>
              <w:outlineLvl w:val="1"/>
              <w:rPr>
                <w:rFonts w:hint="default" w:ascii="Times New Roman" w:hAnsi="Times New Roman" w:eastAsia="宋体" w:cs="Times New Roman"/>
                <w:b w:val="0"/>
                <w:color w:val="auto"/>
                <w:spacing w:val="0"/>
                <w:position w:val="0"/>
                <w:sz w:val="24"/>
                <w:szCs w:val="24"/>
                <w:highlight w:val="none"/>
              </w:rPr>
            </w:pPr>
            <w:r>
              <w:rPr>
                <w:rFonts w:hint="default" w:ascii="Times New Roman" w:hAnsi="Times New Roman" w:eastAsia="宋体" w:cs="Times New Roman"/>
                <w:b w:val="0"/>
                <w:color w:val="auto"/>
                <w:spacing w:val="0"/>
                <w:position w:val="0"/>
                <w:sz w:val="24"/>
                <w:szCs w:val="24"/>
                <w:highlight w:val="none"/>
              </w:rPr>
              <w:t>项目排放的废气污染物主要为</w:t>
            </w:r>
            <w:r>
              <w:rPr>
                <w:rFonts w:hint="default" w:ascii="Times New Roman" w:hAnsi="Times New Roman" w:eastAsia="宋体" w:cs="Times New Roman"/>
                <w:b w:val="0"/>
                <w:color w:val="auto"/>
                <w:spacing w:val="0"/>
                <w:position w:val="0"/>
                <w:sz w:val="24"/>
                <w:szCs w:val="24"/>
                <w:highlight w:val="none"/>
                <w:lang w:val="en-US" w:eastAsia="zh-CN"/>
              </w:rPr>
              <w:t>有机废气及天然气燃烧产生的二氧化硫、氮氧化物、颗粒物</w:t>
            </w:r>
            <w:r>
              <w:rPr>
                <w:rFonts w:hint="default" w:ascii="Times New Roman" w:hAnsi="Times New Roman" w:eastAsia="宋体" w:cs="Times New Roman"/>
                <w:b w:val="0"/>
                <w:color w:val="auto"/>
                <w:spacing w:val="0"/>
                <w:position w:val="0"/>
                <w:sz w:val="24"/>
                <w:szCs w:val="24"/>
                <w:highlight w:val="none"/>
              </w:rPr>
              <w:t>，无污染土壤及地下水的途径。项目对土壤、地下水环境造成影响的因素主要为：</w:t>
            </w:r>
          </w:p>
          <w:p w14:paraId="5406E7BB">
            <w:pPr>
              <w:pStyle w:val="4"/>
              <w:pageBreakBefore w:val="0"/>
              <w:widowControl w:val="0"/>
              <w:kinsoku/>
              <w:wordWrap/>
              <w:topLinePunct w:val="0"/>
              <w:autoSpaceDE w:val="0"/>
              <w:autoSpaceDN/>
              <w:bidi w:val="0"/>
              <w:adjustRightInd w:val="0"/>
              <w:snapToGrid w:val="0"/>
              <w:spacing w:before="0" w:after="0" w:line="360" w:lineRule="auto"/>
              <w:ind w:firstLine="480" w:firstLineChars="200"/>
              <w:jc w:val="both"/>
              <w:textAlignment w:val="auto"/>
              <w:outlineLvl w:val="1"/>
              <w:rPr>
                <w:rFonts w:hint="default" w:ascii="Times New Roman" w:hAnsi="Times New Roman" w:eastAsia="宋体" w:cs="Times New Roman"/>
                <w:b w:val="0"/>
                <w:color w:val="auto"/>
                <w:spacing w:val="0"/>
                <w:position w:val="0"/>
                <w:sz w:val="24"/>
                <w:szCs w:val="24"/>
                <w:highlight w:val="none"/>
              </w:rPr>
            </w:pPr>
            <w:r>
              <w:rPr>
                <w:rFonts w:hint="default" w:ascii="Times New Roman" w:hAnsi="Times New Roman" w:eastAsia="宋体" w:cs="Times New Roman"/>
                <w:b w:val="0"/>
                <w:color w:val="auto"/>
                <w:spacing w:val="0"/>
                <w:position w:val="0"/>
                <w:sz w:val="24"/>
                <w:szCs w:val="24"/>
                <w:highlight w:val="none"/>
                <w:lang w:val="en-US" w:eastAsia="zh-CN"/>
              </w:rPr>
              <w:t>项目区</w:t>
            </w:r>
            <w:r>
              <w:rPr>
                <w:rFonts w:hint="default" w:ascii="Times New Roman" w:hAnsi="Times New Roman" w:eastAsia="宋体" w:cs="Times New Roman"/>
                <w:b w:val="0"/>
                <w:color w:val="auto"/>
                <w:spacing w:val="0"/>
                <w:position w:val="0"/>
                <w:sz w:val="24"/>
                <w:szCs w:val="24"/>
                <w:highlight w:val="none"/>
              </w:rPr>
              <w:t>内未设置防渗层将会造成</w:t>
            </w:r>
            <w:r>
              <w:rPr>
                <w:rFonts w:hint="eastAsia" w:ascii="Times New Roman" w:hAnsi="Times New Roman" w:eastAsia="宋体" w:cs="Times New Roman"/>
                <w:b w:val="0"/>
                <w:color w:val="auto"/>
                <w:spacing w:val="0"/>
                <w:position w:val="0"/>
                <w:sz w:val="24"/>
                <w:szCs w:val="24"/>
                <w:highlight w:val="none"/>
                <w:lang w:eastAsia="zh-CN"/>
              </w:rPr>
              <w:t>泄漏</w:t>
            </w:r>
            <w:r>
              <w:rPr>
                <w:rFonts w:hint="default" w:ascii="Times New Roman" w:hAnsi="Times New Roman" w:eastAsia="宋体" w:cs="Times New Roman"/>
                <w:b w:val="0"/>
                <w:color w:val="auto"/>
                <w:spacing w:val="0"/>
                <w:position w:val="0"/>
                <w:sz w:val="24"/>
                <w:szCs w:val="24"/>
                <w:highlight w:val="none"/>
              </w:rPr>
              <w:t>对区域土壤及地下水环境造成影响。</w:t>
            </w:r>
          </w:p>
          <w:p w14:paraId="1F023BEE">
            <w:pPr>
              <w:pageBreakBefore w:val="0"/>
              <w:widowControl w:val="0"/>
              <w:kinsoku/>
              <w:wordWrap/>
              <w:overflowPunct w:val="0"/>
              <w:topLinePunct w:val="0"/>
              <w:autoSpaceDE w:val="0"/>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bCs/>
                <w:color w:val="auto"/>
                <w:spacing w:val="0"/>
                <w:position w:val="0"/>
                <w:sz w:val="24"/>
                <w:szCs w:val="24"/>
                <w:highlight w:val="none"/>
              </w:rPr>
              <w:t>防治措施：</w:t>
            </w:r>
            <w:r>
              <w:rPr>
                <w:rFonts w:hint="default" w:ascii="Times New Roman" w:hAnsi="Times New Roman" w:eastAsia="宋体" w:cs="Times New Roman"/>
                <w:color w:val="auto"/>
                <w:spacing w:val="0"/>
                <w:position w:val="0"/>
                <w:sz w:val="24"/>
                <w:szCs w:val="24"/>
                <w:highlight w:val="none"/>
                <w:lang w:bidi="ar"/>
              </w:rPr>
              <w:t>为有效预防地下水及土壤污染，本项目采取分区防渗措施。结合本项目工艺特点，本项目按一般防渗区</w:t>
            </w:r>
            <w:r>
              <w:rPr>
                <w:rFonts w:hint="default" w:ascii="Times New Roman" w:hAnsi="Times New Roman" w:eastAsia="宋体" w:cs="Times New Roman"/>
                <w:color w:val="auto"/>
                <w:spacing w:val="0"/>
                <w:position w:val="0"/>
                <w:sz w:val="24"/>
                <w:szCs w:val="24"/>
                <w:highlight w:val="none"/>
                <w:lang w:eastAsia="zh-CN" w:bidi="ar"/>
              </w:rPr>
              <w:t>、</w:t>
            </w:r>
            <w:r>
              <w:rPr>
                <w:rFonts w:hint="default" w:ascii="Times New Roman" w:hAnsi="Times New Roman" w:eastAsia="宋体" w:cs="Times New Roman"/>
                <w:color w:val="auto"/>
                <w:spacing w:val="0"/>
                <w:position w:val="0"/>
                <w:sz w:val="24"/>
                <w:szCs w:val="24"/>
                <w:highlight w:val="none"/>
                <w:lang w:val="en-US" w:eastAsia="zh-CN" w:bidi="ar"/>
              </w:rPr>
              <w:t>简单防渗区和重点</w:t>
            </w:r>
            <w:r>
              <w:rPr>
                <w:rFonts w:hint="default" w:ascii="Times New Roman" w:hAnsi="Times New Roman" w:eastAsia="宋体" w:cs="Times New Roman"/>
                <w:color w:val="auto"/>
                <w:spacing w:val="0"/>
                <w:position w:val="0"/>
                <w:sz w:val="24"/>
                <w:szCs w:val="24"/>
                <w:highlight w:val="none"/>
                <w:lang w:bidi="ar"/>
              </w:rPr>
              <w:t>防渗区分区域进行防渗处理。地下水污染防渗分区参照表详见下表。</w:t>
            </w:r>
          </w:p>
          <w:p w14:paraId="62947E54">
            <w:pPr>
              <w:keepNext w:val="0"/>
              <w:keepLines w:val="0"/>
              <w:pageBreakBefore w:val="0"/>
              <w:widowControl/>
              <w:kinsoku/>
              <w:wordWrap/>
              <w:overflowPunct w:val="0"/>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表4-</w:t>
            </w:r>
            <w:r>
              <w:rPr>
                <w:rFonts w:hint="default" w:ascii="Times New Roman" w:hAnsi="Times New Roman" w:eastAsia="宋体" w:cs="Times New Roman"/>
                <w:b/>
                <w:bCs/>
                <w:color w:val="auto"/>
                <w:spacing w:val="0"/>
                <w:position w:val="0"/>
                <w:sz w:val="21"/>
                <w:szCs w:val="21"/>
                <w:highlight w:val="none"/>
                <w:lang w:val="en-US" w:eastAsia="zh-CN" w:bidi="ar"/>
              </w:rPr>
              <w:t xml:space="preserve">18 </w:t>
            </w:r>
            <w:r>
              <w:rPr>
                <w:rFonts w:hint="default" w:ascii="Times New Roman" w:hAnsi="Times New Roman" w:eastAsia="宋体" w:cs="Times New Roman"/>
                <w:b/>
                <w:bCs/>
                <w:color w:val="auto"/>
                <w:spacing w:val="0"/>
                <w:position w:val="0"/>
                <w:sz w:val="21"/>
                <w:szCs w:val="21"/>
                <w:highlight w:val="none"/>
                <w:lang w:bidi="ar"/>
              </w:rPr>
              <w:t xml:space="preserve"> 地下水污染防渗分区参照表</w:t>
            </w:r>
          </w:p>
          <w:tbl>
            <w:tblPr>
              <w:tblStyle w:val="29"/>
              <w:tblW w:w="5000" w:type="pct"/>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1330"/>
              <w:gridCol w:w="1102"/>
              <w:gridCol w:w="2537"/>
              <w:gridCol w:w="2041"/>
            </w:tblGrid>
            <w:tr w14:paraId="189A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noWrap w:val="0"/>
                  <w:vAlign w:val="center"/>
                </w:tcPr>
                <w:p w14:paraId="1EE60912">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防渗分区</w:t>
                  </w:r>
                </w:p>
              </w:tc>
              <w:tc>
                <w:tcPr>
                  <w:tcW w:w="1328" w:type="dxa"/>
                  <w:noWrap w:val="0"/>
                  <w:vAlign w:val="center"/>
                </w:tcPr>
                <w:p w14:paraId="6EDD7B8E">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防污性能</w:t>
                  </w:r>
                </w:p>
              </w:tc>
              <w:tc>
                <w:tcPr>
                  <w:tcW w:w="1101" w:type="dxa"/>
                  <w:noWrap w:val="0"/>
                  <w:vAlign w:val="center"/>
                </w:tcPr>
                <w:p w14:paraId="4ABB5E8C">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bidi="ar"/>
                    </w:rPr>
                  </w:pPr>
                  <w:r>
                    <w:rPr>
                      <w:rFonts w:hint="default" w:ascii="Times New Roman" w:hAnsi="Times New Roman" w:eastAsia="宋体" w:cs="Times New Roman"/>
                      <w:b/>
                      <w:bCs/>
                      <w:color w:val="auto"/>
                      <w:spacing w:val="0"/>
                      <w:position w:val="0"/>
                      <w:sz w:val="21"/>
                      <w:szCs w:val="21"/>
                      <w:highlight w:val="none"/>
                      <w:lang w:bidi="ar"/>
                    </w:rPr>
                    <w:t>污染控制</w:t>
                  </w:r>
                </w:p>
                <w:p w14:paraId="0EE6A831">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难易程度</w:t>
                  </w:r>
                </w:p>
              </w:tc>
              <w:tc>
                <w:tcPr>
                  <w:tcW w:w="2534" w:type="dxa"/>
                  <w:noWrap w:val="0"/>
                  <w:vAlign w:val="center"/>
                </w:tcPr>
                <w:p w14:paraId="5678C886">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污染物类型</w:t>
                  </w:r>
                </w:p>
              </w:tc>
              <w:tc>
                <w:tcPr>
                  <w:tcW w:w="2039" w:type="dxa"/>
                  <w:noWrap w:val="0"/>
                  <w:vAlign w:val="center"/>
                </w:tcPr>
                <w:p w14:paraId="419506A2">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bidi="ar"/>
                    </w:rPr>
                    <w:t>防渗技术要求</w:t>
                  </w:r>
                </w:p>
              </w:tc>
            </w:tr>
            <w:tr w14:paraId="2695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restart"/>
                  <w:noWrap w:val="0"/>
                  <w:vAlign w:val="center"/>
                </w:tcPr>
                <w:p w14:paraId="73356DA6">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重点防渗分区</w:t>
                  </w:r>
                </w:p>
              </w:tc>
              <w:tc>
                <w:tcPr>
                  <w:tcW w:w="1328" w:type="dxa"/>
                  <w:noWrap w:val="0"/>
                  <w:vAlign w:val="center"/>
                </w:tcPr>
                <w:p w14:paraId="009461D3">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弱</w:t>
                  </w:r>
                </w:p>
              </w:tc>
              <w:tc>
                <w:tcPr>
                  <w:tcW w:w="1101" w:type="dxa"/>
                  <w:noWrap w:val="0"/>
                  <w:vAlign w:val="center"/>
                </w:tcPr>
                <w:p w14:paraId="16D1CE1C">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难</w:t>
                  </w:r>
                </w:p>
              </w:tc>
              <w:tc>
                <w:tcPr>
                  <w:tcW w:w="2534" w:type="dxa"/>
                  <w:vMerge w:val="restart"/>
                  <w:noWrap w:val="0"/>
                  <w:vAlign w:val="center"/>
                </w:tcPr>
                <w:p w14:paraId="757AF24B">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重金属、持久性有机污染物</w:t>
                  </w:r>
                </w:p>
              </w:tc>
              <w:tc>
                <w:tcPr>
                  <w:tcW w:w="2039" w:type="dxa"/>
                  <w:vMerge w:val="restart"/>
                  <w:noWrap w:val="0"/>
                  <w:vAlign w:val="center"/>
                </w:tcPr>
                <w:p w14:paraId="2B956083">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等效黏土防渗层Mb≥6.0m，K≤1×10</w:t>
                  </w:r>
                  <w:r>
                    <w:rPr>
                      <w:rFonts w:hint="default" w:ascii="Times New Roman" w:hAnsi="Times New Roman" w:eastAsia="宋体" w:cs="Times New Roman"/>
                      <w:color w:val="auto"/>
                      <w:spacing w:val="0"/>
                      <w:position w:val="0"/>
                      <w:sz w:val="21"/>
                      <w:szCs w:val="21"/>
                      <w:highlight w:val="none"/>
                      <w:vertAlign w:val="superscript"/>
                      <w:lang w:bidi="ar"/>
                    </w:rPr>
                    <w:t>-7</w:t>
                  </w:r>
                  <w:r>
                    <w:rPr>
                      <w:rFonts w:hint="default" w:ascii="Times New Roman" w:hAnsi="Times New Roman" w:eastAsia="宋体" w:cs="Times New Roman"/>
                      <w:color w:val="auto"/>
                      <w:spacing w:val="0"/>
                      <w:position w:val="0"/>
                      <w:sz w:val="21"/>
                      <w:szCs w:val="21"/>
                      <w:highlight w:val="none"/>
                      <w:lang w:bidi="ar"/>
                    </w:rPr>
                    <w:t>cm/s；或参照GB18598执行</w:t>
                  </w:r>
                </w:p>
              </w:tc>
            </w:tr>
            <w:tr w14:paraId="6636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continue"/>
                  <w:noWrap w:val="0"/>
                  <w:vAlign w:val="center"/>
                </w:tcPr>
                <w:p w14:paraId="012327FB">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1328" w:type="dxa"/>
                  <w:noWrap w:val="0"/>
                  <w:vAlign w:val="center"/>
                </w:tcPr>
                <w:p w14:paraId="02117829">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中-强</w:t>
                  </w:r>
                </w:p>
              </w:tc>
              <w:tc>
                <w:tcPr>
                  <w:tcW w:w="1101" w:type="dxa"/>
                  <w:noWrap w:val="0"/>
                  <w:vAlign w:val="center"/>
                </w:tcPr>
                <w:p w14:paraId="585F78F0">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难</w:t>
                  </w:r>
                </w:p>
              </w:tc>
              <w:tc>
                <w:tcPr>
                  <w:tcW w:w="2534" w:type="dxa"/>
                  <w:vMerge w:val="continue"/>
                  <w:noWrap w:val="0"/>
                  <w:vAlign w:val="center"/>
                </w:tcPr>
                <w:p w14:paraId="6F9D2C49">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2039" w:type="dxa"/>
                  <w:vMerge w:val="continue"/>
                  <w:noWrap w:val="0"/>
                  <w:vAlign w:val="center"/>
                </w:tcPr>
                <w:p w14:paraId="11DF7F2D">
                  <w:pPr>
                    <w:keepNext w:val="0"/>
                    <w:keepLines w:val="0"/>
                    <w:pageBreakBefore w:val="0"/>
                    <w:widowControl/>
                    <w:kinsoku/>
                    <w:wordWrap/>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p>
              </w:tc>
            </w:tr>
            <w:tr w14:paraId="4D2A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continue"/>
                  <w:noWrap w:val="0"/>
                  <w:vAlign w:val="center"/>
                </w:tcPr>
                <w:p w14:paraId="4DCB17A7">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1328" w:type="dxa"/>
                  <w:noWrap w:val="0"/>
                  <w:vAlign w:val="center"/>
                </w:tcPr>
                <w:p w14:paraId="197C3096">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弱</w:t>
                  </w:r>
                </w:p>
              </w:tc>
              <w:tc>
                <w:tcPr>
                  <w:tcW w:w="1101" w:type="dxa"/>
                  <w:noWrap w:val="0"/>
                  <w:vAlign w:val="center"/>
                </w:tcPr>
                <w:p w14:paraId="6A224275">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易</w:t>
                  </w:r>
                </w:p>
              </w:tc>
              <w:tc>
                <w:tcPr>
                  <w:tcW w:w="2534" w:type="dxa"/>
                  <w:vMerge w:val="continue"/>
                  <w:noWrap w:val="0"/>
                  <w:vAlign w:val="center"/>
                </w:tcPr>
                <w:p w14:paraId="6D13873F">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2039" w:type="dxa"/>
                  <w:vMerge w:val="continue"/>
                  <w:noWrap w:val="0"/>
                  <w:vAlign w:val="center"/>
                </w:tcPr>
                <w:p w14:paraId="4DF67A44">
                  <w:pPr>
                    <w:keepNext w:val="0"/>
                    <w:keepLines w:val="0"/>
                    <w:pageBreakBefore w:val="0"/>
                    <w:widowControl/>
                    <w:kinsoku/>
                    <w:wordWrap/>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p>
              </w:tc>
            </w:tr>
            <w:tr w14:paraId="62C5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restart"/>
                  <w:noWrap w:val="0"/>
                  <w:vAlign w:val="center"/>
                </w:tcPr>
                <w:p w14:paraId="4632B9B1">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一般防渗区</w:t>
                  </w:r>
                </w:p>
              </w:tc>
              <w:tc>
                <w:tcPr>
                  <w:tcW w:w="1328" w:type="dxa"/>
                  <w:noWrap w:val="0"/>
                  <w:vAlign w:val="center"/>
                </w:tcPr>
                <w:p w14:paraId="612C6A70">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弱</w:t>
                  </w:r>
                </w:p>
              </w:tc>
              <w:tc>
                <w:tcPr>
                  <w:tcW w:w="1101" w:type="dxa"/>
                  <w:noWrap w:val="0"/>
                  <w:vAlign w:val="center"/>
                </w:tcPr>
                <w:p w14:paraId="59D10637">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易-难</w:t>
                  </w:r>
                </w:p>
              </w:tc>
              <w:tc>
                <w:tcPr>
                  <w:tcW w:w="2534" w:type="dxa"/>
                  <w:vMerge w:val="restart"/>
                  <w:noWrap w:val="0"/>
                  <w:vAlign w:val="center"/>
                </w:tcPr>
                <w:p w14:paraId="518C2B94">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其他类型</w:t>
                  </w:r>
                </w:p>
              </w:tc>
              <w:tc>
                <w:tcPr>
                  <w:tcW w:w="2039" w:type="dxa"/>
                  <w:vMerge w:val="restart"/>
                  <w:noWrap w:val="0"/>
                  <w:vAlign w:val="center"/>
                </w:tcPr>
                <w:p w14:paraId="7FD856A9">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等效黏土防渗层Mb≥1.5m，K≤1×10</w:t>
                  </w:r>
                  <w:r>
                    <w:rPr>
                      <w:rFonts w:hint="default" w:ascii="Times New Roman" w:hAnsi="Times New Roman" w:eastAsia="宋体" w:cs="Times New Roman"/>
                      <w:color w:val="auto"/>
                      <w:spacing w:val="0"/>
                      <w:position w:val="0"/>
                      <w:sz w:val="21"/>
                      <w:szCs w:val="21"/>
                      <w:highlight w:val="none"/>
                      <w:vertAlign w:val="superscript"/>
                      <w:lang w:bidi="ar"/>
                    </w:rPr>
                    <w:t>-7</w:t>
                  </w:r>
                  <w:r>
                    <w:rPr>
                      <w:rFonts w:hint="default" w:ascii="Times New Roman" w:hAnsi="Times New Roman" w:eastAsia="宋体" w:cs="Times New Roman"/>
                      <w:color w:val="auto"/>
                      <w:spacing w:val="0"/>
                      <w:position w:val="0"/>
                      <w:sz w:val="21"/>
                      <w:szCs w:val="21"/>
                      <w:highlight w:val="none"/>
                      <w:lang w:bidi="ar"/>
                    </w:rPr>
                    <w:t>cm/s；或参照GB16889执行</w:t>
                  </w:r>
                </w:p>
              </w:tc>
            </w:tr>
            <w:tr w14:paraId="1755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continue"/>
                  <w:noWrap w:val="0"/>
                  <w:vAlign w:val="center"/>
                </w:tcPr>
                <w:p w14:paraId="47424778">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1328" w:type="dxa"/>
                  <w:noWrap w:val="0"/>
                  <w:vAlign w:val="center"/>
                </w:tcPr>
                <w:p w14:paraId="01680AAD">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中-强</w:t>
                  </w:r>
                </w:p>
              </w:tc>
              <w:tc>
                <w:tcPr>
                  <w:tcW w:w="1101" w:type="dxa"/>
                  <w:noWrap w:val="0"/>
                  <w:vAlign w:val="center"/>
                </w:tcPr>
                <w:p w14:paraId="55799205">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难</w:t>
                  </w:r>
                </w:p>
              </w:tc>
              <w:tc>
                <w:tcPr>
                  <w:tcW w:w="2534" w:type="dxa"/>
                  <w:vMerge w:val="continue"/>
                  <w:noWrap w:val="0"/>
                  <w:vAlign w:val="center"/>
                </w:tcPr>
                <w:p w14:paraId="367797A6">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2039" w:type="dxa"/>
                  <w:vMerge w:val="continue"/>
                  <w:noWrap w:val="0"/>
                  <w:vAlign w:val="center"/>
                </w:tcPr>
                <w:p w14:paraId="3DE37A21">
                  <w:pPr>
                    <w:keepNext w:val="0"/>
                    <w:keepLines w:val="0"/>
                    <w:pageBreakBefore w:val="0"/>
                    <w:widowControl/>
                    <w:kinsoku/>
                    <w:wordWrap/>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p>
              </w:tc>
            </w:tr>
            <w:tr w14:paraId="1FA4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continue"/>
                  <w:noWrap w:val="0"/>
                  <w:vAlign w:val="center"/>
                </w:tcPr>
                <w:p w14:paraId="59596C5D">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1328" w:type="dxa"/>
                  <w:noWrap w:val="0"/>
                  <w:vAlign w:val="center"/>
                </w:tcPr>
                <w:p w14:paraId="143E26BF">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中</w:t>
                  </w:r>
                </w:p>
              </w:tc>
              <w:tc>
                <w:tcPr>
                  <w:tcW w:w="1101" w:type="dxa"/>
                  <w:noWrap w:val="0"/>
                  <w:vAlign w:val="center"/>
                </w:tcPr>
                <w:p w14:paraId="5DCC1291">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易</w:t>
                  </w:r>
                </w:p>
              </w:tc>
              <w:tc>
                <w:tcPr>
                  <w:tcW w:w="2534" w:type="dxa"/>
                  <w:vMerge w:val="restart"/>
                  <w:noWrap w:val="0"/>
                  <w:vAlign w:val="center"/>
                </w:tcPr>
                <w:p w14:paraId="5D363854">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重金属、持久性有机污染物</w:t>
                  </w:r>
                </w:p>
              </w:tc>
              <w:tc>
                <w:tcPr>
                  <w:tcW w:w="2039" w:type="dxa"/>
                  <w:vMerge w:val="continue"/>
                  <w:noWrap w:val="0"/>
                  <w:vAlign w:val="center"/>
                </w:tcPr>
                <w:p w14:paraId="45B76DD9">
                  <w:pPr>
                    <w:keepNext w:val="0"/>
                    <w:keepLines w:val="0"/>
                    <w:pageBreakBefore w:val="0"/>
                    <w:widowControl/>
                    <w:kinsoku/>
                    <w:wordWrap/>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p>
              </w:tc>
            </w:tr>
            <w:tr w14:paraId="5A50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vMerge w:val="continue"/>
                  <w:noWrap w:val="0"/>
                  <w:vAlign w:val="center"/>
                </w:tcPr>
                <w:p w14:paraId="0E51EBD5">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1328" w:type="dxa"/>
                  <w:noWrap w:val="0"/>
                  <w:vAlign w:val="center"/>
                </w:tcPr>
                <w:p w14:paraId="02817541">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强</w:t>
                  </w:r>
                </w:p>
              </w:tc>
              <w:tc>
                <w:tcPr>
                  <w:tcW w:w="1101" w:type="dxa"/>
                  <w:noWrap w:val="0"/>
                  <w:vAlign w:val="center"/>
                </w:tcPr>
                <w:p w14:paraId="13B0B8AE">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易</w:t>
                  </w:r>
                </w:p>
              </w:tc>
              <w:tc>
                <w:tcPr>
                  <w:tcW w:w="2534" w:type="dxa"/>
                  <w:vMerge w:val="continue"/>
                  <w:noWrap w:val="0"/>
                  <w:vAlign w:val="center"/>
                </w:tcPr>
                <w:p w14:paraId="2848B492">
                  <w:pPr>
                    <w:keepNext w:val="0"/>
                    <w:keepLines w:val="0"/>
                    <w:pageBreakBefore w:val="0"/>
                    <w:widowControl/>
                    <w:kinsoku/>
                    <w:wordWrap/>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p>
              </w:tc>
              <w:tc>
                <w:tcPr>
                  <w:tcW w:w="2039" w:type="dxa"/>
                  <w:vMerge w:val="continue"/>
                  <w:noWrap w:val="0"/>
                  <w:vAlign w:val="center"/>
                </w:tcPr>
                <w:p w14:paraId="047B4721">
                  <w:pPr>
                    <w:keepNext w:val="0"/>
                    <w:keepLines w:val="0"/>
                    <w:pageBreakBefore w:val="0"/>
                    <w:widowControl/>
                    <w:kinsoku/>
                    <w:wordWrap/>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p>
              </w:tc>
            </w:tr>
            <w:tr w14:paraId="061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21" w:type="dxa"/>
                  <w:noWrap w:val="0"/>
                  <w:vAlign w:val="center"/>
                </w:tcPr>
                <w:p w14:paraId="16AC7462">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简单防渗区</w:t>
                  </w:r>
                </w:p>
              </w:tc>
              <w:tc>
                <w:tcPr>
                  <w:tcW w:w="1328" w:type="dxa"/>
                  <w:noWrap w:val="0"/>
                  <w:vAlign w:val="center"/>
                </w:tcPr>
                <w:p w14:paraId="008515F5">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中-强</w:t>
                  </w:r>
                </w:p>
              </w:tc>
              <w:tc>
                <w:tcPr>
                  <w:tcW w:w="1101" w:type="dxa"/>
                  <w:noWrap w:val="0"/>
                  <w:vAlign w:val="center"/>
                </w:tcPr>
                <w:p w14:paraId="719FD60F">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易</w:t>
                  </w:r>
                </w:p>
              </w:tc>
              <w:tc>
                <w:tcPr>
                  <w:tcW w:w="2534" w:type="dxa"/>
                  <w:noWrap w:val="0"/>
                  <w:vAlign w:val="center"/>
                </w:tcPr>
                <w:p w14:paraId="18CE5CB9">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其他类型</w:t>
                  </w:r>
                </w:p>
              </w:tc>
              <w:tc>
                <w:tcPr>
                  <w:tcW w:w="2039" w:type="dxa"/>
                  <w:noWrap w:val="0"/>
                  <w:vAlign w:val="center"/>
                </w:tcPr>
                <w:p w14:paraId="0F8A08FD">
                  <w:pPr>
                    <w:keepNext w:val="0"/>
                    <w:keepLines w:val="0"/>
                    <w:pageBreakBefore w:val="0"/>
                    <w:widowControl/>
                    <w:suppressAutoHyphens/>
                    <w:kinsoku/>
                    <w:wordWrap/>
                    <w:topLinePunct/>
                    <w:autoSpaceDE w:val="0"/>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一般地面硬化</w:t>
                  </w:r>
                </w:p>
              </w:tc>
            </w:tr>
          </w:tbl>
          <w:p w14:paraId="66BE873E">
            <w:pPr>
              <w:keepNext w:val="0"/>
              <w:keepLines w:val="0"/>
              <w:pageBreakBefore w:val="0"/>
              <w:widowControl w:val="0"/>
              <w:kinsoku/>
              <w:wordWrap/>
              <w:overflowPunct w:val="0"/>
              <w:topLinePunct w:val="0"/>
              <w:autoSpaceDE w:val="0"/>
              <w:autoSpaceDN/>
              <w:bidi w:val="0"/>
              <w:adjustRightInd w:val="0"/>
              <w:snapToGrid w:val="0"/>
              <w:spacing w:before="0" w:beforeLines="50"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lang w:bidi="ar"/>
              </w:rPr>
            </w:pPr>
            <w:r>
              <w:rPr>
                <w:rFonts w:hint="default" w:ascii="Times New Roman" w:hAnsi="Times New Roman" w:eastAsia="宋体" w:cs="Times New Roman"/>
                <w:color w:val="auto"/>
                <w:spacing w:val="0"/>
                <w:position w:val="0"/>
                <w:sz w:val="24"/>
                <w:szCs w:val="24"/>
                <w:highlight w:val="none"/>
                <w:lang w:bidi="ar"/>
              </w:rPr>
              <w:t>本项目</w:t>
            </w:r>
            <w:r>
              <w:rPr>
                <w:rFonts w:hint="default" w:ascii="Times New Roman" w:hAnsi="Times New Roman" w:eastAsia="宋体" w:cs="Times New Roman"/>
                <w:color w:val="auto"/>
                <w:spacing w:val="0"/>
                <w:position w:val="0"/>
                <w:sz w:val="24"/>
                <w:szCs w:val="24"/>
                <w:highlight w:val="none"/>
                <w:lang w:val="en-US" w:eastAsia="zh-CN" w:bidi="ar"/>
              </w:rPr>
              <w:t>生产车间</w:t>
            </w:r>
            <w:r>
              <w:rPr>
                <w:rFonts w:hint="default" w:ascii="Times New Roman" w:hAnsi="Times New Roman" w:eastAsia="宋体" w:cs="Times New Roman"/>
                <w:color w:val="auto"/>
                <w:spacing w:val="0"/>
                <w:position w:val="0"/>
                <w:sz w:val="24"/>
                <w:szCs w:val="24"/>
                <w:highlight w:val="none"/>
                <w:lang w:bidi="ar"/>
              </w:rPr>
              <w:t>作一般防渗处理，</w:t>
            </w:r>
            <w:r>
              <w:rPr>
                <w:rFonts w:hint="default" w:ascii="Times New Roman" w:hAnsi="Times New Roman" w:eastAsia="宋体" w:cs="Times New Roman"/>
                <w:color w:val="auto"/>
                <w:spacing w:val="0"/>
                <w:position w:val="0"/>
                <w:sz w:val="24"/>
                <w:szCs w:val="24"/>
                <w:highlight w:val="none"/>
                <w:lang w:val="en-US" w:eastAsia="zh-CN" w:bidi="ar"/>
              </w:rPr>
              <w:t>危废暂存间作重点</w:t>
            </w:r>
            <w:r>
              <w:rPr>
                <w:rFonts w:hint="eastAsia" w:ascii="Times New Roman" w:hAnsi="Times New Roman" w:eastAsia="宋体" w:cs="Times New Roman"/>
                <w:color w:val="auto"/>
                <w:spacing w:val="0"/>
                <w:position w:val="0"/>
                <w:sz w:val="24"/>
                <w:szCs w:val="24"/>
                <w:highlight w:val="none"/>
                <w:lang w:val="en-US" w:eastAsia="zh-CN" w:bidi="ar"/>
              </w:rPr>
              <w:t>防渗</w:t>
            </w:r>
            <w:r>
              <w:rPr>
                <w:rFonts w:hint="default" w:ascii="Times New Roman" w:hAnsi="Times New Roman" w:eastAsia="宋体" w:cs="Times New Roman"/>
                <w:color w:val="auto"/>
                <w:spacing w:val="0"/>
                <w:position w:val="0"/>
                <w:sz w:val="24"/>
                <w:szCs w:val="24"/>
                <w:highlight w:val="none"/>
                <w:lang w:bidi="ar"/>
              </w:rPr>
              <w:t>处理。结合厂区实际，本工程防渗工程设计标准及维护需满足下列要求：</w:t>
            </w:r>
          </w:p>
          <w:p w14:paraId="1391E5E1">
            <w:pPr>
              <w:keepNext w:val="0"/>
              <w:keepLines w:val="0"/>
              <w:pageBreakBefore w:val="0"/>
              <w:widowControl w:val="0"/>
              <w:kinsoku/>
              <w:wordWrap/>
              <w:overflowPunct w:val="0"/>
              <w:topLinePunct w:val="0"/>
              <w:autoSpaceDE w:val="0"/>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lang w:bidi="ar"/>
              </w:rPr>
            </w:pPr>
            <w:r>
              <w:rPr>
                <w:rFonts w:hint="default" w:ascii="Times New Roman" w:hAnsi="Times New Roman" w:eastAsia="宋体" w:cs="Times New Roman"/>
                <w:color w:val="auto"/>
                <w:spacing w:val="0"/>
                <w:position w:val="0"/>
                <w:sz w:val="24"/>
                <w:szCs w:val="24"/>
                <w:highlight w:val="none"/>
                <w:lang w:val="en-US" w:eastAsia="zh-CN" w:bidi="ar"/>
              </w:rPr>
              <w:t>1.</w:t>
            </w:r>
            <w:r>
              <w:rPr>
                <w:rFonts w:hint="default" w:ascii="Times New Roman" w:hAnsi="Times New Roman" w:eastAsia="宋体" w:cs="Times New Roman"/>
                <w:color w:val="auto"/>
                <w:spacing w:val="0"/>
                <w:position w:val="0"/>
                <w:sz w:val="24"/>
                <w:szCs w:val="24"/>
                <w:highlight w:val="none"/>
                <w:lang w:bidi="ar"/>
              </w:rPr>
              <w:t>各单元防渗工程的设计使用年限不低于</w:t>
            </w:r>
            <w:r>
              <w:rPr>
                <w:rFonts w:hint="eastAsia" w:ascii="Times New Roman" w:hAnsi="Times New Roman" w:eastAsia="宋体" w:cs="Times New Roman"/>
                <w:color w:val="auto"/>
                <w:spacing w:val="0"/>
                <w:position w:val="0"/>
                <w:sz w:val="24"/>
                <w:szCs w:val="24"/>
                <w:highlight w:val="none"/>
                <w:lang w:eastAsia="zh-CN" w:bidi="ar"/>
              </w:rPr>
              <w:t>对</w:t>
            </w:r>
            <w:r>
              <w:rPr>
                <w:rFonts w:hint="default" w:ascii="Times New Roman" w:hAnsi="Times New Roman" w:eastAsia="宋体" w:cs="Times New Roman"/>
                <w:color w:val="auto"/>
                <w:spacing w:val="0"/>
                <w:position w:val="0"/>
                <w:sz w:val="24"/>
                <w:szCs w:val="24"/>
                <w:highlight w:val="none"/>
                <w:lang w:bidi="ar"/>
              </w:rPr>
              <w:t>应设备、管道或建筑物的设计使用年限。</w:t>
            </w:r>
          </w:p>
          <w:p w14:paraId="575BC3DA">
            <w:pPr>
              <w:keepNext w:val="0"/>
              <w:keepLines w:val="0"/>
              <w:pageBreakBefore w:val="0"/>
              <w:widowControl w:val="0"/>
              <w:kinsoku/>
              <w:wordWrap/>
              <w:overflowPunct w:val="0"/>
              <w:topLinePunct w:val="0"/>
              <w:autoSpaceDE w:val="0"/>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lang w:bidi="ar"/>
              </w:rPr>
            </w:pPr>
            <w:r>
              <w:rPr>
                <w:rFonts w:hint="default" w:ascii="Times New Roman" w:hAnsi="Times New Roman" w:eastAsia="宋体" w:cs="Times New Roman"/>
                <w:color w:val="auto"/>
                <w:spacing w:val="0"/>
                <w:position w:val="0"/>
                <w:sz w:val="24"/>
                <w:szCs w:val="24"/>
                <w:highlight w:val="none"/>
                <w:lang w:val="en-US" w:eastAsia="zh-CN" w:bidi="ar"/>
              </w:rPr>
              <w:t>2.</w:t>
            </w:r>
            <w:r>
              <w:rPr>
                <w:rFonts w:hint="default" w:ascii="Times New Roman" w:hAnsi="Times New Roman" w:eastAsia="宋体" w:cs="Times New Roman"/>
                <w:color w:val="auto"/>
                <w:spacing w:val="0"/>
                <w:position w:val="0"/>
                <w:sz w:val="24"/>
                <w:szCs w:val="24"/>
                <w:highlight w:val="none"/>
                <w:lang w:bidi="ar"/>
              </w:rPr>
              <w:t>一般防渗区采取的防渗措施的防渗性能执行《环境影响评价技术导则 地下水环境》（HJ610-2016）中一般防渗区要求：</w:t>
            </w:r>
            <w:r>
              <w:rPr>
                <w:rFonts w:hint="eastAsia" w:ascii="Times New Roman" w:hAnsi="Times New Roman" w:eastAsia="宋体" w:cs="Times New Roman"/>
                <w:color w:val="auto"/>
                <w:spacing w:val="0"/>
                <w:position w:val="0"/>
                <w:sz w:val="24"/>
                <w:szCs w:val="24"/>
                <w:highlight w:val="none"/>
                <w:lang w:val="en-US" w:eastAsia="zh-CN" w:bidi="ar"/>
              </w:rPr>
              <w:t>采用</w:t>
            </w:r>
            <w:r>
              <w:rPr>
                <w:rFonts w:hint="default" w:ascii="Times New Roman" w:hAnsi="Times New Roman" w:eastAsia="宋体" w:cs="Times New Roman"/>
                <w:color w:val="auto"/>
                <w:spacing w:val="0"/>
                <w:position w:val="0"/>
                <w:sz w:val="24"/>
                <w:szCs w:val="24"/>
                <w:highlight w:val="none"/>
                <w:lang w:bidi="ar"/>
              </w:rPr>
              <w:t>1.5m厚黏土层等效</w:t>
            </w:r>
            <w:r>
              <w:rPr>
                <w:rFonts w:hint="eastAsia" w:ascii="Times New Roman" w:hAnsi="Times New Roman" w:eastAsia="宋体" w:cs="Times New Roman"/>
                <w:color w:val="auto"/>
                <w:spacing w:val="0"/>
                <w:position w:val="0"/>
                <w:sz w:val="24"/>
                <w:szCs w:val="24"/>
                <w:highlight w:val="none"/>
                <w:lang w:val="en-US" w:eastAsia="zh-CN" w:bidi="ar"/>
              </w:rPr>
              <w:t>黏土</w:t>
            </w:r>
            <w:r>
              <w:rPr>
                <w:rFonts w:hint="default" w:ascii="Times New Roman" w:hAnsi="Times New Roman" w:eastAsia="宋体" w:cs="Times New Roman"/>
                <w:color w:val="auto"/>
                <w:spacing w:val="0"/>
                <w:position w:val="0"/>
                <w:sz w:val="24"/>
                <w:szCs w:val="24"/>
                <w:highlight w:val="none"/>
                <w:lang w:bidi="ar"/>
              </w:rPr>
              <w:t>（渗透系数≤1×10</w:t>
            </w:r>
            <w:r>
              <w:rPr>
                <w:rFonts w:hint="default" w:ascii="Times New Roman" w:hAnsi="Times New Roman" w:eastAsia="宋体" w:cs="Times New Roman"/>
                <w:color w:val="auto"/>
                <w:spacing w:val="0"/>
                <w:position w:val="0"/>
                <w:sz w:val="24"/>
                <w:szCs w:val="24"/>
                <w:highlight w:val="none"/>
                <w:vertAlign w:val="superscript"/>
                <w:lang w:bidi="ar"/>
              </w:rPr>
              <w:t>-7</w:t>
            </w:r>
            <w:r>
              <w:rPr>
                <w:rFonts w:hint="default" w:ascii="Times New Roman" w:hAnsi="Times New Roman" w:eastAsia="宋体" w:cs="Times New Roman"/>
                <w:color w:val="auto"/>
                <w:spacing w:val="0"/>
                <w:position w:val="0"/>
                <w:sz w:val="24"/>
                <w:szCs w:val="24"/>
                <w:highlight w:val="none"/>
                <w:lang w:bidi="ar"/>
              </w:rPr>
              <w:t>cm/s）。</w:t>
            </w:r>
          </w:p>
          <w:p w14:paraId="640975EF">
            <w:pPr>
              <w:keepNext w:val="0"/>
              <w:keepLines w:val="0"/>
              <w:pageBreakBefore w:val="0"/>
              <w:widowControl w:val="0"/>
              <w:kinsoku/>
              <w:wordWrap/>
              <w:overflowPunct w:val="0"/>
              <w:topLinePunct w:val="0"/>
              <w:autoSpaceDE w:val="0"/>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lang w:bidi="ar"/>
              </w:rPr>
            </w:pPr>
            <w:r>
              <w:rPr>
                <w:rFonts w:hint="default" w:ascii="Times New Roman" w:hAnsi="Times New Roman" w:eastAsia="宋体" w:cs="Times New Roman"/>
                <w:color w:val="auto"/>
                <w:spacing w:val="0"/>
                <w:position w:val="0"/>
                <w:sz w:val="24"/>
                <w:szCs w:val="24"/>
                <w:highlight w:val="none"/>
                <w:lang w:val="en-US" w:eastAsia="zh-CN" w:bidi="ar"/>
              </w:rPr>
              <w:t>3.重点</w:t>
            </w:r>
            <w:r>
              <w:rPr>
                <w:rFonts w:hint="default" w:ascii="Times New Roman" w:hAnsi="Times New Roman" w:eastAsia="宋体" w:cs="Times New Roman"/>
                <w:color w:val="auto"/>
                <w:spacing w:val="0"/>
                <w:position w:val="0"/>
                <w:sz w:val="24"/>
                <w:szCs w:val="24"/>
                <w:highlight w:val="none"/>
                <w:lang w:bidi="ar"/>
              </w:rPr>
              <w:t>防渗区执行《环境影响评价技术导则 地下水环境》（HJ610-2016）中</w:t>
            </w:r>
            <w:r>
              <w:rPr>
                <w:rFonts w:hint="default" w:ascii="Times New Roman" w:hAnsi="Times New Roman" w:eastAsia="宋体" w:cs="Times New Roman"/>
                <w:color w:val="auto"/>
                <w:spacing w:val="0"/>
                <w:position w:val="0"/>
                <w:sz w:val="24"/>
                <w:szCs w:val="24"/>
                <w:highlight w:val="none"/>
                <w:lang w:val="en-US" w:eastAsia="zh-CN" w:bidi="ar"/>
              </w:rPr>
              <w:t>重点</w:t>
            </w:r>
            <w:r>
              <w:rPr>
                <w:rFonts w:hint="default" w:ascii="Times New Roman" w:hAnsi="Times New Roman" w:eastAsia="宋体" w:cs="Times New Roman"/>
                <w:color w:val="auto"/>
                <w:spacing w:val="0"/>
                <w:position w:val="0"/>
                <w:sz w:val="24"/>
                <w:szCs w:val="24"/>
                <w:highlight w:val="none"/>
                <w:lang w:bidi="ar"/>
              </w:rPr>
              <w:t>防渗区要求：等效黏土防渗层Mb≥6.0m，K≤1×10</w:t>
            </w:r>
            <w:r>
              <w:rPr>
                <w:rFonts w:hint="default" w:ascii="Times New Roman" w:hAnsi="Times New Roman" w:eastAsia="宋体" w:cs="Times New Roman"/>
                <w:color w:val="auto"/>
                <w:spacing w:val="0"/>
                <w:position w:val="0"/>
                <w:sz w:val="24"/>
                <w:szCs w:val="24"/>
                <w:highlight w:val="none"/>
                <w:vertAlign w:val="superscript"/>
                <w:lang w:bidi="ar"/>
              </w:rPr>
              <w:t>-7</w:t>
            </w:r>
            <w:r>
              <w:rPr>
                <w:rFonts w:hint="default" w:ascii="Times New Roman" w:hAnsi="Times New Roman" w:eastAsia="宋体" w:cs="Times New Roman"/>
                <w:color w:val="auto"/>
                <w:spacing w:val="0"/>
                <w:position w:val="0"/>
                <w:sz w:val="24"/>
                <w:szCs w:val="24"/>
                <w:highlight w:val="none"/>
                <w:lang w:bidi="ar"/>
              </w:rPr>
              <w:t>cm/s。地面防渗方案可采用</w:t>
            </w:r>
            <w:r>
              <w:rPr>
                <w:rFonts w:hint="default" w:ascii="Times New Roman" w:hAnsi="Times New Roman" w:eastAsia="宋体" w:cs="Times New Roman"/>
                <w:color w:val="auto"/>
                <w:spacing w:val="0"/>
                <w:position w:val="0"/>
                <w:sz w:val="24"/>
                <w:szCs w:val="24"/>
                <w:highlight w:val="none"/>
                <w:lang w:val="en-US" w:eastAsia="zh-CN" w:bidi="ar"/>
              </w:rPr>
              <w:t>防水涂料防渗处理</w:t>
            </w:r>
            <w:r>
              <w:rPr>
                <w:rFonts w:hint="default" w:ascii="Times New Roman" w:hAnsi="Times New Roman" w:eastAsia="宋体" w:cs="Times New Roman"/>
                <w:color w:val="auto"/>
                <w:spacing w:val="0"/>
                <w:position w:val="0"/>
                <w:sz w:val="24"/>
                <w:szCs w:val="24"/>
                <w:highlight w:val="none"/>
                <w:lang w:bidi="ar"/>
              </w:rPr>
              <w:t>。</w:t>
            </w:r>
          </w:p>
          <w:p w14:paraId="52C81FF1">
            <w:pPr>
              <w:keepNext w:val="0"/>
              <w:keepLines w:val="0"/>
              <w:pageBreakBefore w:val="0"/>
              <w:widowControl w:val="0"/>
              <w:kinsoku/>
              <w:wordWrap/>
              <w:overflowPunct w:val="0"/>
              <w:topLinePunct w:val="0"/>
              <w:autoSpaceDE w:val="0"/>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lang w:bidi="ar"/>
              </w:rPr>
            </w:pPr>
            <w:r>
              <w:rPr>
                <w:rFonts w:hint="default" w:ascii="Times New Roman" w:hAnsi="Times New Roman" w:eastAsia="宋体" w:cs="Times New Roman"/>
                <w:color w:val="auto"/>
                <w:spacing w:val="0"/>
                <w:position w:val="0"/>
                <w:sz w:val="24"/>
                <w:szCs w:val="24"/>
                <w:highlight w:val="none"/>
                <w:lang w:val="en-US" w:eastAsia="zh-CN" w:bidi="ar"/>
              </w:rPr>
              <w:t>4.</w:t>
            </w:r>
            <w:r>
              <w:rPr>
                <w:rFonts w:hint="default" w:ascii="Times New Roman" w:hAnsi="Times New Roman" w:eastAsia="宋体" w:cs="Times New Roman"/>
                <w:color w:val="auto"/>
                <w:spacing w:val="0"/>
                <w:position w:val="0"/>
                <w:sz w:val="24"/>
                <w:szCs w:val="24"/>
                <w:highlight w:val="none"/>
                <w:lang w:bidi="ar"/>
              </w:rPr>
              <w:t>加强厂区防渗设施的检查、维修力度，确保防渗措施。</w:t>
            </w:r>
          </w:p>
          <w:p w14:paraId="08BB44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bidi="ar"/>
              </w:rPr>
              <w:t>综上，本项目在采取完善的防渗措施后，对地下水及土壤环境影响程度较小。</w:t>
            </w:r>
          </w:p>
          <w:p w14:paraId="00AC4AEE">
            <w:pPr>
              <w:keepNext w:val="0"/>
              <w:keepLines w:val="0"/>
              <w:pageBreakBefore w:val="0"/>
              <w:kinsoku/>
              <w:wordWrap/>
              <w:overflowPunct/>
              <w:bidi w:val="0"/>
              <w:adjustRightInd w:val="0"/>
              <w:snapToGrid w:val="0"/>
              <w:spacing w:line="360" w:lineRule="auto"/>
              <w:jc w:val="both"/>
              <w:rPr>
                <w:rFonts w:hint="default" w:ascii="Times New Roman" w:hAnsi="Times New Roman" w:eastAsia="宋体" w:cs="Times New Roman"/>
                <w:b/>
                <w:bCs/>
                <w:color w:val="auto"/>
                <w:spacing w:val="0"/>
                <w:sz w:val="24"/>
                <w:szCs w:val="24"/>
                <w:highlight w:val="none"/>
              </w:rPr>
            </w:pPr>
            <w:r>
              <w:rPr>
                <w:rFonts w:hint="default" w:ascii="Times New Roman" w:hAnsi="Times New Roman" w:eastAsia="宋体" w:cs="Times New Roman"/>
                <w:b/>
                <w:bCs/>
                <w:color w:val="auto"/>
                <w:spacing w:val="0"/>
                <w:sz w:val="24"/>
                <w:szCs w:val="24"/>
                <w:highlight w:val="none"/>
                <w:lang w:val="en-US" w:eastAsia="zh-CN"/>
              </w:rPr>
              <w:t>六、</w:t>
            </w:r>
            <w:r>
              <w:rPr>
                <w:rFonts w:hint="default" w:ascii="Times New Roman" w:hAnsi="Times New Roman" w:eastAsia="宋体" w:cs="Times New Roman"/>
                <w:b/>
                <w:bCs/>
                <w:color w:val="auto"/>
                <w:spacing w:val="0"/>
                <w:sz w:val="24"/>
                <w:szCs w:val="24"/>
                <w:highlight w:val="none"/>
              </w:rPr>
              <w:t>环境风险</w:t>
            </w:r>
            <w:r>
              <w:rPr>
                <w:rFonts w:hint="default" w:ascii="Times New Roman" w:hAnsi="Times New Roman" w:eastAsia="宋体" w:cs="Times New Roman"/>
                <w:b/>
                <w:bCs/>
                <w:color w:val="auto"/>
                <w:spacing w:val="0"/>
                <w:sz w:val="24"/>
                <w:szCs w:val="24"/>
                <w:highlight w:val="none"/>
                <w:lang w:val="en-US" w:eastAsia="zh-CN"/>
              </w:rPr>
              <w:t>评价</w:t>
            </w:r>
            <w:r>
              <w:rPr>
                <w:rFonts w:hint="default" w:ascii="Times New Roman" w:hAnsi="Times New Roman" w:eastAsia="宋体" w:cs="Times New Roman"/>
                <w:b/>
                <w:bCs/>
                <w:color w:val="auto"/>
                <w:spacing w:val="0"/>
                <w:sz w:val="24"/>
                <w:szCs w:val="24"/>
                <w:highlight w:val="none"/>
              </w:rPr>
              <w:t>分析</w:t>
            </w:r>
          </w:p>
          <w:p w14:paraId="542E5B2C">
            <w:pPr>
              <w:keepNext w:val="0"/>
              <w:keepLines w:val="0"/>
              <w:pageBreakBefore w:val="0"/>
              <w:widowControl/>
              <w:numPr>
                <w:ilvl w:val="0"/>
                <w:numId w:val="0"/>
              </w:numPr>
              <w:suppressAutoHyphens/>
              <w:kinsoku/>
              <w:wordWrap/>
              <w:overflowPunct/>
              <w:topLinePunct/>
              <w:autoSpaceDE/>
              <w:autoSpaceDN/>
              <w:bidi w:val="0"/>
              <w:adjustRightInd w:val="0"/>
              <w:snapToGrid w:val="0"/>
              <w:spacing w:afterAutospacing="0" w:line="360" w:lineRule="auto"/>
              <w:ind w:left="0" w:leftChars="0" w:right="0" w:rightChars="0" w:firstLine="482" w:firstLineChars="200"/>
              <w:jc w:val="both"/>
              <w:textAlignment w:val="auto"/>
              <w:rPr>
                <w:rFonts w:hint="default" w:ascii="Times New Roman" w:hAnsi="Times New Roman" w:eastAsia="宋体" w:cs="Times New Roman"/>
                <w:b/>
                <w:bCs/>
                <w:color w:val="auto"/>
                <w:spacing w:val="0"/>
                <w:sz w:val="24"/>
                <w:szCs w:val="24"/>
                <w:highlight w:val="none"/>
                <w:lang w:eastAsia="zh-CN" w:bidi="ar"/>
              </w:rPr>
            </w:pPr>
            <w:r>
              <w:rPr>
                <w:rFonts w:hint="default" w:ascii="Times New Roman" w:hAnsi="Times New Roman" w:eastAsia="宋体" w:cs="Times New Roman"/>
                <w:b/>
                <w:bCs/>
                <w:color w:val="auto"/>
                <w:spacing w:val="0"/>
                <w:sz w:val="24"/>
                <w:szCs w:val="24"/>
                <w:highlight w:val="none"/>
                <w:lang w:val="en-US" w:eastAsia="zh-CN" w:bidi="ar"/>
              </w:rPr>
              <w:t>（一）</w:t>
            </w:r>
            <w:r>
              <w:rPr>
                <w:rFonts w:hint="default" w:ascii="Times New Roman" w:hAnsi="Times New Roman" w:eastAsia="宋体" w:cs="Times New Roman"/>
                <w:b/>
                <w:bCs/>
                <w:color w:val="auto"/>
                <w:spacing w:val="0"/>
                <w:sz w:val="24"/>
                <w:szCs w:val="24"/>
                <w:highlight w:val="none"/>
                <w:lang w:eastAsia="zh-CN" w:bidi="ar"/>
              </w:rPr>
              <w:t>地下水、土壤污染源及污染途径</w:t>
            </w:r>
          </w:p>
          <w:p w14:paraId="5D855D57">
            <w:pPr>
              <w:keepNext w:val="0"/>
              <w:keepLines w:val="0"/>
              <w:pageBreakBefore w:val="0"/>
              <w:widowControl/>
              <w:suppressAutoHyphens/>
              <w:kinsoku/>
              <w:wordWrap/>
              <w:overflowPunct/>
              <w:topLinePunct/>
              <w:autoSpaceDE/>
              <w:autoSpaceDN/>
              <w:bidi w:val="0"/>
              <w:adjustRightInd w:val="0"/>
              <w:snapToGrid w:val="0"/>
              <w:spacing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sz w:val="24"/>
                <w:szCs w:val="24"/>
                <w:highlight w:val="none"/>
                <w:lang w:eastAsia="zh-CN" w:bidi="ar"/>
              </w:rPr>
            </w:pPr>
            <w:r>
              <w:rPr>
                <w:rFonts w:hint="default" w:ascii="Times New Roman" w:hAnsi="Times New Roman" w:eastAsia="宋体" w:cs="Times New Roman"/>
                <w:color w:val="auto"/>
                <w:spacing w:val="0"/>
                <w:sz w:val="24"/>
                <w:szCs w:val="24"/>
                <w:highlight w:val="none"/>
                <w:lang w:eastAsia="zh-CN" w:bidi="ar"/>
              </w:rPr>
              <w:t>本项目运营过程地下水、土壤污染源主要是非正常工况下</w:t>
            </w:r>
            <w:r>
              <w:rPr>
                <w:rFonts w:hint="eastAsia" w:ascii="Times New Roman" w:hAnsi="Times New Roman" w:eastAsia="宋体" w:cs="Times New Roman"/>
                <w:color w:val="auto"/>
                <w:spacing w:val="0"/>
                <w:sz w:val="24"/>
                <w:szCs w:val="24"/>
                <w:highlight w:val="none"/>
                <w:lang w:eastAsia="zh-CN" w:bidi="ar"/>
              </w:rPr>
              <w:t>污水管网</w:t>
            </w:r>
            <w:r>
              <w:rPr>
                <w:rFonts w:hint="default" w:ascii="Times New Roman" w:hAnsi="Times New Roman" w:eastAsia="宋体" w:cs="Times New Roman"/>
                <w:color w:val="auto"/>
                <w:spacing w:val="0"/>
                <w:sz w:val="24"/>
                <w:szCs w:val="24"/>
                <w:highlight w:val="none"/>
                <w:lang w:eastAsia="zh-CN" w:bidi="ar"/>
              </w:rPr>
              <w:t>防渗系统破损，会导致</w:t>
            </w:r>
            <w:r>
              <w:rPr>
                <w:rFonts w:hint="eastAsia" w:ascii="Times New Roman" w:hAnsi="Times New Roman" w:eastAsia="宋体" w:cs="Times New Roman"/>
                <w:color w:val="auto"/>
                <w:spacing w:val="0"/>
                <w:sz w:val="24"/>
                <w:szCs w:val="24"/>
                <w:highlight w:val="none"/>
                <w:lang w:eastAsia="zh-CN" w:bidi="ar"/>
              </w:rPr>
              <w:t>生活污水</w:t>
            </w:r>
            <w:r>
              <w:rPr>
                <w:rFonts w:hint="default" w:ascii="Times New Roman" w:hAnsi="Times New Roman" w:eastAsia="宋体" w:cs="Times New Roman"/>
                <w:color w:val="auto"/>
                <w:spacing w:val="0"/>
                <w:sz w:val="24"/>
                <w:szCs w:val="24"/>
                <w:highlight w:val="none"/>
                <w:lang w:eastAsia="zh-CN" w:bidi="ar"/>
              </w:rPr>
              <w:t>垂直入渗对项目区及周围地下水和土壤环境造成不利影响。</w:t>
            </w:r>
          </w:p>
          <w:p w14:paraId="74BD9AB4">
            <w:pPr>
              <w:keepNext w:val="0"/>
              <w:keepLines w:val="0"/>
              <w:pageBreakBefore w:val="0"/>
              <w:widowControl/>
              <w:numPr>
                <w:ilvl w:val="0"/>
                <w:numId w:val="0"/>
              </w:numPr>
              <w:suppressAutoHyphens/>
              <w:kinsoku/>
              <w:wordWrap/>
              <w:overflowPunct/>
              <w:topLinePunct/>
              <w:autoSpaceDE/>
              <w:autoSpaceDN/>
              <w:bidi w:val="0"/>
              <w:adjustRightInd w:val="0"/>
              <w:snapToGrid w:val="0"/>
              <w:spacing w:afterAutospacing="0" w:line="360" w:lineRule="auto"/>
              <w:ind w:left="0" w:leftChars="0" w:right="0" w:rightChars="0" w:firstLine="482" w:firstLineChars="200"/>
              <w:jc w:val="both"/>
              <w:textAlignment w:val="auto"/>
              <w:rPr>
                <w:rFonts w:hint="default" w:ascii="Times New Roman" w:hAnsi="Times New Roman" w:eastAsia="宋体" w:cs="Times New Roman"/>
                <w:b/>
                <w:bCs/>
                <w:color w:val="auto"/>
                <w:spacing w:val="0"/>
                <w:sz w:val="24"/>
                <w:szCs w:val="24"/>
                <w:highlight w:val="none"/>
                <w:lang w:bidi="ar"/>
              </w:rPr>
            </w:pPr>
            <w:r>
              <w:rPr>
                <w:rFonts w:hint="default" w:ascii="Times New Roman" w:hAnsi="Times New Roman" w:eastAsia="宋体" w:cs="Times New Roman"/>
                <w:b/>
                <w:bCs/>
                <w:color w:val="auto"/>
                <w:spacing w:val="0"/>
                <w:sz w:val="24"/>
                <w:szCs w:val="24"/>
                <w:highlight w:val="none"/>
                <w:lang w:val="en-US" w:eastAsia="zh-CN" w:bidi="ar"/>
              </w:rPr>
              <w:t>（二）</w:t>
            </w:r>
            <w:r>
              <w:rPr>
                <w:rFonts w:hint="default" w:ascii="Times New Roman" w:hAnsi="Times New Roman" w:eastAsia="宋体" w:cs="Times New Roman"/>
                <w:b/>
                <w:bCs/>
                <w:color w:val="auto"/>
                <w:spacing w:val="0"/>
                <w:sz w:val="24"/>
                <w:szCs w:val="24"/>
                <w:highlight w:val="none"/>
                <w:lang w:eastAsia="zh-CN" w:bidi="ar"/>
              </w:rPr>
              <w:t>防控措施</w:t>
            </w:r>
          </w:p>
          <w:p w14:paraId="13359ECC">
            <w:pPr>
              <w:keepNext w:val="0"/>
              <w:keepLines w:val="0"/>
              <w:pageBreakBefore w:val="0"/>
              <w:widowControl/>
              <w:suppressAutoHyphens/>
              <w:kinsoku/>
              <w:wordWrap/>
              <w:overflowPunct/>
              <w:topLinePunct/>
              <w:bidi w:val="0"/>
              <w:adjustRightInd w:val="0"/>
              <w:snapToGrid w:val="0"/>
              <w:spacing w:afterAutospacing="0" w:line="360" w:lineRule="auto"/>
              <w:ind w:left="0" w:leftChars="0" w:right="0" w:rightChars="0" w:firstLine="480" w:firstLineChars="200"/>
              <w:jc w:val="both"/>
              <w:rPr>
                <w:rFonts w:hint="default" w:ascii="Times New Roman" w:hAnsi="Times New Roman" w:eastAsia="宋体" w:cs="Times New Roman"/>
                <w:color w:val="auto"/>
                <w:spacing w:val="0"/>
                <w:sz w:val="24"/>
                <w:szCs w:val="24"/>
                <w:highlight w:val="none"/>
                <w:lang w:val="en-US" w:eastAsia="zh-CN" w:bidi="ar"/>
              </w:rPr>
            </w:pPr>
            <w:r>
              <w:rPr>
                <w:rFonts w:hint="default" w:ascii="Times New Roman" w:hAnsi="Times New Roman" w:eastAsia="宋体" w:cs="Times New Roman"/>
                <w:color w:val="auto"/>
                <w:spacing w:val="0"/>
                <w:sz w:val="24"/>
                <w:szCs w:val="24"/>
                <w:highlight w:val="none"/>
                <w:lang w:bidi="ar"/>
              </w:rPr>
              <w:t>为有效预防地下水</w:t>
            </w:r>
            <w:r>
              <w:rPr>
                <w:rFonts w:hint="default" w:ascii="Times New Roman" w:hAnsi="Times New Roman" w:eastAsia="宋体" w:cs="Times New Roman"/>
                <w:color w:val="auto"/>
                <w:spacing w:val="0"/>
                <w:sz w:val="24"/>
                <w:szCs w:val="24"/>
                <w:highlight w:val="none"/>
                <w:lang w:eastAsia="zh-CN" w:bidi="ar"/>
              </w:rPr>
              <w:t>及土壤</w:t>
            </w:r>
            <w:r>
              <w:rPr>
                <w:rFonts w:hint="default" w:ascii="Times New Roman" w:hAnsi="Times New Roman" w:eastAsia="宋体" w:cs="Times New Roman"/>
                <w:color w:val="auto"/>
                <w:spacing w:val="0"/>
                <w:sz w:val="24"/>
                <w:szCs w:val="24"/>
                <w:highlight w:val="none"/>
                <w:lang w:bidi="ar"/>
              </w:rPr>
              <w:t>污染，</w:t>
            </w:r>
            <w:r>
              <w:rPr>
                <w:rFonts w:hint="default" w:ascii="Times New Roman" w:hAnsi="Times New Roman" w:eastAsia="宋体" w:cs="Times New Roman"/>
                <w:color w:val="auto"/>
                <w:spacing w:val="0"/>
                <w:sz w:val="24"/>
                <w:szCs w:val="24"/>
                <w:highlight w:val="none"/>
                <w:lang w:eastAsia="zh-CN" w:bidi="ar"/>
              </w:rPr>
              <w:t>本项目</w:t>
            </w:r>
            <w:r>
              <w:rPr>
                <w:rFonts w:hint="default" w:ascii="Times New Roman" w:hAnsi="Times New Roman" w:eastAsia="宋体" w:cs="Times New Roman"/>
                <w:color w:val="auto"/>
                <w:spacing w:val="0"/>
                <w:sz w:val="24"/>
                <w:szCs w:val="24"/>
                <w:highlight w:val="none"/>
                <w:lang w:bidi="ar"/>
              </w:rPr>
              <w:t>采取分区防渗措施。结合</w:t>
            </w:r>
            <w:r>
              <w:rPr>
                <w:rFonts w:hint="default" w:ascii="Times New Roman" w:hAnsi="Times New Roman" w:eastAsia="宋体" w:cs="Times New Roman"/>
                <w:color w:val="auto"/>
                <w:spacing w:val="0"/>
                <w:sz w:val="24"/>
                <w:szCs w:val="24"/>
                <w:highlight w:val="none"/>
                <w:lang w:eastAsia="zh-CN" w:bidi="ar"/>
              </w:rPr>
              <w:t>本项目</w:t>
            </w:r>
            <w:r>
              <w:rPr>
                <w:rFonts w:hint="default" w:ascii="Times New Roman" w:hAnsi="Times New Roman" w:eastAsia="宋体" w:cs="Times New Roman"/>
                <w:color w:val="auto"/>
                <w:spacing w:val="0"/>
                <w:sz w:val="24"/>
                <w:szCs w:val="24"/>
                <w:highlight w:val="none"/>
                <w:lang w:bidi="ar"/>
              </w:rPr>
              <w:t>工艺特点，</w:t>
            </w:r>
            <w:r>
              <w:rPr>
                <w:rFonts w:hint="default" w:ascii="Times New Roman" w:hAnsi="Times New Roman" w:eastAsia="宋体" w:cs="Times New Roman"/>
                <w:color w:val="auto"/>
                <w:spacing w:val="0"/>
                <w:sz w:val="24"/>
                <w:szCs w:val="24"/>
                <w:highlight w:val="none"/>
                <w:lang w:eastAsia="zh-CN" w:bidi="ar"/>
              </w:rPr>
              <w:t>本项目</w:t>
            </w:r>
            <w:r>
              <w:rPr>
                <w:rFonts w:hint="default" w:ascii="Times New Roman" w:hAnsi="Times New Roman" w:eastAsia="宋体" w:cs="Times New Roman"/>
                <w:color w:val="auto"/>
                <w:spacing w:val="0"/>
                <w:sz w:val="24"/>
                <w:szCs w:val="24"/>
                <w:highlight w:val="none"/>
                <w:lang w:bidi="ar"/>
              </w:rPr>
              <w:t>按重点防渗区、一般防渗区分区域进行防渗处理。</w:t>
            </w:r>
          </w:p>
          <w:p w14:paraId="6E7E2EFC">
            <w:pPr>
              <w:keepNext w:val="0"/>
              <w:keepLines w:val="0"/>
              <w:pageBreakBefore w:val="0"/>
              <w:widowControl/>
              <w:suppressAutoHyphens/>
              <w:kinsoku/>
              <w:wordWrap/>
              <w:overflowPunct/>
              <w:topLinePunct/>
              <w:autoSpaceDE/>
              <w:autoSpaceDN/>
              <w:bidi w:val="0"/>
              <w:adjustRightInd w:val="0"/>
              <w:snapToGrid w:val="0"/>
              <w:spacing w:afterAutospacing="0" w:line="360" w:lineRule="auto"/>
              <w:ind w:left="0" w:leftChars="0" w:right="0" w:rightChars="0" w:firstLine="480" w:firstLineChars="200"/>
              <w:jc w:val="both"/>
              <w:textAlignment w:val="auto"/>
              <w:rPr>
                <w:rFonts w:hint="default" w:ascii="Times New Roman" w:hAnsi="Times New Roman" w:eastAsia="宋体" w:cs="Times New Roman"/>
                <w:snapToGrid w:val="0"/>
                <w:color w:val="auto"/>
                <w:spacing w:val="0"/>
                <w:kern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bidi="ar"/>
              </w:rPr>
              <w:t>重点防渗区</w:t>
            </w:r>
            <w:r>
              <w:rPr>
                <w:rFonts w:hint="default" w:ascii="Times New Roman" w:hAnsi="Times New Roman" w:eastAsia="宋体" w:cs="Times New Roman"/>
                <w:color w:val="auto"/>
                <w:spacing w:val="0"/>
                <w:sz w:val="24"/>
                <w:szCs w:val="24"/>
                <w:highlight w:val="none"/>
                <w:lang w:val="en-US" w:eastAsia="zh-CN" w:bidi="ar"/>
              </w:rPr>
              <w:t>主要为</w:t>
            </w:r>
            <w:r>
              <w:rPr>
                <w:rFonts w:hint="default" w:ascii="Times New Roman" w:hAnsi="Times New Roman" w:eastAsia="宋体" w:cs="Times New Roman"/>
                <w:snapToGrid w:val="0"/>
                <w:color w:val="auto"/>
                <w:spacing w:val="0"/>
                <w:kern w:val="0"/>
                <w:sz w:val="24"/>
                <w:szCs w:val="24"/>
                <w:highlight w:val="none"/>
                <w:lang w:val="en-US" w:eastAsia="zh-CN"/>
              </w:rPr>
              <w:t>危废暂存间</w:t>
            </w:r>
            <w:r>
              <w:rPr>
                <w:rFonts w:hint="default" w:ascii="Times New Roman" w:hAnsi="Times New Roman" w:eastAsia="宋体" w:cs="Times New Roman"/>
                <w:color w:val="auto"/>
                <w:kern w:val="0"/>
                <w:sz w:val="24"/>
                <w:szCs w:val="24"/>
                <w:highlight w:val="none"/>
                <w:vertAlign w:val="baseline"/>
                <w:lang w:val="zh-CN" w:eastAsia="zh-CN" w:bidi="ar"/>
              </w:rPr>
              <w:t>：等效黏土防渗层</w:t>
            </w:r>
            <w:r>
              <w:rPr>
                <w:rFonts w:hint="default" w:ascii="Times New Roman" w:hAnsi="Times New Roman" w:eastAsia="宋体" w:cs="Times New Roman"/>
                <w:color w:val="auto"/>
                <w:kern w:val="0"/>
                <w:sz w:val="24"/>
                <w:szCs w:val="24"/>
                <w:highlight w:val="none"/>
                <w:vertAlign w:val="baseline"/>
                <w:lang w:val="en-US" w:eastAsia="zh-CN" w:bidi="ar"/>
              </w:rPr>
              <w:t>Mb≥6.0m，K≤1×10</w:t>
            </w:r>
            <w:r>
              <w:rPr>
                <w:rFonts w:hint="default" w:ascii="Times New Roman" w:hAnsi="Times New Roman" w:eastAsia="宋体" w:cs="Times New Roman"/>
                <w:color w:val="auto"/>
                <w:kern w:val="0"/>
                <w:sz w:val="24"/>
                <w:szCs w:val="24"/>
                <w:highlight w:val="none"/>
                <w:vertAlign w:val="superscript"/>
                <w:lang w:val="en-US" w:eastAsia="zh-CN" w:bidi="ar"/>
              </w:rPr>
              <w:t>-7</w:t>
            </w:r>
            <w:r>
              <w:rPr>
                <w:rFonts w:hint="default" w:ascii="Times New Roman" w:hAnsi="Times New Roman" w:eastAsia="宋体" w:cs="Times New Roman"/>
                <w:color w:val="auto"/>
                <w:kern w:val="0"/>
                <w:sz w:val="24"/>
                <w:szCs w:val="24"/>
                <w:highlight w:val="none"/>
                <w:vertAlign w:val="baseline"/>
                <w:lang w:val="en-US" w:eastAsia="zh-CN" w:bidi="ar"/>
              </w:rPr>
              <w:t>cm/s；</w:t>
            </w:r>
          </w:p>
          <w:p w14:paraId="7C0DD065">
            <w:pPr>
              <w:keepNext w:val="0"/>
              <w:keepLines w:val="0"/>
              <w:pageBreakBefore w:val="0"/>
              <w:widowControl/>
              <w:suppressAutoHyphens/>
              <w:kinsoku/>
              <w:wordWrap/>
              <w:overflowPunct/>
              <w:topLinePunct/>
              <w:autoSpaceDE/>
              <w:autoSpaceDN/>
              <w:bidi w:val="0"/>
              <w:adjustRightInd w:val="0"/>
              <w:snapToGrid w:val="0"/>
              <w:spacing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sz w:val="24"/>
                <w:szCs w:val="24"/>
                <w:highlight w:val="none"/>
                <w:lang w:bidi="ar"/>
              </w:rPr>
            </w:pPr>
            <w:r>
              <w:rPr>
                <w:rFonts w:hint="default" w:ascii="Times New Roman" w:hAnsi="Times New Roman" w:eastAsia="宋体" w:cs="Times New Roman"/>
                <w:color w:val="auto"/>
                <w:spacing w:val="0"/>
                <w:sz w:val="24"/>
                <w:szCs w:val="24"/>
                <w:highlight w:val="none"/>
                <w:lang w:val="en-US" w:eastAsia="zh-CN" w:bidi="ar"/>
              </w:rPr>
              <w:t>一般</w:t>
            </w:r>
            <w:r>
              <w:rPr>
                <w:rFonts w:hint="default" w:ascii="Times New Roman" w:hAnsi="Times New Roman" w:eastAsia="宋体" w:cs="Times New Roman"/>
                <w:color w:val="auto"/>
                <w:spacing w:val="0"/>
                <w:sz w:val="24"/>
                <w:szCs w:val="24"/>
                <w:highlight w:val="none"/>
                <w:lang w:eastAsia="zh-CN" w:bidi="ar"/>
              </w:rPr>
              <w:t>防渗区为厂区其他非绿化区域</w:t>
            </w:r>
            <w:r>
              <w:rPr>
                <w:rFonts w:hint="default" w:ascii="Times New Roman" w:hAnsi="Times New Roman" w:eastAsia="宋体" w:cs="Times New Roman"/>
                <w:color w:val="auto"/>
                <w:spacing w:val="0"/>
                <w:sz w:val="24"/>
                <w:szCs w:val="24"/>
                <w:highlight w:val="none"/>
                <w:lang w:bidi="ar"/>
              </w:rPr>
              <w:t>。</w:t>
            </w:r>
          </w:p>
          <w:p w14:paraId="1A7739E8">
            <w:pPr>
              <w:keepNext w:val="0"/>
              <w:keepLines w:val="0"/>
              <w:pageBreakBefore w:val="0"/>
              <w:widowControl w:val="0"/>
              <w:kinsoku/>
              <w:wordWrap/>
              <w:overflowPunct/>
              <w:topLinePunct w:val="0"/>
              <w:autoSpaceDE/>
              <w:autoSpaceDN/>
              <w:bidi w:val="0"/>
              <w:adjustRightInd w:val="0"/>
              <w:snapToGrid w:val="0"/>
              <w:spacing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rPr>
              <w:t>综上</w:t>
            </w:r>
            <w:r>
              <w:rPr>
                <w:rFonts w:hint="default" w:ascii="Times New Roman" w:hAnsi="Times New Roman" w:eastAsia="宋体" w:cs="Times New Roman"/>
                <w:color w:val="auto"/>
                <w:spacing w:val="0"/>
                <w:sz w:val="24"/>
                <w:szCs w:val="24"/>
                <w:highlight w:val="none"/>
                <w:lang w:eastAsia="zh-CN"/>
              </w:rPr>
              <w:t>所述</w:t>
            </w:r>
            <w:r>
              <w:rPr>
                <w:rFonts w:hint="default" w:ascii="Times New Roman" w:hAnsi="Times New Roman" w:eastAsia="宋体" w:cs="Times New Roman"/>
                <w:color w:val="auto"/>
                <w:spacing w:val="0"/>
                <w:sz w:val="24"/>
                <w:szCs w:val="24"/>
                <w:highlight w:val="none"/>
              </w:rPr>
              <w:t>，</w:t>
            </w: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rPr>
              <w:t>在采取完善的防渗措施后，可有效阻止污染物下渗，对地下水</w:t>
            </w:r>
            <w:r>
              <w:rPr>
                <w:rFonts w:hint="default" w:ascii="Times New Roman" w:hAnsi="Times New Roman" w:eastAsia="宋体" w:cs="Times New Roman"/>
                <w:color w:val="auto"/>
                <w:spacing w:val="0"/>
                <w:sz w:val="24"/>
                <w:szCs w:val="24"/>
                <w:highlight w:val="none"/>
                <w:lang w:eastAsia="zh-CN"/>
              </w:rPr>
              <w:t>及土壤</w:t>
            </w:r>
            <w:r>
              <w:rPr>
                <w:rFonts w:hint="default" w:ascii="Times New Roman" w:hAnsi="Times New Roman" w:eastAsia="宋体" w:cs="Times New Roman"/>
                <w:color w:val="auto"/>
                <w:spacing w:val="0"/>
                <w:sz w:val="24"/>
                <w:szCs w:val="24"/>
                <w:highlight w:val="none"/>
              </w:rPr>
              <w:t>环境影响程度较小</w:t>
            </w:r>
            <w:r>
              <w:rPr>
                <w:rFonts w:hint="default" w:ascii="Times New Roman" w:hAnsi="Times New Roman" w:eastAsia="宋体" w:cs="Times New Roman"/>
                <w:color w:val="auto"/>
                <w:spacing w:val="0"/>
                <w:sz w:val="24"/>
                <w:szCs w:val="24"/>
                <w:highlight w:val="none"/>
                <w:lang w:eastAsia="zh-CN"/>
              </w:rPr>
              <w:t>。</w:t>
            </w:r>
          </w:p>
          <w:p w14:paraId="21923BFA">
            <w:pPr>
              <w:keepNext w:val="0"/>
              <w:keepLines w:val="0"/>
              <w:pageBreakBefore w:val="0"/>
              <w:widowControl w:val="0"/>
              <w:kinsoku/>
              <w:wordWrap/>
              <w:overflowPunct/>
              <w:topLinePunct w:val="0"/>
              <w:autoSpaceDE/>
              <w:autoSpaceDN/>
              <w:bidi w:val="0"/>
              <w:adjustRightInd w:val="0"/>
              <w:snapToGrid w:val="0"/>
              <w:spacing w:afterAutospacing="0" w:line="360" w:lineRule="auto"/>
              <w:ind w:left="0" w:leftChars="0" w:right="0" w:rightChars="0" w:firstLine="482" w:firstLineChars="200"/>
              <w:jc w:val="both"/>
              <w:textAlignment w:val="auto"/>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lang w:eastAsia="zh-CN"/>
              </w:rPr>
              <w:t>（</w:t>
            </w:r>
            <w:r>
              <w:rPr>
                <w:rFonts w:hint="default" w:ascii="Times New Roman" w:hAnsi="Times New Roman" w:eastAsia="宋体" w:cs="Times New Roman"/>
                <w:b/>
                <w:bCs/>
                <w:color w:val="auto"/>
                <w:spacing w:val="0"/>
                <w:sz w:val="24"/>
                <w:szCs w:val="24"/>
                <w:highlight w:val="none"/>
                <w:lang w:val="en-US" w:eastAsia="zh-CN"/>
              </w:rPr>
              <w:t>3</w:t>
            </w:r>
            <w:r>
              <w:rPr>
                <w:rFonts w:hint="default" w:ascii="Times New Roman" w:hAnsi="Times New Roman" w:eastAsia="宋体" w:cs="Times New Roman"/>
                <w:b/>
                <w:bCs/>
                <w:color w:val="auto"/>
                <w:spacing w:val="0"/>
                <w:sz w:val="24"/>
                <w:szCs w:val="24"/>
                <w:highlight w:val="none"/>
                <w:lang w:eastAsia="zh-CN"/>
              </w:rPr>
              <w:t>）地下水环境影响跟踪监测计划</w:t>
            </w:r>
          </w:p>
          <w:p w14:paraId="1A901A6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zh-CN" w:eastAsia="zh-CN"/>
              </w:rPr>
            </w:pP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lang w:val="en-US" w:eastAsia="zh-CN"/>
              </w:rPr>
              <w:t>为</w:t>
            </w:r>
            <w:r>
              <w:rPr>
                <w:rFonts w:hint="eastAsia" w:ascii="Times New Roman" w:hAnsi="Times New Roman" w:eastAsia="宋体" w:cs="Times New Roman"/>
                <w:color w:val="auto"/>
                <w:spacing w:val="0"/>
                <w:sz w:val="24"/>
                <w:szCs w:val="24"/>
                <w:highlight w:val="none"/>
                <w:lang w:val="en-US" w:eastAsia="zh-CN"/>
              </w:rPr>
              <w:t>金属管件制造</w:t>
            </w:r>
            <w:r>
              <w:rPr>
                <w:rFonts w:hint="default" w:ascii="Times New Roman" w:hAnsi="Times New Roman" w:eastAsia="宋体" w:cs="Times New Roman"/>
                <w:color w:val="auto"/>
                <w:spacing w:val="0"/>
                <w:sz w:val="24"/>
                <w:szCs w:val="24"/>
                <w:highlight w:val="none"/>
                <w:lang w:eastAsia="zh-CN"/>
              </w:rPr>
              <w:t>项目，其地下水、土壤</w:t>
            </w:r>
            <w:r>
              <w:rPr>
                <w:rFonts w:hint="default" w:ascii="Times New Roman" w:hAnsi="Times New Roman" w:eastAsia="宋体" w:cs="Times New Roman"/>
                <w:color w:val="auto"/>
                <w:spacing w:val="0"/>
                <w:sz w:val="24"/>
                <w:szCs w:val="24"/>
                <w:highlight w:val="none"/>
              </w:rPr>
              <w:t>环境影响评价项目类别为</w:t>
            </w:r>
            <w:r>
              <w:rPr>
                <w:rFonts w:hint="eastAsia" w:ascii="Times New Roman" w:hAnsi="Times New Roman" w:eastAsia="宋体" w:cs="Times New Roman"/>
                <w:color w:val="auto"/>
                <w:spacing w:val="0"/>
                <w:sz w:val="24"/>
                <w:szCs w:val="24"/>
                <w:highlight w:val="none"/>
                <w:lang w:eastAsia="zh-CN"/>
              </w:rPr>
              <w:t>Ⅳ类</w:t>
            </w:r>
            <w:r>
              <w:rPr>
                <w:rFonts w:hint="default" w:ascii="Times New Roman" w:hAnsi="Times New Roman" w:eastAsia="宋体" w:cs="Times New Roman"/>
                <w:color w:val="auto"/>
                <w:spacing w:val="0"/>
                <w:sz w:val="24"/>
                <w:szCs w:val="24"/>
                <w:highlight w:val="none"/>
              </w:rPr>
              <w:t>，</w:t>
            </w:r>
            <w:r>
              <w:rPr>
                <w:rFonts w:hint="default" w:ascii="Times New Roman" w:hAnsi="Times New Roman" w:eastAsia="宋体" w:cs="Times New Roman"/>
                <w:color w:val="auto"/>
                <w:spacing w:val="0"/>
                <w:sz w:val="24"/>
                <w:szCs w:val="24"/>
                <w:highlight w:val="none"/>
                <w:lang w:eastAsia="zh-CN"/>
              </w:rPr>
              <w:t>正常工况下基本不会对周边地下水、土壤环境产生影响，因此本次环评不设地下水跟踪监测点。</w:t>
            </w:r>
          </w:p>
          <w:p w14:paraId="7FADB996">
            <w:pPr>
              <w:keepNext w:val="0"/>
              <w:keepLines w:val="0"/>
              <w:pageBreakBefore w:val="0"/>
              <w:widowControl/>
              <w:numPr>
                <w:ilvl w:val="0"/>
                <w:numId w:val="0"/>
              </w:numPr>
              <w:suppressAutoHyphens/>
              <w:kinsoku/>
              <w:wordWrap/>
              <w:overflowPunct/>
              <w:topLinePunct/>
              <w:autoSpaceDE/>
              <w:autoSpaceDN/>
              <w:bidi w:val="0"/>
              <w:adjustRightInd w:val="0"/>
              <w:snapToGrid w:val="0"/>
              <w:spacing w:afterAutospacing="0" w:line="360" w:lineRule="auto"/>
              <w:ind w:left="0" w:leftChars="0" w:right="0" w:rightChars="0" w:firstLine="482" w:firstLineChars="200"/>
              <w:jc w:val="both"/>
              <w:textAlignment w:val="auto"/>
              <w:rPr>
                <w:rFonts w:hint="default" w:ascii="Times New Roman" w:hAnsi="Times New Roman" w:eastAsia="宋体" w:cs="Times New Roman"/>
                <w:b/>
                <w:bCs/>
                <w:color w:val="auto"/>
                <w:spacing w:val="0"/>
                <w:sz w:val="24"/>
                <w:szCs w:val="24"/>
                <w:highlight w:val="none"/>
                <w:lang w:eastAsia="zh-CN" w:bidi="ar"/>
              </w:rPr>
            </w:pPr>
            <w:r>
              <w:rPr>
                <w:rFonts w:hint="eastAsia" w:ascii="Times New Roman" w:hAnsi="Times New Roman" w:eastAsia="宋体" w:cs="Times New Roman"/>
                <w:b/>
                <w:bCs/>
                <w:color w:val="auto"/>
                <w:spacing w:val="0"/>
                <w:sz w:val="24"/>
                <w:szCs w:val="24"/>
                <w:highlight w:val="none"/>
                <w:lang w:val="en-US" w:eastAsia="zh-CN" w:bidi="ar"/>
              </w:rPr>
              <w:t>（三）</w:t>
            </w:r>
            <w:r>
              <w:rPr>
                <w:rFonts w:hint="default" w:ascii="Times New Roman" w:hAnsi="Times New Roman" w:eastAsia="宋体" w:cs="Times New Roman"/>
                <w:b/>
                <w:bCs/>
                <w:color w:val="auto"/>
                <w:spacing w:val="0"/>
                <w:sz w:val="24"/>
                <w:szCs w:val="24"/>
                <w:highlight w:val="none"/>
                <w:lang w:eastAsia="zh-CN" w:bidi="ar"/>
              </w:rPr>
              <w:t>环境风险分析</w:t>
            </w:r>
          </w:p>
          <w:p w14:paraId="38B5B2F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eastAsiaTheme="minorEastAsia"/>
                <w:snapToGrid/>
                <w:color w:val="auto"/>
                <w:spacing w:val="0"/>
                <w:kern w:val="0"/>
                <w:sz w:val="24"/>
                <w:szCs w:val="24"/>
                <w:highlight w:val="none"/>
                <w:lang w:val="en-US" w:eastAsia="zh-CN"/>
              </w:rPr>
            </w:pPr>
            <w:r>
              <w:rPr>
                <w:rFonts w:hint="default" w:ascii="Times New Roman" w:hAnsi="Times New Roman" w:cs="Times New Roman" w:eastAsiaTheme="minorEastAsia"/>
                <w:snapToGrid/>
                <w:color w:val="auto"/>
                <w:spacing w:val="0"/>
                <w:kern w:val="0"/>
                <w:sz w:val="24"/>
                <w:szCs w:val="24"/>
                <w:highlight w:val="none"/>
                <w:lang w:val="zh-CN"/>
              </w:rPr>
              <w:t>根据《建设项目环境风险评价技术导则》（HJ169-2018）</w:t>
            </w:r>
            <w:r>
              <w:rPr>
                <w:rFonts w:hint="default" w:ascii="Times New Roman" w:hAnsi="Times New Roman" w:cs="Times New Roman" w:eastAsiaTheme="minorEastAsia"/>
                <w:snapToGrid/>
                <w:color w:val="auto"/>
                <w:spacing w:val="0"/>
                <w:kern w:val="0"/>
                <w:sz w:val="24"/>
                <w:szCs w:val="24"/>
                <w:highlight w:val="none"/>
                <w:lang w:val="en-US" w:eastAsia="zh-CN"/>
              </w:rPr>
              <w:t>，</w:t>
            </w:r>
            <w:r>
              <w:rPr>
                <w:rFonts w:hint="default" w:ascii="Times New Roman" w:hAnsi="Times New Roman" w:cs="Times New Roman"/>
                <w:b w:val="0"/>
                <w:bCs/>
                <w:color w:val="auto"/>
                <w:sz w:val="24"/>
                <w:szCs w:val="24"/>
                <w:highlight w:val="none"/>
              </w:rPr>
              <w:t>危险物质可分为有毒物质、易燃物质和爆炸性物质三大类，风险评价对项目涉及的物质进行物质危险性判定。</w:t>
            </w:r>
            <w:r>
              <w:rPr>
                <w:rFonts w:hint="default" w:ascii="Times New Roman" w:hAnsi="Times New Roman" w:cs="Times New Roman" w:eastAsiaTheme="minorEastAsia"/>
                <w:snapToGrid/>
                <w:color w:val="auto"/>
                <w:spacing w:val="0"/>
                <w:kern w:val="0"/>
                <w:sz w:val="24"/>
                <w:szCs w:val="24"/>
                <w:highlight w:val="none"/>
                <w:lang w:val="en-US" w:eastAsia="zh-CN"/>
              </w:rPr>
              <w:t>计算所涉及的每种危险物质在厂界内的最大存在总量与其在附录B中对应临界量的比值Q。在不同厂区的同一种物质，按其在厂界内的最大存在总量计算。</w:t>
            </w:r>
          </w:p>
          <w:p w14:paraId="27853E9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eastAsiaTheme="minorEastAsia"/>
                <w:snapToGrid/>
                <w:color w:val="auto"/>
                <w:spacing w:val="0"/>
                <w:kern w:val="0"/>
                <w:sz w:val="24"/>
                <w:szCs w:val="24"/>
                <w:highlight w:val="none"/>
                <w:lang w:val="en-US" w:eastAsia="zh-CN"/>
              </w:rPr>
            </w:pPr>
            <w:r>
              <w:rPr>
                <w:rFonts w:hint="default" w:ascii="Times New Roman" w:hAnsi="Times New Roman" w:cs="Times New Roman" w:eastAsiaTheme="minorEastAsia"/>
                <w:snapToGrid/>
                <w:color w:val="auto"/>
                <w:spacing w:val="0"/>
                <w:kern w:val="0"/>
                <w:sz w:val="24"/>
                <w:szCs w:val="24"/>
                <w:highlight w:val="none"/>
                <w:lang w:val="en-US" w:eastAsia="zh-CN"/>
              </w:rPr>
              <w:t>根据《建设项目环境风险评价技术导则》（HJ 169-2018）附录B、《危险化学品名录（2018版）》的有关规定，确定本项目涉及的风险物质主要是：废活性炭、二甲苯、废油桶。本项目危险物质数量与临界量比值一览表见表4-19。</w:t>
            </w:r>
          </w:p>
          <w:p w14:paraId="01108FCA">
            <w:pPr>
              <w:pStyle w:val="9"/>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表4-19    本项目</w:t>
            </w:r>
            <w:r>
              <w:rPr>
                <w:rFonts w:hint="default" w:ascii="Times New Roman" w:hAnsi="Times New Roman" w:cs="Times New Roman"/>
                <w:color w:val="auto"/>
                <w:highlight w:val="none"/>
              </w:rPr>
              <w:t>危险物质数量与临界量比值一览表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514"/>
              <w:gridCol w:w="2121"/>
              <w:gridCol w:w="1561"/>
              <w:gridCol w:w="1399"/>
            </w:tblGrid>
            <w:tr w14:paraId="5186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pct"/>
                  <w:noWrap w:val="0"/>
                  <w:vAlign w:val="center"/>
                </w:tcPr>
                <w:p w14:paraId="17E69FC2">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1473" w:type="pct"/>
                  <w:noWrap w:val="0"/>
                  <w:vAlign w:val="center"/>
                </w:tcPr>
                <w:p w14:paraId="15B7D2E2">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物质名称</w:t>
                  </w:r>
                </w:p>
              </w:tc>
              <w:tc>
                <w:tcPr>
                  <w:tcW w:w="1243" w:type="pct"/>
                  <w:noWrap w:val="0"/>
                  <w:vAlign w:val="center"/>
                </w:tcPr>
                <w:p w14:paraId="6EADAD93">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最大贮存量q（t）</w:t>
                  </w:r>
                </w:p>
              </w:tc>
              <w:tc>
                <w:tcPr>
                  <w:tcW w:w="914" w:type="pct"/>
                  <w:noWrap w:val="0"/>
                  <w:vAlign w:val="center"/>
                </w:tcPr>
                <w:p w14:paraId="5E976A03">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临界量Q（t）</w:t>
                  </w:r>
                </w:p>
              </w:tc>
              <w:tc>
                <w:tcPr>
                  <w:tcW w:w="820" w:type="pct"/>
                  <w:noWrap w:val="0"/>
                  <w:vAlign w:val="center"/>
                </w:tcPr>
                <w:p w14:paraId="0506A2FC">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q/Q</w:t>
                  </w:r>
                </w:p>
              </w:tc>
            </w:tr>
            <w:tr w14:paraId="1FEF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pct"/>
                  <w:noWrap w:val="0"/>
                  <w:vAlign w:val="center"/>
                </w:tcPr>
                <w:p w14:paraId="21BFB1B6">
                  <w:pPr>
                    <w:pStyle w:val="74"/>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1</w:t>
                  </w:r>
                </w:p>
              </w:tc>
              <w:tc>
                <w:tcPr>
                  <w:tcW w:w="1473" w:type="pct"/>
                  <w:noWrap w:val="0"/>
                  <w:vAlign w:val="center"/>
                </w:tcPr>
                <w:p w14:paraId="42105E75">
                  <w:pPr>
                    <w:pStyle w:val="74"/>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二甲苯</w:t>
                  </w:r>
                </w:p>
              </w:tc>
              <w:tc>
                <w:tcPr>
                  <w:tcW w:w="1243" w:type="pct"/>
                  <w:noWrap w:val="0"/>
                  <w:vAlign w:val="bottom"/>
                </w:tcPr>
                <w:p w14:paraId="238FB6DE">
                  <w:pPr>
                    <w:pStyle w:val="74"/>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0.55</w:t>
                  </w:r>
                </w:p>
              </w:tc>
              <w:tc>
                <w:tcPr>
                  <w:tcW w:w="914" w:type="pct"/>
                  <w:noWrap w:val="0"/>
                  <w:vAlign w:val="center"/>
                </w:tcPr>
                <w:p w14:paraId="0F7EE74B">
                  <w:pPr>
                    <w:pStyle w:val="7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w:t>
                  </w:r>
                </w:p>
              </w:tc>
              <w:tc>
                <w:tcPr>
                  <w:tcW w:w="820" w:type="pct"/>
                  <w:noWrap w:val="0"/>
                  <w:vAlign w:val="center"/>
                </w:tcPr>
                <w:p w14:paraId="60E06876">
                  <w:pPr>
                    <w:pStyle w:val="74"/>
                    <w:bidi w:val="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lang w:val="en-US" w:eastAsia="zh-CN"/>
                    </w:rPr>
                    <w:t>55</w:t>
                  </w:r>
                </w:p>
              </w:tc>
            </w:tr>
            <w:tr w14:paraId="1B5D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pct"/>
                  <w:noWrap w:val="0"/>
                  <w:vAlign w:val="center"/>
                </w:tcPr>
                <w:p w14:paraId="4DDA0CCF">
                  <w:pPr>
                    <w:pStyle w:val="74"/>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2</w:t>
                  </w:r>
                </w:p>
              </w:tc>
              <w:tc>
                <w:tcPr>
                  <w:tcW w:w="1473" w:type="pct"/>
                  <w:noWrap w:val="0"/>
                  <w:vAlign w:val="center"/>
                </w:tcPr>
                <w:p w14:paraId="7E42023A">
                  <w:pPr>
                    <w:pStyle w:val="74"/>
                    <w:bidi w:val="0"/>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废活性炭</w:t>
                  </w:r>
                </w:p>
              </w:tc>
              <w:tc>
                <w:tcPr>
                  <w:tcW w:w="1243" w:type="pct"/>
                  <w:noWrap w:val="0"/>
                  <w:vAlign w:val="bottom"/>
                </w:tcPr>
                <w:p w14:paraId="07AE2086">
                  <w:pPr>
                    <w:pStyle w:val="74"/>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0.55</w:t>
                  </w:r>
                </w:p>
              </w:tc>
              <w:tc>
                <w:tcPr>
                  <w:tcW w:w="914" w:type="pct"/>
                  <w:noWrap w:val="0"/>
                  <w:vAlign w:val="center"/>
                </w:tcPr>
                <w:p w14:paraId="7FE60B00">
                  <w:pPr>
                    <w:pStyle w:val="7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820" w:type="pct"/>
                  <w:noWrap w:val="0"/>
                  <w:vAlign w:val="center"/>
                </w:tcPr>
                <w:p w14:paraId="17123768">
                  <w:pPr>
                    <w:pStyle w:val="74"/>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w:t>
                  </w:r>
                  <w:r>
                    <w:rPr>
                      <w:rFonts w:hint="eastAsia" w:ascii="Times New Roman" w:hAnsi="Times New Roman" w:cs="Times New Roman"/>
                      <w:color w:val="auto"/>
                      <w:highlight w:val="none"/>
                      <w:lang w:val="en-US" w:eastAsia="zh-CN"/>
                    </w:rPr>
                    <w:t>11</w:t>
                  </w:r>
                </w:p>
              </w:tc>
            </w:tr>
            <w:tr w14:paraId="7416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9" w:type="pct"/>
                  <w:gridSpan w:val="4"/>
                  <w:noWrap w:val="0"/>
                  <w:vAlign w:val="center"/>
                </w:tcPr>
                <w:p w14:paraId="254EA87B">
                  <w:pPr>
                    <w:pStyle w:val="74"/>
                    <w:bidi w:val="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Q</w:t>
                  </w:r>
                </w:p>
              </w:tc>
              <w:tc>
                <w:tcPr>
                  <w:tcW w:w="820" w:type="pct"/>
                  <w:noWrap w:val="0"/>
                  <w:vAlign w:val="center"/>
                </w:tcPr>
                <w:p w14:paraId="3E2665D7">
                  <w:pPr>
                    <w:pStyle w:val="74"/>
                    <w:bidi w:val="0"/>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0.</w:t>
                  </w:r>
                  <w:r>
                    <w:rPr>
                      <w:rFonts w:hint="eastAsia" w:ascii="Times New Roman" w:hAnsi="Times New Roman" w:cs="Times New Roman"/>
                      <w:b/>
                      <w:bCs/>
                      <w:color w:val="auto"/>
                      <w:highlight w:val="none"/>
                      <w:lang w:val="en-US" w:eastAsia="zh-CN"/>
                    </w:rPr>
                    <w:t>066</w:t>
                  </w:r>
                </w:p>
              </w:tc>
            </w:tr>
          </w:tbl>
          <w:p w14:paraId="10726F8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eastAsiaTheme="minorEastAsia"/>
                <w:snapToGrid/>
                <w:color w:val="auto"/>
                <w:spacing w:val="0"/>
                <w:kern w:val="0"/>
                <w:sz w:val="24"/>
                <w:szCs w:val="24"/>
                <w:highlight w:val="none"/>
                <w:lang w:val="en-US" w:eastAsia="zh-CN"/>
              </w:rPr>
            </w:pPr>
            <w:r>
              <w:rPr>
                <w:rFonts w:hint="default" w:ascii="Times New Roman" w:hAnsi="Times New Roman" w:cs="Times New Roman" w:eastAsiaTheme="minorEastAsia"/>
                <w:snapToGrid/>
                <w:color w:val="auto"/>
                <w:spacing w:val="0"/>
                <w:kern w:val="0"/>
                <w:sz w:val="24"/>
                <w:szCs w:val="24"/>
                <w:highlight w:val="none"/>
                <w:lang w:val="en-US" w:eastAsia="zh-CN"/>
              </w:rPr>
              <w:t>当只涉及一种危险物质时，计算该物质的总量与其临界量比值，即为Q；</w:t>
            </w:r>
          </w:p>
          <w:p w14:paraId="0C8E510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eastAsiaTheme="minorEastAsia"/>
                <w:snapToGrid/>
                <w:color w:val="auto"/>
                <w:spacing w:val="0"/>
                <w:kern w:val="0"/>
                <w:sz w:val="24"/>
                <w:szCs w:val="24"/>
                <w:highlight w:val="none"/>
                <w:lang w:val="en-US" w:eastAsia="zh-CN"/>
              </w:rPr>
            </w:pPr>
            <w:r>
              <w:rPr>
                <w:rFonts w:hint="default" w:ascii="Times New Roman" w:hAnsi="Times New Roman" w:cs="Times New Roman" w:eastAsiaTheme="minorEastAsia"/>
                <w:snapToGrid/>
                <w:color w:val="auto"/>
                <w:spacing w:val="0"/>
                <w:kern w:val="0"/>
                <w:sz w:val="24"/>
                <w:szCs w:val="24"/>
                <w:highlight w:val="none"/>
                <w:lang w:val="en-US" w:eastAsia="zh-CN"/>
              </w:rPr>
              <w:t>当存在多种危险物质时，则按式（C.1）计算物质总量与其临界量比值（Q）：</w:t>
            </w:r>
          </w:p>
          <w:p w14:paraId="6500CFDE">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4067810" cy="58674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2"/>
                          <a:stretch>
                            <a:fillRect/>
                          </a:stretch>
                        </pic:blipFill>
                        <pic:spPr>
                          <a:xfrm>
                            <a:off x="0" y="0"/>
                            <a:ext cx="4067810" cy="586740"/>
                          </a:xfrm>
                          <a:prstGeom prst="rect">
                            <a:avLst/>
                          </a:prstGeom>
                          <a:noFill/>
                          <a:ln>
                            <a:noFill/>
                          </a:ln>
                        </pic:spPr>
                      </pic:pic>
                    </a:graphicData>
                  </a:graphic>
                </wp:inline>
              </w:drawing>
            </w:r>
          </w:p>
          <w:p w14:paraId="07EEB60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i w:val="0"/>
                <w:iCs w:val="0"/>
                <w:color w:val="auto"/>
                <w:sz w:val="24"/>
                <w:szCs w:val="24"/>
                <w:highlight w:val="none"/>
              </w:rPr>
            </w:pPr>
            <w:r>
              <w:rPr>
                <w:rFonts w:hint="default" w:ascii="Times New Roman" w:hAnsi="Times New Roman" w:eastAsia="宋体" w:cs="Times New Roman"/>
                <w:snapToGrid w:val="0"/>
                <w:color w:val="auto"/>
                <w:kern w:val="0"/>
                <w:sz w:val="24"/>
                <w:szCs w:val="24"/>
                <w:highlight w:val="none"/>
                <w:lang w:val="en-US" w:eastAsia="zh-CN" w:bidi="ar"/>
              </w:rPr>
              <w:t>式中：</w:t>
            </w:r>
            <w:r>
              <w:rPr>
                <w:rFonts w:hint="default" w:ascii="Times New Roman" w:hAnsi="Times New Roman" w:eastAsia="宋体" w:cs="Times New Roman"/>
                <w:i w:val="0"/>
                <w:iCs w:val="0"/>
                <w:snapToGrid w:val="0"/>
                <w:color w:val="auto"/>
                <w:kern w:val="0"/>
                <w:sz w:val="24"/>
                <w:szCs w:val="24"/>
                <w:highlight w:val="none"/>
                <w:lang w:val="en-US" w:eastAsia="zh-CN" w:bidi="ar"/>
              </w:rPr>
              <w:t>q</w:t>
            </w:r>
            <w:r>
              <w:rPr>
                <w:rFonts w:hint="default" w:ascii="Times New Roman" w:hAnsi="Times New Roman" w:eastAsia="宋体" w:cs="Times New Roman"/>
                <w:i w:val="0"/>
                <w:iCs w:val="0"/>
                <w:snapToGrid w:val="0"/>
                <w:color w:val="auto"/>
                <w:kern w:val="0"/>
                <w:sz w:val="24"/>
                <w:szCs w:val="24"/>
                <w:highlight w:val="none"/>
                <w:vertAlign w:val="subscript"/>
                <w:lang w:val="en-US" w:eastAsia="zh-CN" w:bidi="ar"/>
              </w:rPr>
              <w:t>1</w:t>
            </w:r>
            <w:r>
              <w:rPr>
                <w:rFonts w:hint="default" w:ascii="Times New Roman" w:hAnsi="Times New Roman" w:eastAsia="宋体" w:cs="Times New Roman"/>
                <w:i w:val="0"/>
                <w:iCs w:val="0"/>
                <w:snapToGrid w:val="0"/>
                <w:color w:val="auto"/>
                <w:kern w:val="0"/>
                <w:sz w:val="24"/>
                <w:szCs w:val="24"/>
                <w:highlight w:val="none"/>
                <w:lang w:val="en-US" w:eastAsia="zh-CN" w:bidi="ar"/>
              </w:rPr>
              <w:t>，q</w:t>
            </w:r>
            <w:r>
              <w:rPr>
                <w:rFonts w:hint="default" w:ascii="Times New Roman" w:hAnsi="Times New Roman" w:eastAsia="宋体" w:cs="Times New Roman"/>
                <w:i w:val="0"/>
                <w:iCs w:val="0"/>
                <w:snapToGrid w:val="0"/>
                <w:color w:val="auto"/>
                <w:kern w:val="0"/>
                <w:sz w:val="24"/>
                <w:szCs w:val="24"/>
                <w:highlight w:val="none"/>
                <w:vertAlign w:val="subscript"/>
                <w:lang w:val="en-US" w:eastAsia="zh-CN" w:bidi="ar"/>
              </w:rPr>
              <w:t>2</w:t>
            </w:r>
            <w:r>
              <w:rPr>
                <w:rFonts w:hint="default" w:ascii="Times New Roman" w:hAnsi="Times New Roman" w:eastAsia="宋体" w:cs="Times New Roman"/>
                <w:i w:val="0"/>
                <w:iCs w:val="0"/>
                <w:snapToGrid w:val="0"/>
                <w:color w:val="auto"/>
                <w:kern w:val="0"/>
                <w:sz w:val="24"/>
                <w:szCs w:val="24"/>
                <w:highlight w:val="none"/>
                <w:lang w:val="en-US" w:eastAsia="zh-CN" w:bidi="ar"/>
              </w:rPr>
              <w:t>，</w:t>
            </w:r>
            <w:r>
              <w:rPr>
                <w:rFonts w:hint="default" w:ascii="Times New Roman" w:hAnsi="Times New Roman" w:eastAsia="宋体" w:cs="Times New Roman"/>
                <w:b/>
                <w:bCs/>
                <w:i w:val="0"/>
                <w:iCs w:val="0"/>
                <w:snapToGrid w:val="0"/>
                <w:color w:val="auto"/>
                <w:kern w:val="0"/>
                <w:sz w:val="24"/>
                <w:szCs w:val="24"/>
                <w:highlight w:val="none"/>
                <w:lang w:val="en-US" w:eastAsia="zh-CN" w:bidi="ar"/>
              </w:rPr>
              <w:t>...</w:t>
            </w:r>
            <w:r>
              <w:rPr>
                <w:rFonts w:hint="default" w:ascii="Times New Roman" w:hAnsi="Times New Roman" w:eastAsia="宋体" w:cs="Times New Roman"/>
                <w:b w:val="0"/>
                <w:bCs w:val="0"/>
                <w:i w:val="0"/>
                <w:iCs w:val="0"/>
                <w:snapToGrid w:val="0"/>
                <w:color w:val="auto"/>
                <w:kern w:val="0"/>
                <w:sz w:val="24"/>
                <w:szCs w:val="24"/>
                <w:highlight w:val="none"/>
                <w:lang w:val="en-US" w:eastAsia="zh-CN" w:bidi="ar"/>
              </w:rPr>
              <w:t>，</w:t>
            </w:r>
            <w:r>
              <w:rPr>
                <w:rFonts w:hint="default" w:ascii="Times New Roman" w:hAnsi="Times New Roman" w:eastAsia="宋体" w:cs="Times New Roman"/>
                <w:i w:val="0"/>
                <w:iCs w:val="0"/>
                <w:snapToGrid w:val="0"/>
                <w:color w:val="auto"/>
                <w:kern w:val="0"/>
                <w:sz w:val="24"/>
                <w:szCs w:val="24"/>
                <w:highlight w:val="none"/>
                <w:lang w:val="en-US" w:eastAsia="zh-CN" w:bidi="ar"/>
              </w:rPr>
              <w:t>q</w:t>
            </w:r>
            <w:r>
              <w:rPr>
                <w:rFonts w:hint="default" w:ascii="Times New Roman" w:hAnsi="Times New Roman" w:eastAsia="宋体" w:cs="Times New Roman"/>
                <w:i w:val="0"/>
                <w:iCs w:val="0"/>
                <w:snapToGrid w:val="0"/>
                <w:color w:val="auto"/>
                <w:kern w:val="0"/>
                <w:sz w:val="24"/>
                <w:szCs w:val="24"/>
                <w:highlight w:val="none"/>
                <w:vertAlign w:val="subscript"/>
                <w:lang w:val="en-US" w:eastAsia="zh-CN" w:bidi="ar"/>
              </w:rPr>
              <w:t>n</w:t>
            </w:r>
            <w:r>
              <w:rPr>
                <w:rFonts w:hint="default" w:ascii="Times New Roman" w:hAnsi="Times New Roman" w:eastAsia="宋体" w:cs="Times New Roman"/>
                <w:i w:val="0"/>
                <w:iCs w:val="0"/>
                <w:snapToGrid w:val="0"/>
                <w:color w:val="auto"/>
                <w:kern w:val="0"/>
                <w:sz w:val="24"/>
                <w:szCs w:val="24"/>
                <w:highlight w:val="none"/>
                <w:lang w:val="en-US" w:eastAsia="zh-CN" w:bidi="ar"/>
              </w:rPr>
              <w:t>——每种危险物质的最大存在总量，t；</w:t>
            </w:r>
          </w:p>
          <w:p w14:paraId="637AA7B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1200" w:firstLineChars="5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iCs/>
                <w:snapToGrid w:val="0"/>
                <w:color w:val="auto"/>
                <w:kern w:val="0"/>
                <w:sz w:val="24"/>
                <w:szCs w:val="24"/>
                <w:highlight w:val="none"/>
                <w:lang w:val="en-US" w:eastAsia="zh-CN" w:bidi="ar"/>
              </w:rPr>
              <w:t>Q</w:t>
            </w:r>
            <w:r>
              <w:rPr>
                <w:rFonts w:hint="default" w:ascii="Times New Roman" w:hAnsi="Times New Roman" w:eastAsia="宋体" w:cs="Times New Roman"/>
                <w:snapToGrid w:val="0"/>
                <w:color w:val="auto"/>
                <w:kern w:val="0"/>
                <w:sz w:val="24"/>
                <w:szCs w:val="24"/>
                <w:highlight w:val="none"/>
                <w:vertAlign w:val="subscript"/>
                <w:lang w:val="en-US" w:eastAsia="zh-CN" w:bidi="ar"/>
              </w:rPr>
              <w:t>1</w:t>
            </w:r>
            <w:r>
              <w:rPr>
                <w:rFonts w:hint="default" w:ascii="Times New Roman" w:hAnsi="Times New Roman" w:eastAsia="宋体" w:cs="Times New Roman"/>
                <w:snapToGrid w:val="0"/>
                <w:color w:val="auto"/>
                <w:kern w:val="0"/>
                <w:sz w:val="24"/>
                <w:szCs w:val="24"/>
                <w:highlight w:val="none"/>
                <w:lang w:val="en-US" w:eastAsia="zh-CN" w:bidi="ar"/>
              </w:rPr>
              <w:t>，</w:t>
            </w:r>
            <w:r>
              <w:rPr>
                <w:rFonts w:hint="default" w:ascii="Times New Roman" w:hAnsi="Times New Roman" w:eastAsia="宋体" w:cs="Times New Roman"/>
                <w:i/>
                <w:iCs/>
                <w:snapToGrid w:val="0"/>
                <w:color w:val="auto"/>
                <w:kern w:val="0"/>
                <w:sz w:val="24"/>
                <w:szCs w:val="24"/>
                <w:highlight w:val="none"/>
                <w:lang w:val="en-US" w:eastAsia="zh-CN" w:bidi="ar"/>
              </w:rPr>
              <w:t>Q</w:t>
            </w:r>
            <w:r>
              <w:rPr>
                <w:rFonts w:hint="default" w:ascii="Times New Roman" w:hAnsi="Times New Roman" w:eastAsia="宋体" w:cs="Times New Roman"/>
                <w:snapToGrid w:val="0"/>
                <w:color w:val="auto"/>
                <w:kern w:val="0"/>
                <w:sz w:val="24"/>
                <w:szCs w:val="24"/>
                <w:highlight w:val="none"/>
                <w:vertAlign w:val="subscript"/>
                <w:lang w:val="en-US" w:eastAsia="zh-CN" w:bidi="ar"/>
              </w:rPr>
              <w:t>2</w:t>
            </w:r>
            <w:r>
              <w:rPr>
                <w:rFonts w:hint="default" w:ascii="Times New Roman" w:hAnsi="Times New Roman" w:eastAsia="宋体" w:cs="Times New Roman"/>
                <w:snapToGrid w:val="0"/>
                <w:color w:val="auto"/>
                <w:kern w:val="0"/>
                <w:sz w:val="24"/>
                <w:szCs w:val="24"/>
                <w:highlight w:val="none"/>
                <w:lang w:val="en-US" w:eastAsia="zh-CN" w:bidi="ar"/>
              </w:rPr>
              <w:t>，</w:t>
            </w:r>
            <w:r>
              <w:rPr>
                <w:rFonts w:hint="default" w:ascii="Times New Roman" w:hAnsi="Times New Roman" w:eastAsia="宋体" w:cs="Times New Roman"/>
                <w:b/>
                <w:bCs/>
                <w:snapToGrid w:val="0"/>
                <w:color w:val="auto"/>
                <w:kern w:val="0"/>
                <w:sz w:val="24"/>
                <w:szCs w:val="24"/>
                <w:highlight w:val="none"/>
                <w:lang w:val="en-US" w:eastAsia="zh-CN" w:bidi="ar"/>
              </w:rPr>
              <w:t>...</w:t>
            </w:r>
            <w:r>
              <w:rPr>
                <w:rFonts w:hint="default" w:ascii="Times New Roman" w:hAnsi="Times New Roman" w:eastAsia="宋体" w:cs="Times New Roman"/>
                <w:snapToGrid w:val="0"/>
                <w:color w:val="auto"/>
                <w:kern w:val="0"/>
                <w:sz w:val="24"/>
                <w:szCs w:val="24"/>
                <w:highlight w:val="none"/>
                <w:lang w:val="en-US" w:eastAsia="zh-CN" w:bidi="ar"/>
              </w:rPr>
              <w:t>，</w:t>
            </w:r>
            <w:r>
              <w:rPr>
                <w:rFonts w:hint="default" w:ascii="Times New Roman" w:hAnsi="Times New Roman" w:eastAsia="宋体" w:cs="Times New Roman"/>
                <w:i/>
                <w:iCs/>
                <w:snapToGrid w:val="0"/>
                <w:color w:val="auto"/>
                <w:kern w:val="0"/>
                <w:sz w:val="24"/>
                <w:szCs w:val="24"/>
                <w:highlight w:val="none"/>
                <w:lang w:val="en-US" w:eastAsia="zh-CN" w:bidi="ar"/>
              </w:rPr>
              <w:t>Q</w:t>
            </w:r>
            <w:r>
              <w:rPr>
                <w:rFonts w:hint="default" w:ascii="Times New Roman" w:hAnsi="Times New Roman" w:eastAsia="宋体" w:cs="Times New Roman"/>
                <w:i/>
                <w:iCs/>
                <w:snapToGrid w:val="0"/>
                <w:color w:val="auto"/>
                <w:kern w:val="0"/>
                <w:sz w:val="24"/>
                <w:szCs w:val="24"/>
                <w:highlight w:val="none"/>
                <w:vertAlign w:val="subscript"/>
                <w:lang w:val="en-US" w:eastAsia="zh-CN" w:bidi="ar"/>
              </w:rPr>
              <w:t>n</w:t>
            </w:r>
            <w:r>
              <w:rPr>
                <w:rFonts w:hint="default" w:ascii="Times New Roman" w:hAnsi="Times New Roman" w:eastAsia="宋体" w:cs="Times New Roman"/>
                <w:snapToGrid w:val="0"/>
                <w:color w:val="auto"/>
                <w:kern w:val="0"/>
                <w:sz w:val="24"/>
                <w:szCs w:val="24"/>
                <w:highlight w:val="none"/>
                <w:lang w:val="en-US" w:eastAsia="zh-CN" w:bidi="ar"/>
              </w:rPr>
              <w:t>——每种危险物质的临界量，t。</w:t>
            </w:r>
          </w:p>
          <w:p w14:paraId="73F179C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i w:val="0"/>
                <w:iCs w:val="0"/>
                <w:snapToGrid w:val="0"/>
                <w:color w:val="auto"/>
                <w:kern w:val="0"/>
                <w:sz w:val="24"/>
                <w:szCs w:val="24"/>
                <w:highlight w:val="none"/>
                <w:lang w:val="en-US" w:eastAsia="zh-CN" w:bidi="ar"/>
              </w:rPr>
            </w:pPr>
            <w:r>
              <w:rPr>
                <w:rFonts w:hint="default" w:ascii="Times New Roman" w:hAnsi="Times New Roman" w:eastAsia="宋体" w:cs="Times New Roman"/>
                <w:i w:val="0"/>
                <w:iCs w:val="0"/>
                <w:snapToGrid w:val="0"/>
                <w:color w:val="auto"/>
                <w:kern w:val="0"/>
                <w:sz w:val="24"/>
                <w:szCs w:val="24"/>
                <w:highlight w:val="none"/>
                <w:lang w:val="en-US" w:eastAsia="zh-CN" w:bidi="ar"/>
              </w:rPr>
              <w:t>当Q＜1时，该项目环境风险潜势为Ⅰ。</w:t>
            </w:r>
          </w:p>
          <w:p w14:paraId="45F1DDD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i w:val="0"/>
                <w:iCs w:val="0"/>
                <w:snapToGrid w:val="0"/>
                <w:color w:val="auto"/>
                <w:kern w:val="0"/>
                <w:sz w:val="24"/>
                <w:szCs w:val="24"/>
                <w:highlight w:val="none"/>
                <w:lang w:val="en-US" w:eastAsia="zh-CN" w:bidi="ar"/>
              </w:rPr>
            </w:pPr>
            <w:r>
              <w:rPr>
                <w:rFonts w:hint="default" w:ascii="Times New Roman" w:hAnsi="Times New Roman" w:eastAsia="宋体" w:cs="Times New Roman"/>
                <w:i w:val="0"/>
                <w:iCs w:val="0"/>
                <w:snapToGrid w:val="0"/>
                <w:color w:val="auto"/>
                <w:kern w:val="0"/>
                <w:sz w:val="24"/>
                <w:szCs w:val="24"/>
                <w:highlight w:val="none"/>
                <w:lang w:val="en-US" w:eastAsia="zh-CN" w:bidi="ar"/>
              </w:rPr>
              <w:t>当Q≥1时，将Q值划分为：（1）1≤Q＜10；（2）10≤Q＜100；（3）Q≥100。</w:t>
            </w:r>
          </w:p>
          <w:p w14:paraId="2F9ECC56">
            <w:pPr>
              <w:pStyle w:val="2"/>
              <w:rPr>
                <w:rFonts w:hint="default" w:ascii="Times New Roman" w:hAnsi="Times New Roman" w:cs="Times New Roman"/>
                <w:b w:val="0"/>
                <w:bCs w:val="0"/>
                <w:color w:val="auto"/>
                <w:highlight w:val="none"/>
                <w:lang w:val="en-US" w:eastAsia="zh-CN"/>
              </w:rPr>
            </w:pPr>
            <w:r>
              <w:rPr>
                <w:rFonts w:hint="default" w:ascii="Times New Roman" w:hAnsi="Times New Roman" w:eastAsia="宋体" w:cs="Times New Roman"/>
                <w:b w:val="0"/>
                <w:bCs w:val="0"/>
                <w:color w:val="auto"/>
                <w:sz w:val="24"/>
                <w:szCs w:val="24"/>
                <w:highlight w:val="none"/>
              </w:rPr>
              <w:t>经计算，本项目Q=0.</w:t>
            </w:r>
            <w:r>
              <w:rPr>
                <w:rFonts w:hint="default" w:ascii="Times New Roman" w:hAnsi="Times New Roman" w:eastAsia="宋体" w:cs="Times New Roman"/>
                <w:b w:val="0"/>
                <w:bCs w:val="0"/>
                <w:color w:val="auto"/>
                <w:sz w:val="24"/>
                <w:szCs w:val="24"/>
                <w:highlight w:val="none"/>
                <w:lang w:val="en-US" w:eastAsia="zh-CN"/>
              </w:rPr>
              <w:t>1298</w:t>
            </w:r>
            <w:r>
              <w:rPr>
                <w:rFonts w:hint="default" w:ascii="Times New Roman" w:hAnsi="Times New Roman" w:eastAsia="宋体" w:cs="Times New Roman"/>
                <w:b w:val="0"/>
                <w:bCs w:val="0"/>
                <w:color w:val="auto"/>
                <w:sz w:val="24"/>
                <w:szCs w:val="24"/>
                <w:highlight w:val="none"/>
              </w:rPr>
              <w:t>＜1，因此本项目环境风险潜势为I。</w:t>
            </w:r>
          </w:p>
          <w:p w14:paraId="3232249B">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jc w:val="both"/>
              <w:textAlignment w:val="auto"/>
              <w:rPr>
                <w:rFonts w:hint="default" w:ascii="Times New Roman" w:hAnsi="Times New Roman" w:cs="Times New Roman" w:eastAsiaTheme="minorEastAsia"/>
                <w:b/>
                <w:bCs/>
                <w:color w:val="auto"/>
                <w:spacing w:val="0"/>
                <w:sz w:val="24"/>
                <w:szCs w:val="24"/>
                <w:highlight w:val="none"/>
              </w:rPr>
            </w:pPr>
            <w:r>
              <w:rPr>
                <w:rFonts w:hint="default" w:ascii="Times New Roman" w:hAnsi="Times New Roman" w:cs="Times New Roman" w:eastAsiaTheme="minorEastAsia"/>
                <w:b/>
                <w:bCs/>
                <w:color w:val="auto"/>
                <w:spacing w:val="0"/>
                <w:sz w:val="24"/>
                <w:szCs w:val="24"/>
                <w:highlight w:val="none"/>
                <w:lang w:val="en-US" w:eastAsia="zh-CN"/>
              </w:rPr>
              <w:t>（一）</w:t>
            </w:r>
            <w:r>
              <w:rPr>
                <w:rFonts w:hint="default" w:ascii="Times New Roman" w:hAnsi="Times New Roman" w:cs="Times New Roman" w:eastAsiaTheme="minorEastAsia"/>
                <w:b/>
                <w:bCs/>
                <w:color w:val="auto"/>
                <w:spacing w:val="0"/>
                <w:sz w:val="24"/>
                <w:szCs w:val="24"/>
                <w:highlight w:val="none"/>
              </w:rPr>
              <w:t>环境风险分析</w:t>
            </w:r>
          </w:p>
          <w:p w14:paraId="3CE7FC6E">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1.大气环境影响分析</w:t>
            </w:r>
          </w:p>
          <w:p w14:paraId="21DB49CC">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Style w:val="54"/>
                <w:rFonts w:hint="default" w:ascii="Times New Roman" w:hAnsi="Times New Roman" w:cs="Times New Roman" w:eastAsiaTheme="minorEastAsia"/>
                <w:color w:val="auto"/>
                <w:spacing w:val="0"/>
                <w:sz w:val="24"/>
                <w:szCs w:val="24"/>
                <w:highlight w:val="none"/>
              </w:rPr>
            </w:pPr>
            <w:r>
              <w:rPr>
                <w:rFonts w:hint="default" w:ascii="Times New Roman" w:hAnsi="Times New Roman" w:cs="Times New Roman" w:eastAsiaTheme="minorEastAsia"/>
                <w:color w:val="auto"/>
                <w:spacing w:val="0"/>
                <w:sz w:val="24"/>
                <w:szCs w:val="24"/>
                <w:highlight w:val="none"/>
                <w:lang w:eastAsia="zh-CN"/>
              </w:rPr>
              <w:t>本项目事故情况下，挥发的有机气体会对周边大气环境产生一定的影响。项目区周围无环境敏感目标，且地域空旷，扩散条件较好，发生事故后，及时采取相应的措施，不会对环境产生较大影响。</w:t>
            </w:r>
          </w:p>
          <w:p w14:paraId="519DFB73">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cs="Times New Roman" w:eastAsiaTheme="minorEastAsia"/>
                <w:color w:val="auto"/>
                <w:spacing w:val="0"/>
                <w:sz w:val="24"/>
                <w:szCs w:val="24"/>
                <w:highlight w:val="none"/>
                <w:lang w:eastAsia="zh-CN"/>
              </w:rPr>
            </w:pPr>
            <w:r>
              <w:rPr>
                <w:rFonts w:hint="default" w:ascii="Times New Roman" w:hAnsi="Times New Roman" w:cs="Times New Roman" w:eastAsiaTheme="minorEastAsia"/>
                <w:color w:val="auto"/>
                <w:spacing w:val="0"/>
                <w:sz w:val="24"/>
                <w:szCs w:val="24"/>
                <w:highlight w:val="none"/>
                <w:lang w:val="en-US" w:eastAsia="zh-CN"/>
              </w:rPr>
              <w:t>2.</w:t>
            </w:r>
            <w:r>
              <w:rPr>
                <w:rFonts w:hint="default" w:ascii="Times New Roman" w:hAnsi="Times New Roman" w:cs="Times New Roman" w:eastAsiaTheme="minorEastAsia"/>
                <w:color w:val="auto"/>
                <w:spacing w:val="0"/>
                <w:sz w:val="24"/>
                <w:szCs w:val="24"/>
                <w:highlight w:val="none"/>
                <w:lang w:eastAsia="zh-CN"/>
              </w:rPr>
              <w:t>对土壤、水环境的影响</w:t>
            </w:r>
          </w:p>
          <w:p w14:paraId="1DE79667">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cs="Times New Roman" w:eastAsiaTheme="minorEastAsia"/>
                <w:color w:val="auto"/>
                <w:spacing w:val="0"/>
                <w:sz w:val="24"/>
                <w:szCs w:val="24"/>
                <w:highlight w:val="none"/>
                <w:lang w:eastAsia="zh-CN"/>
              </w:rPr>
            </w:pPr>
            <w:r>
              <w:rPr>
                <w:rFonts w:hint="default" w:ascii="Times New Roman" w:hAnsi="Times New Roman" w:cs="Times New Roman" w:eastAsiaTheme="minorEastAsia"/>
                <w:color w:val="auto"/>
                <w:spacing w:val="0"/>
                <w:sz w:val="24"/>
                <w:szCs w:val="24"/>
                <w:highlight w:val="none"/>
                <w:lang w:eastAsia="zh-CN"/>
              </w:rPr>
              <w:t>对土壤、水环境的影响主要是通过破损处或裸露的土壤处渗入地下，污染土壤和地下水。本项目</w:t>
            </w:r>
            <w:r>
              <w:rPr>
                <w:rFonts w:hint="default" w:ascii="Times New Roman" w:hAnsi="Times New Roman" w:cs="Times New Roman" w:eastAsiaTheme="minorEastAsia"/>
                <w:color w:val="auto"/>
                <w:spacing w:val="0"/>
                <w:sz w:val="24"/>
                <w:szCs w:val="24"/>
                <w:highlight w:val="none"/>
              </w:rPr>
              <w:t>危险废物暂存</w:t>
            </w:r>
            <w:r>
              <w:rPr>
                <w:rFonts w:hint="eastAsia" w:ascii="Times New Roman" w:hAnsi="Times New Roman" w:cs="Times New Roman" w:eastAsiaTheme="minorEastAsia"/>
                <w:color w:val="auto"/>
                <w:spacing w:val="0"/>
                <w:sz w:val="24"/>
                <w:szCs w:val="24"/>
                <w:highlight w:val="none"/>
                <w:lang w:val="en-US" w:eastAsia="zh-CN"/>
              </w:rPr>
              <w:t>间</w:t>
            </w:r>
            <w:r>
              <w:rPr>
                <w:rFonts w:hint="default" w:ascii="Times New Roman" w:hAnsi="Times New Roman" w:cs="Times New Roman" w:eastAsiaTheme="minorEastAsia"/>
                <w:color w:val="auto"/>
                <w:spacing w:val="0"/>
                <w:sz w:val="24"/>
                <w:szCs w:val="24"/>
                <w:highlight w:val="none"/>
                <w:lang w:eastAsia="zh-CN"/>
              </w:rPr>
              <w:t>进行防腐防渗处理，</w:t>
            </w:r>
            <w:r>
              <w:rPr>
                <w:rFonts w:hint="default" w:ascii="Times New Roman" w:hAnsi="Times New Roman" w:cs="Times New Roman" w:eastAsiaTheme="minorEastAsia"/>
                <w:color w:val="auto"/>
                <w:spacing w:val="0"/>
                <w:sz w:val="24"/>
                <w:szCs w:val="24"/>
                <w:highlight w:val="none"/>
                <w:lang w:val="en-US" w:eastAsia="zh-CN"/>
              </w:rPr>
              <w:t>将危险废物储存在塑料容器中，</w:t>
            </w:r>
            <w:r>
              <w:rPr>
                <w:rFonts w:hint="default" w:ascii="Times New Roman" w:hAnsi="Times New Roman" w:cs="Times New Roman" w:eastAsiaTheme="minorEastAsia"/>
                <w:color w:val="auto"/>
                <w:spacing w:val="0"/>
                <w:sz w:val="24"/>
                <w:szCs w:val="24"/>
                <w:highlight w:val="none"/>
                <w:lang w:eastAsia="zh-CN"/>
              </w:rPr>
              <w:t>从而防止污染介质下渗，避免对地下水、土壤环境造成环境污染。同时在正常工况下，定期对</w:t>
            </w:r>
            <w:r>
              <w:rPr>
                <w:rFonts w:hint="default" w:ascii="Times New Roman" w:hAnsi="Times New Roman" w:cs="Times New Roman" w:eastAsiaTheme="minorEastAsia"/>
                <w:color w:val="auto"/>
                <w:spacing w:val="0"/>
                <w:sz w:val="24"/>
                <w:szCs w:val="24"/>
                <w:highlight w:val="none"/>
              </w:rPr>
              <w:t>危险废物暂存库</w:t>
            </w:r>
            <w:r>
              <w:rPr>
                <w:rFonts w:hint="default" w:ascii="Times New Roman" w:hAnsi="Times New Roman" w:cs="Times New Roman" w:eastAsiaTheme="minorEastAsia"/>
                <w:color w:val="auto"/>
                <w:spacing w:val="0"/>
                <w:sz w:val="24"/>
                <w:szCs w:val="24"/>
                <w:highlight w:val="none"/>
                <w:lang w:eastAsia="zh-CN"/>
              </w:rPr>
              <w:t>进行检查，</w:t>
            </w:r>
            <w:r>
              <w:rPr>
                <w:rFonts w:hint="eastAsia" w:ascii="Times New Roman" w:hAnsi="Times New Roman" w:cs="Times New Roman" w:eastAsiaTheme="minorEastAsia"/>
                <w:color w:val="auto"/>
                <w:spacing w:val="0"/>
                <w:sz w:val="24"/>
                <w:szCs w:val="24"/>
                <w:highlight w:val="none"/>
                <w:lang w:eastAsia="zh-CN"/>
              </w:rPr>
              <w:t>加大</w:t>
            </w:r>
            <w:r>
              <w:rPr>
                <w:rFonts w:hint="default" w:ascii="Times New Roman" w:hAnsi="Times New Roman" w:cs="Times New Roman" w:eastAsiaTheme="minorEastAsia"/>
                <w:color w:val="auto"/>
                <w:spacing w:val="0"/>
                <w:sz w:val="24"/>
                <w:szCs w:val="24"/>
                <w:highlight w:val="none"/>
                <w:lang w:eastAsia="zh-CN"/>
              </w:rPr>
              <w:t>检修力度，发生泄漏事故及时查找泄漏点，及时维修。</w:t>
            </w:r>
          </w:p>
          <w:p w14:paraId="3E3012DE">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eastAsia" w:ascii="Times New Roman" w:hAnsi="Times New Roman" w:eastAsia="宋体" w:cs="Times New Roman"/>
                <w:color w:val="auto"/>
                <w:spacing w:val="0"/>
                <w:sz w:val="24"/>
                <w:szCs w:val="24"/>
                <w:highlight w:val="none"/>
                <w:lang w:val="en-US" w:eastAsia="zh-CN"/>
              </w:rPr>
              <w:t>3.</w:t>
            </w:r>
            <w:r>
              <w:rPr>
                <w:rFonts w:hint="default" w:ascii="Times New Roman" w:hAnsi="Times New Roman" w:eastAsia="宋体" w:cs="Times New Roman"/>
                <w:color w:val="auto"/>
                <w:spacing w:val="0"/>
                <w:sz w:val="24"/>
                <w:szCs w:val="24"/>
                <w:highlight w:val="none"/>
                <w:lang w:eastAsia="zh-CN"/>
              </w:rPr>
              <w:t>化学品泄漏事故风险防范措施</w:t>
            </w:r>
          </w:p>
          <w:p w14:paraId="7DE21140">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针对油漆化学品，本项目采用独立</w:t>
            </w:r>
            <w:r>
              <w:rPr>
                <w:rFonts w:hint="eastAsia" w:ascii="Times New Roman" w:hAnsi="Times New Roman" w:eastAsia="宋体" w:cs="Times New Roman"/>
                <w:color w:val="auto"/>
                <w:spacing w:val="0"/>
                <w:sz w:val="24"/>
                <w:szCs w:val="24"/>
                <w:highlight w:val="none"/>
                <w:lang w:val="en-US" w:eastAsia="zh-CN"/>
              </w:rPr>
              <w:t>铁</w:t>
            </w:r>
            <w:r>
              <w:rPr>
                <w:rFonts w:hint="default" w:ascii="Times New Roman" w:hAnsi="Times New Roman" w:eastAsia="宋体" w:cs="Times New Roman"/>
                <w:color w:val="auto"/>
                <w:spacing w:val="0"/>
                <w:sz w:val="24"/>
                <w:szCs w:val="24"/>
                <w:highlight w:val="none"/>
                <w:lang w:eastAsia="zh-CN"/>
              </w:rPr>
              <w:t>桶装（每桶</w:t>
            </w:r>
            <w:r>
              <w:rPr>
                <w:rFonts w:hint="eastAsia" w:ascii="Times New Roman" w:hAnsi="Times New Roman" w:eastAsia="宋体"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val="en-US" w:eastAsia="zh-CN"/>
              </w:rPr>
              <w:t>0</w:t>
            </w:r>
            <w:r>
              <w:rPr>
                <w:rFonts w:hint="default" w:ascii="Times New Roman" w:hAnsi="Times New Roman" w:eastAsia="宋体" w:cs="Times New Roman"/>
                <w:color w:val="auto"/>
                <w:spacing w:val="0"/>
                <w:sz w:val="24"/>
                <w:szCs w:val="24"/>
                <w:highlight w:val="none"/>
                <w:lang w:eastAsia="zh-CN"/>
              </w:rPr>
              <w:t>kg）对其进行存储，储存于阴凉、干燥、通风处，储存地应设有围堰及地坑，围堰面积大于储存面积（≥10m3），地面需进行防腐防渗；油漆等化学品的储存和使用应符合《危险化学品安全管理条例》、《常用化学危险品贮存通则》(GB 15603-1995</w:t>
            </w:r>
            <w:r>
              <w:rPr>
                <w:rFonts w:hint="eastAsia"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eastAsia="zh-CN"/>
              </w:rPr>
              <w:t>规定。</w:t>
            </w:r>
          </w:p>
          <w:p w14:paraId="5E04A387">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厂区内配置一定数量的灭火器等消防器材，设置火灾报警系统。生产厂房、易燃物品贮存区须确保全面通风，预留必要的安全间距，远离火种和热源，防止阳光直射。</w:t>
            </w:r>
          </w:p>
          <w:p w14:paraId="220DD4FC">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严格按照生产管理制度执行，定期检查库房，发现有设备损坏，立即采取措施。</w:t>
            </w:r>
          </w:p>
          <w:p w14:paraId="6FBC1AE1">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厂区消防通道和建筑物耐火等级均按照消防规范要求进行建设，车间设置严禁烟火的标志。</w:t>
            </w:r>
          </w:p>
          <w:p w14:paraId="64F4F6E9">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化学原料必须存放于规定位置，必须设有明显的标志，并按国家规定标准控制不同单位面积最大贮存限量；环评要求建设单位应结合项目正常生产需求，尽量减少厂内油类、油漆等的储存量，以满足项目生产所需为宜，同时在储存位置周围设置围堰。</w:t>
            </w:r>
          </w:p>
          <w:p w14:paraId="534A66DD">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jc w:val="both"/>
              <w:textAlignment w:val="auto"/>
              <w:rPr>
                <w:rFonts w:hint="default" w:ascii="Times New Roman" w:hAnsi="Times New Roman" w:cs="Times New Roman" w:eastAsiaTheme="minorEastAsia"/>
                <w:b/>
                <w:bCs/>
                <w:color w:val="auto"/>
                <w:spacing w:val="0"/>
                <w:sz w:val="24"/>
                <w:szCs w:val="24"/>
                <w:highlight w:val="none"/>
                <w:lang w:val="en-US" w:eastAsia="zh-CN"/>
              </w:rPr>
            </w:pPr>
            <w:r>
              <w:rPr>
                <w:rFonts w:hint="default" w:ascii="Times New Roman" w:hAnsi="Times New Roman" w:cs="Times New Roman" w:eastAsiaTheme="minorEastAsia"/>
                <w:b/>
                <w:bCs/>
                <w:color w:val="auto"/>
                <w:spacing w:val="0"/>
                <w:sz w:val="24"/>
                <w:szCs w:val="24"/>
                <w:highlight w:val="none"/>
                <w:lang w:val="en-US" w:eastAsia="zh-CN"/>
              </w:rPr>
              <w:t>（二）环境风险防范措施</w:t>
            </w:r>
          </w:p>
          <w:p w14:paraId="0FAA249F">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针对</w:t>
            </w: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rPr>
              <w:t>的建设特点，</w:t>
            </w: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rPr>
              <w:t>存在的主要环境风险为</w:t>
            </w:r>
            <w:r>
              <w:rPr>
                <w:rFonts w:hint="eastAsia" w:ascii="Times New Roman" w:hAnsi="Times New Roman" w:eastAsia="宋体" w:cs="Times New Roman"/>
                <w:color w:val="auto"/>
                <w:spacing w:val="0"/>
                <w:sz w:val="24"/>
                <w:szCs w:val="24"/>
                <w:highlight w:val="none"/>
                <w:lang w:eastAsia="zh-CN"/>
              </w:rPr>
              <w:t>泄漏</w:t>
            </w:r>
            <w:r>
              <w:rPr>
                <w:rFonts w:hint="default" w:ascii="Times New Roman" w:hAnsi="Times New Roman" w:eastAsia="宋体" w:cs="Times New Roman"/>
                <w:color w:val="auto"/>
                <w:spacing w:val="0"/>
                <w:sz w:val="24"/>
                <w:szCs w:val="24"/>
                <w:highlight w:val="none"/>
              </w:rPr>
              <w:t>，为进一步降低</w:t>
            </w:r>
            <w:r>
              <w:rPr>
                <w:rFonts w:hint="eastAsia" w:ascii="Times New Roman" w:hAnsi="Times New Roman" w:eastAsia="宋体" w:cs="Times New Roman"/>
                <w:color w:val="auto"/>
                <w:spacing w:val="0"/>
                <w:sz w:val="24"/>
                <w:szCs w:val="24"/>
                <w:highlight w:val="none"/>
                <w:lang w:eastAsia="zh-CN"/>
              </w:rPr>
              <w:t>泄漏风险</w:t>
            </w:r>
            <w:r>
              <w:rPr>
                <w:rFonts w:hint="default" w:ascii="Times New Roman" w:hAnsi="Times New Roman" w:eastAsia="宋体" w:cs="Times New Roman"/>
                <w:color w:val="auto"/>
                <w:spacing w:val="0"/>
                <w:sz w:val="24"/>
                <w:szCs w:val="24"/>
                <w:highlight w:val="none"/>
              </w:rPr>
              <w:t>，应做好防渗措施。</w:t>
            </w:r>
          </w:p>
          <w:p w14:paraId="0266DD59">
            <w:pPr>
              <w:pStyle w:val="5"/>
              <w:keepNext w:val="0"/>
              <w:keepLines/>
              <w:pageBreakBefore w:val="0"/>
              <w:widowControl w:val="0"/>
              <w:numPr>
                <w:ilvl w:val="0"/>
                <w:numId w:val="0"/>
              </w:numPr>
              <w:tabs>
                <w:tab w:val="clear" w:pos="720"/>
              </w:tabs>
              <w:kinsoku/>
              <w:wordWrap/>
              <w:overflowPunct/>
              <w:topLinePunct w:val="0"/>
              <w:autoSpaceDE/>
              <w:autoSpaceDN/>
              <w:bidi w:val="0"/>
              <w:adjustRightInd w:val="0"/>
              <w:snapToGrid w:val="0"/>
              <w:spacing w:line="360" w:lineRule="auto"/>
              <w:ind w:leftChars="0" w:right="0" w:rightChars="0" w:firstLine="480" w:firstLineChars="200"/>
              <w:jc w:val="both"/>
              <w:textAlignment w:val="bottom"/>
              <w:rPr>
                <w:rFonts w:hint="default" w:ascii="Times New Roman" w:hAnsi="Times New Roman" w:eastAsia="宋体" w:cs="Times New Roman"/>
                <w:color w:val="auto"/>
                <w:spacing w:val="0"/>
                <w:kern w:val="2"/>
                <w:sz w:val="24"/>
                <w:szCs w:val="24"/>
                <w:highlight w:val="none"/>
              </w:rPr>
            </w:pPr>
            <w:r>
              <w:rPr>
                <w:rFonts w:hint="default" w:ascii="Times New Roman" w:hAnsi="Times New Roman" w:eastAsia="宋体" w:cs="Times New Roman"/>
                <w:color w:val="auto"/>
                <w:spacing w:val="0"/>
                <w:sz w:val="24"/>
                <w:szCs w:val="24"/>
                <w:highlight w:val="none"/>
              </w:rPr>
              <w:t>按照《危险废物贮存污染控制标准》</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rPr>
              <w:t>GB18597-20</w:t>
            </w:r>
            <w:r>
              <w:rPr>
                <w:rFonts w:hint="default" w:ascii="Times New Roman" w:hAnsi="Times New Roman" w:eastAsia="宋体" w:cs="Times New Roman"/>
                <w:color w:val="auto"/>
                <w:spacing w:val="0"/>
                <w:sz w:val="24"/>
                <w:szCs w:val="24"/>
                <w:highlight w:val="none"/>
                <w:lang w:val="en-US" w:eastAsia="zh-CN"/>
              </w:rPr>
              <w:t>23</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rPr>
              <w:t>的规定和要求进行设计、管理和运行等</w:t>
            </w:r>
            <w:r>
              <w:rPr>
                <w:rFonts w:hint="default" w:ascii="Times New Roman" w:hAnsi="Times New Roman" w:eastAsia="宋体" w:cs="Times New Roman"/>
                <w:color w:val="auto"/>
                <w:spacing w:val="0"/>
                <w:kern w:val="2"/>
                <w:sz w:val="24"/>
                <w:szCs w:val="24"/>
                <w:highlight w:val="none"/>
              </w:rPr>
              <w:t>要求建设，具体如下：</w:t>
            </w:r>
          </w:p>
          <w:p w14:paraId="44CC3D37">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rPr>
              <w:t>（1）将危险废物暂存库全部区域划为重点防渗区，</w:t>
            </w:r>
            <w:r>
              <w:rPr>
                <w:rFonts w:hint="default" w:ascii="Times New Roman" w:hAnsi="Times New Roman" w:eastAsia="宋体" w:cs="Times New Roman"/>
                <w:color w:val="auto"/>
                <w:spacing w:val="0"/>
                <w:sz w:val="24"/>
                <w:szCs w:val="24"/>
                <w:highlight w:val="none"/>
                <w:lang w:eastAsia="zh-CN"/>
              </w:rPr>
              <w:t>危险废物暂存库</w:t>
            </w:r>
            <w:r>
              <w:rPr>
                <w:rFonts w:hint="default" w:ascii="Times New Roman" w:hAnsi="Times New Roman" w:eastAsia="宋体" w:cs="Times New Roman"/>
                <w:color w:val="auto"/>
                <w:spacing w:val="0"/>
                <w:sz w:val="24"/>
                <w:szCs w:val="24"/>
                <w:highlight w:val="none"/>
              </w:rPr>
              <w:t>地面</w:t>
            </w:r>
            <w:r>
              <w:rPr>
                <w:rFonts w:hint="default" w:ascii="Times New Roman" w:hAnsi="Times New Roman" w:eastAsia="宋体" w:cs="Times New Roman"/>
                <w:color w:val="auto"/>
                <w:spacing w:val="0"/>
                <w:sz w:val="24"/>
                <w:szCs w:val="24"/>
                <w:highlight w:val="none"/>
                <w:lang w:eastAsia="zh-CN"/>
              </w:rPr>
              <w:t>采用2道环氧地坪漆防腐防渗材料进行基础防渗，施工</w:t>
            </w:r>
            <w:r>
              <w:rPr>
                <w:rFonts w:hint="eastAsia" w:ascii="Times New Roman" w:hAnsi="Times New Roman" w:eastAsia="宋体" w:cs="Times New Roman"/>
                <w:color w:val="auto"/>
                <w:spacing w:val="0"/>
                <w:sz w:val="24"/>
                <w:szCs w:val="24"/>
                <w:highlight w:val="none"/>
                <w:lang w:eastAsia="zh-CN"/>
              </w:rPr>
              <w:t>完成</w:t>
            </w:r>
            <w:r>
              <w:rPr>
                <w:rFonts w:hint="default" w:ascii="Times New Roman" w:hAnsi="Times New Roman" w:eastAsia="宋体" w:cs="Times New Roman"/>
                <w:color w:val="auto"/>
                <w:spacing w:val="0"/>
                <w:sz w:val="24"/>
                <w:szCs w:val="24"/>
                <w:highlight w:val="none"/>
                <w:lang w:eastAsia="zh-CN"/>
              </w:rPr>
              <w:t>后防渗层厚度大于</w:t>
            </w:r>
            <w:r>
              <w:rPr>
                <w:rFonts w:hint="default" w:ascii="Times New Roman" w:hAnsi="Times New Roman" w:eastAsia="宋体" w:cs="Times New Roman"/>
                <w:color w:val="auto"/>
                <w:spacing w:val="0"/>
                <w:sz w:val="24"/>
                <w:szCs w:val="24"/>
                <w:highlight w:val="none"/>
                <w:lang w:val="en-US" w:eastAsia="zh-CN"/>
              </w:rPr>
              <w:t>2mm，在施工过程中加强施工管理，确保工程质量</w:t>
            </w:r>
            <w:r>
              <w:rPr>
                <w:rFonts w:hint="default" w:ascii="Times New Roman" w:hAnsi="Times New Roman" w:eastAsia="宋体" w:cs="Times New Roman"/>
                <w:color w:val="auto"/>
                <w:spacing w:val="0"/>
                <w:sz w:val="24"/>
                <w:szCs w:val="24"/>
                <w:highlight w:val="none"/>
                <w:lang w:eastAsia="zh-CN"/>
              </w:rPr>
              <w:t>。</w:t>
            </w:r>
          </w:p>
          <w:p w14:paraId="4514B197">
            <w:pPr>
              <w:keepNext w:val="0"/>
              <w:pageBreakBefore w:val="0"/>
              <w:widowControl w:val="0"/>
              <w:kinsoku/>
              <w:wordWrap/>
              <w:overflowPunct/>
              <w:topLinePunct w:val="0"/>
              <w:autoSpaceDE/>
              <w:autoSpaceDN/>
              <w:bidi w:val="0"/>
              <w:adjustRightInd w:val="0"/>
              <w:snapToGrid w:val="0"/>
              <w:spacing w:line="360" w:lineRule="auto"/>
              <w:ind w:right="0"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rPr>
              <w:t>（2）对入库的危险废物应加强管理，设置管理台账</w:t>
            </w:r>
            <w:r>
              <w:rPr>
                <w:rFonts w:hint="default" w:ascii="Times New Roman" w:hAnsi="Times New Roman" w:eastAsia="宋体" w:cs="Times New Roman"/>
                <w:color w:val="auto"/>
                <w:spacing w:val="0"/>
                <w:sz w:val="24"/>
                <w:szCs w:val="24"/>
                <w:highlight w:val="none"/>
                <w:lang w:eastAsia="zh-CN"/>
              </w:rPr>
              <w:t>。</w:t>
            </w:r>
          </w:p>
          <w:p w14:paraId="1E4D2B1E">
            <w:pPr>
              <w:keepNext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3</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危险废物暂存库</w:t>
            </w:r>
            <w:r>
              <w:rPr>
                <w:rFonts w:hint="default" w:ascii="Times New Roman" w:hAnsi="Times New Roman" w:eastAsia="宋体" w:cs="Times New Roman"/>
                <w:color w:val="auto"/>
                <w:spacing w:val="0"/>
                <w:sz w:val="24"/>
                <w:szCs w:val="24"/>
                <w:highlight w:val="none"/>
                <w:lang w:eastAsia="zh-CN"/>
              </w:rPr>
              <w:t>设置</w:t>
            </w:r>
            <w:r>
              <w:rPr>
                <w:rFonts w:hint="default" w:ascii="Times New Roman" w:hAnsi="Times New Roman" w:eastAsia="宋体" w:cs="Times New Roman"/>
                <w:color w:val="auto"/>
                <w:spacing w:val="0"/>
                <w:sz w:val="24"/>
                <w:szCs w:val="24"/>
                <w:highlight w:val="none"/>
                <w:lang w:val="en-US" w:eastAsia="zh-CN"/>
              </w:rPr>
              <w:t>安全照明设施和观察窗口</w:t>
            </w:r>
            <w:r>
              <w:rPr>
                <w:rFonts w:hint="default" w:ascii="Times New Roman" w:hAnsi="Times New Roman" w:eastAsia="宋体" w:cs="Times New Roman"/>
                <w:color w:val="auto"/>
                <w:spacing w:val="0"/>
                <w:sz w:val="24"/>
                <w:szCs w:val="24"/>
                <w:highlight w:val="none"/>
                <w:lang w:eastAsia="zh-CN"/>
              </w:rPr>
              <w:t>。</w:t>
            </w:r>
          </w:p>
          <w:p w14:paraId="53C7AC88">
            <w:pPr>
              <w:pStyle w:val="1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Autospacing="0" w:line="400" w:lineRule="atLeast"/>
              <w:ind w:left="0" w:right="0" w:firstLine="422"/>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1"/>
                <w:szCs w:val="21"/>
                <w:highlight w:val="none"/>
              </w:rPr>
              <w:t>表4</w:t>
            </w:r>
            <w:r>
              <w:rPr>
                <w:rFonts w:hint="eastAsia" w:ascii="Times New Roman" w:hAnsi="Times New Roman" w:eastAsia="宋体"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建设项目环境风险简单分析内容表</w:t>
            </w:r>
          </w:p>
          <w:tbl>
            <w:tblPr>
              <w:tblStyle w:val="29"/>
              <w:tblW w:w="7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41"/>
              <w:gridCol w:w="6518"/>
            </w:tblGrid>
            <w:tr w14:paraId="713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8" w:hRule="atLeast"/>
                <w:jc w:val="center"/>
              </w:trPr>
              <w:tc>
                <w:tcPr>
                  <w:tcW w:w="905" w:type="pct"/>
                  <w:noWrap w:val="0"/>
                  <w:vAlign w:val="center"/>
                </w:tcPr>
                <w:p w14:paraId="1611DDC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建设项目名称</w:t>
                  </w:r>
                </w:p>
              </w:tc>
              <w:tc>
                <w:tcPr>
                  <w:tcW w:w="4094" w:type="pct"/>
                  <w:noWrap w:val="0"/>
                  <w:vAlign w:val="center"/>
                </w:tcPr>
                <w:p w14:paraId="026A8AD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新疆东瑞精工管道制造有限公司年产十万件管件生产建设项目</w:t>
                  </w:r>
                </w:p>
              </w:tc>
            </w:tr>
            <w:tr w14:paraId="124D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1" w:hRule="atLeast"/>
                <w:jc w:val="center"/>
              </w:trPr>
              <w:tc>
                <w:tcPr>
                  <w:tcW w:w="905" w:type="pct"/>
                  <w:noWrap w:val="0"/>
                  <w:vAlign w:val="center"/>
                </w:tcPr>
                <w:p w14:paraId="42F472F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建设地点</w:t>
                  </w:r>
                </w:p>
              </w:tc>
              <w:tc>
                <w:tcPr>
                  <w:tcW w:w="4094" w:type="pct"/>
                  <w:noWrap w:val="0"/>
                  <w:vAlign w:val="center"/>
                </w:tcPr>
                <w:p w14:paraId="1B161E0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新疆昌吉回族自治州昌吉市</w:t>
                  </w:r>
                  <w:r>
                    <w:rPr>
                      <w:rFonts w:hint="default" w:ascii="Times New Roman" w:hAnsi="Times New Roman" w:eastAsia="宋体" w:cs="Times New Roman"/>
                      <w:color w:val="auto"/>
                      <w:sz w:val="21"/>
                      <w:szCs w:val="21"/>
                      <w:highlight w:val="none"/>
                      <w:lang w:val="en-US" w:eastAsia="zh-CN"/>
                    </w:rPr>
                    <w:t>空港合作区纬三路北侧</w:t>
                  </w:r>
                </w:p>
              </w:tc>
            </w:tr>
            <w:tr w14:paraId="155C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1" w:hRule="atLeast"/>
                <w:jc w:val="center"/>
              </w:trPr>
              <w:tc>
                <w:tcPr>
                  <w:tcW w:w="905" w:type="pct"/>
                  <w:noWrap w:val="0"/>
                  <w:vAlign w:val="center"/>
                </w:tcPr>
                <w:p w14:paraId="4B00882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地理坐标</w:t>
                  </w:r>
                </w:p>
              </w:tc>
              <w:tc>
                <w:tcPr>
                  <w:tcW w:w="4094" w:type="pct"/>
                  <w:noWrap w:val="0"/>
                  <w:vAlign w:val="center"/>
                </w:tcPr>
                <w:p w14:paraId="76BCF3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东经：87°14′9.076″，北纬：43°52′37.392″</w:t>
                  </w:r>
                </w:p>
              </w:tc>
            </w:tr>
            <w:tr w14:paraId="7C84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8" w:hRule="atLeast"/>
                <w:jc w:val="center"/>
              </w:trPr>
              <w:tc>
                <w:tcPr>
                  <w:tcW w:w="905" w:type="pct"/>
                  <w:noWrap w:val="0"/>
                  <w:vAlign w:val="center"/>
                </w:tcPr>
                <w:p w14:paraId="6C751F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主要危险物质及分布</w:t>
                  </w:r>
                </w:p>
              </w:tc>
              <w:tc>
                <w:tcPr>
                  <w:tcW w:w="4094" w:type="pct"/>
                  <w:noWrap w:val="0"/>
                  <w:vAlign w:val="center"/>
                </w:tcPr>
                <w:p w14:paraId="442C0F0D">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主要危险物质：</w:t>
                  </w:r>
                  <w:r>
                    <w:rPr>
                      <w:rFonts w:hint="eastAsia" w:ascii="Times New Roman" w:hAnsi="Times New Roman" w:eastAsia="宋体" w:cs="Times New Roman"/>
                      <w:color w:val="auto"/>
                      <w:szCs w:val="21"/>
                      <w:highlight w:val="none"/>
                      <w:lang w:val="en-US" w:eastAsia="zh-CN"/>
                    </w:rPr>
                    <w:t>二甲苯、废活性炭</w:t>
                  </w:r>
                </w:p>
                <w:p w14:paraId="0BBA0B82">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主要分布：</w:t>
                  </w:r>
                  <w:r>
                    <w:rPr>
                      <w:rFonts w:hint="default" w:ascii="Times New Roman" w:hAnsi="Times New Roman" w:eastAsia="宋体" w:cs="Times New Roman"/>
                      <w:color w:val="auto"/>
                      <w:szCs w:val="21"/>
                      <w:highlight w:val="none"/>
                      <w:lang w:val="en-US" w:eastAsia="zh-CN"/>
                    </w:rPr>
                    <w:t>车间、</w:t>
                  </w:r>
                  <w:r>
                    <w:rPr>
                      <w:rFonts w:hint="eastAsia" w:cs="Times New Roman"/>
                      <w:color w:val="auto"/>
                      <w:szCs w:val="21"/>
                      <w:highlight w:val="none"/>
                      <w:lang w:val="en-US" w:eastAsia="zh-CN"/>
                    </w:rPr>
                    <w:t>危废暂存库</w:t>
                  </w:r>
                </w:p>
              </w:tc>
            </w:tr>
            <w:tr w14:paraId="1E05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8" w:hRule="atLeast"/>
                <w:jc w:val="center"/>
              </w:trPr>
              <w:tc>
                <w:tcPr>
                  <w:tcW w:w="905" w:type="pct"/>
                  <w:noWrap w:val="0"/>
                  <w:vAlign w:val="center"/>
                </w:tcPr>
                <w:p w14:paraId="36338C5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环境影响途径及危害后果</w:t>
                  </w:r>
                </w:p>
              </w:tc>
              <w:tc>
                <w:tcPr>
                  <w:tcW w:w="4094" w:type="pct"/>
                  <w:noWrap w:val="0"/>
                  <w:vAlign w:val="center"/>
                </w:tcPr>
                <w:p w14:paraId="564773A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火灾爆炸事故的发生，放出大量辐射和散发大量的浓烟，含有大量的热量，而且还含有</w:t>
                  </w:r>
                  <w:r>
                    <w:rPr>
                      <w:rFonts w:hint="eastAsia" w:ascii="Times New Roman" w:hAnsi="Times New Roman" w:eastAsia="宋体" w:cs="Times New Roman"/>
                      <w:color w:val="auto"/>
                      <w:szCs w:val="21"/>
                      <w:highlight w:val="none"/>
                      <w:lang w:val="en-US" w:eastAsia="zh-CN"/>
                    </w:rPr>
                    <w:t>蒸气</w:t>
                  </w:r>
                  <w:r>
                    <w:rPr>
                      <w:rFonts w:hint="default" w:ascii="Times New Roman" w:hAnsi="Times New Roman" w:eastAsia="宋体" w:cs="Times New Roman"/>
                      <w:color w:val="auto"/>
                      <w:szCs w:val="21"/>
                      <w:highlight w:val="none"/>
                      <w:lang w:val="en-US" w:eastAsia="zh-CN"/>
                    </w:rPr>
                    <w:t>，有毒气体，对大气环境质量造成污染和破坏</w:t>
                  </w:r>
                </w:p>
              </w:tc>
            </w:tr>
            <w:tr w14:paraId="0EE8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01" w:hRule="atLeast"/>
                <w:jc w:val="center"/>
              </w:trPr>
              <w:tc>
                <w:tcPr>
                  <w:tcW w:w="905" w:type="pct"/>
                  <w:noWrap w:val="0"/>
                  <w:vAlign w:val="center"/>
                </w:tcPr>
                <w:p w14:paraId="292EE60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风险防范措施要求</w:t>
                  </w:r>
                </w:p>
              </w:tc>
              <w:tc>
                <w:tcPr>
                  <w:tcW w:w="4094" w:type="pct"/>
                  <w:noWrap w:val="0"/>
                  <w:vAlign w:val="center"/>
                </w:tcPr>
                <w:p w14:paraId="1483A5C8">
                  <w:pPr>
                    <w:keepNext w:val="0"/>
                    <w:pageBreakBefore w:val="0"/>
                    <w:widowControl w:val="0"/>
                    <w:kinsoku/>
                    <w:wordWrap/>
                    <w:overflowPunct/>
                    <w:topLinePunct w:val="0"/>
                    <w:autoSpaceDE/>
                    <w:autoSpaceDN/>
                    <w:bidi w:val="0"/>
                    <w:adjustRightInd w:val="0"/>
                    <w:snapToGrid w:val="0"/>
                    <w:spacing w:line="240" w:lineRule="auto"/>
                    <w:ind w:right="0"/>
                    <w:jc w:val="both"/>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（1）将危险废物暂存库全部区域划为重点防渗区，危险废物暂存库地面采用2道环氧地坪漆防腐防渗材料</w:t>
                  </w:r>
                  <w:r>
                    <w:rPr>
                      <w:rFonts w:hint="default" w:ascii="Times New Roman" w:hAnsi="Times New Roman" w:eastAsia="宋体" w:cs="Times New Roman"/>
                      <w:color w:val="auto"/>
                      <w:spacing w:val="0"/>
                      <w:sz w:val="21"/>
                      <w:szCs w:val="21"/>
                      <w:highlight w:val="none"/>
                      <w:lang w:eastAsia="zh-CN"/>
                    </w:rPr>
                    <w:t>进行基础防渗，施工</w:t>
                  </w:r>
                  <w:r>
                    <w:rPr>
                      <w:rFonts w:hint="eastAsia" w:ascii="Times New Roman" w:hAnsi="Times New Roman" w:eastAsia="宋体" w:cs="Times New Roman"/>
                      <w:color w:val="auto"/>
                      <w:spacing w:val="0"/>
                      <w:sz w:val="21"/>
                      <w:szCs w:val="21"/>
                      <w:highlight w:val="none"/>
                      <w:lang w:eastAsia="zh-CN"/>
                    </w:rPr>
                    <w:t>完成</w:t>
                  </w:r>
                  <w:r>
                    <w:rPr>
                      <w:rFonts w:hint="default" w:ascii="Times New Roman" w:hAnsi="Times New Roman" w:eastAsia="宋体" w:cs="Times New Roman"/>
                      <w:color w:val="auto"/>
                      <w:spacing w:val="0"/>
                      <w:sz w:val="21"/>
                      <w:szCs w:val="21"/>
                      <w:highlight w:val="none"/>
                      <w:lang w:eastAsia="zh-CN"/>
                    </w:rPr>
                    <w:t>后防渗层厚度大于</w:t>
                  </w:r>
                  <w:r>
                    <w:rPr>
                      <w:rFonts w:hint="default" w:ascii="Times New Roman" w:hAnsi="Times New Roman" w:eastAsia="宋体" w:cs="Times New Roman"/>
                      <w:color w:val="auto"/>
                      <w:spacing w:val="0"/>
                      <w:sz w:val="21"/>
                      <w:szCs w:val="21"/>
                      <w:highlight w:val="none"/>
                      <w:lang w:val="en-US" w:eastAsia="zh-CN"/>
                    </w:rPr>
                    <w:t>2mm，在施工过程中加强施工管理，确保工程质量</w:t>
                  </w:r>
                  <w:r>
                    <w:rPr>
                      <w:rFonts w:hint="default" w:ascii="Times New Roman" w:hAnsi="Times New Roman" w:eastAsia="宋体" w:cs="Times New Roman"/>
                      <w:color w:val="auto"/>
                      <w:spacing w:val="0"/>
                      <w:sz w:val="21"/>
                      <w:szCs w:val="21"/>
                      <w:highlight w:val="none"/>
                      <w:lang w:eastAsia="zh-CN"/>
                    </w:rPr>
                    <w:t>。</w:t>
                  </w:r>
                </w:p>
                <w:p w14:paraId="7D9082AE">
                  <w:pPr>
                    <w:keepNext w:val="0"/>
                    <w:pageBreakBefore w:val="0"/>
                    <w:widowControl w:val="0"/>
                    <w:kinsoku/>
                    <w:wordWrap/>
                    <w:overflowPunct/>
                    <w:topLinePunct w:val="0"/>
                    <w:autoSpaceDE/>
                    <w:autoSpaceDN/>
                    <w:bidi w:val="0"/>
                    <w:adjustRightInd w:val="0"/>
                    <w:snapToGrid w:val="0"/>
                    <w:spacing w:line="240" w:lineRule="auto"/>
                    <w:ind w:right="0"/>
                    <w:jc w:val="both"/>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（2）对入库的危险废物应加强管理，设置管理台账</w:t>
                  </w:r>
                  <w:r>
                    <w:rPr>
                      <w:rFonts w:hint="default" w:ascii="Times New Roman" w:hAnsi="Times New Roman" w:eastAsia="宋体" w:cs="Times New Roman"/>
                      <w:color w:val="auto"/>
                      <w:spacing w:val="0"/>
                      <w:sz w:val="21"/>
                      <w:szCs w:val="21"/>
                      <w:highlight w:val="none"/>
                      <w:lang w:eastAsia="zh-CN"/>
                    </w:rPr>
                    <w:t>。</w:t>
                  </w:r>
                </w:p>
                <w:p w14:paraId="34A19894">
                  <w:pPr>
                    <w:keepNext w:val="0"/>
                    <w:pageBreakBefore w:val="0"/>
                    <w:widowControl w:val="0"/>
                    <w:kinsoku/>
                    <w:wordWrap/>
                    <w:overflowPunct/>
                    <w:topLinePunct w:val="0"/>
                    <w:autoSpaceDE/>
                    <w:autoSpaceDN/>
                    <w:bidi w:val="0"/>
                    <w:adjustRightInd w:val="0"/>
                    <w:snapToGrid w:val="0"/>
                    <w:spacing w:line="240" w:lineRule="auto"/>
                    <w:ind w:right="0"/>
                    <w:jc w:val="both"/>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eastAsia="zh-CN"/>
                    </w:rPr>
                    <w:t>）《建筑设计防火规范》（GB50016-201</w:t>
                  </w:r>
                  <w:r>
                    <w:rPr>
                      <w:rFonts w:hint="default" w:ascii="Times New Roman" w:hAnsi="Times New Roman" w:eastAsia="宋体" w:cs="Times New Roman"/>
                      <w:color w:val="auto"/>
                      <w:spacing w:val="0"/>
                      <w:sz w:val="21"/>
                      <w:szCs w:val="21"/>
                      <w:highlight w:val="none"/>
                      <w:lang w:val="en-US" w:eastAsia="zh-CN"/>
                    </w:rPr>
                    <w:t>4（2018年版</w:t>
                  </w:r>
                  <w:r>
                    <w:rPr>
                      <w:rFonts w:hint="default" w:ascii="Times New Roman" w:hAnsi="Times New Roman" w:eastAsia="宋体" w:cs="Times New Roman"/>
                      <w:color w:val="auto"/>
                      <w:spacing w:val="0"/>
                      <w:sz w:val="21"/>
                      <w:szCs w:val="21"/>
                      <w:highlight w:val="none"/>
                      <w:lang w:eastAsia="zh-CN"/>
                    </w:rPr>
                    <w:t>）本项目</w:t>
                  </w:r>
                  <w:r>
                    <w:rPr>
                      <w:rFonts w:hint="default" w:ascii="Times New Roman" w:hAnsi="Times New Roman" w:eastAsia="宋体" w:cs="Times New Roman"/>
                      <w:color w:val="auto"/>
                      <w:spacing w:val="0"/>
                      <w:sz w:val="21"/>
                      <w:szCs w:val="21"/>
                      <w:highlight w:val="none"/>
                      <w:lang w:val="en-US" w:eastAsia="zh-CN"/>
                    </w:rPr>
                    <w:t>存储物品中可燃物品为丙类，因此需设置10m防火间距作为安全防护距离。</w:t>
                  </w:r>
                </w:p>
                <w:p w14:paraId="3955C2BD">
                  <w:pPr>
                    <w:keepNext w:val="0"/>
                    <w:pageBreakBefore w:val="0"/>
                    <w:widowControl w:val="0"/>
                    <w:kinsoku/>
                    <w:wordWrap/>
                    <w:overflowPunct/>
                    <w:topLinePunct w:val="0"/>
                    <w:autoSpaceDE/>
                    <w:autoSpaceDN/>
                    <w:bidi w:val="0"/>
                    <w:adjustRightInd w:val="0"/>
                    <w:snapToGrid w:val="0"/>
                    <w:spacing w:line="240" w:lineRule="auto"/>
                    <w:jc w:val="both"/>
                    <w:rPr>
                      <w:rFonts w:hint="default"/>
                      <w:color w:val="auto"/>
                      <w:highlight w:val="none"/>
                      <w:lang w:val="en-US" w:eastAsia="zh-CN"/>
                    </w:rPr>
                  </w:pP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危险废物暂存库</w:t>
                  </w:r>
                  <w:r>
                    <w:rPr>
                      <w:rFonts w:hint="default" w:ascii="Times New Roman" w:hAnsi="Times New Roman" w:eastAsia="宋体" w:cs="Times New Roman"/>
                      <w:color w:val="auto"/>
                      <w:spacing w:val="0"/>
                      <w:sz w:val="21"/>
                      <w:szCs w:val="21"/>
                      <w:highlight w:val="none"/>
                      <w:lang w:eastAsia="zh-CN"/>
                    </w:rPr>
                    <w:t>设置</w:t>
                  </w:r>
                  <w:r>
                    <w:rPr>
                      <w:rFonts w:hint="default" w:ascii="Times New Roman" w:hAnsi="Times New Roman" w:eastAsia="宋体" w:cs="Times New Roman"/>
                      <w:color w:val="auto"/>
                      <w:spacing w:val="0"/>
                      <w:sz w:val="21"/>
                      <w:szCs w:val="21"/>
                      <w:highlight w:val="none"/>
                      <w:lang w:val="en-US" w:eastAsia="zh-CN"/>
                    </w:rPr>
                    <w:t>安全照明设施和观察窗口</w:t>
                  </w:r>
                  <w:r>
                    <w:rPr>
                      <w:rFonts w:hint="default" w:ascii="Times New Roman" w:hAnsi="Times New Roman" w:eastAsia="宋体" w:cs="Times New Roman"/>
                      <w:color w:val="auto"/>
                      <w:spacing w:val="0"/>
                      <w:sz w:val="21"/>
                      <w:szCs w:val="21"/>
                      <w:highlight w:val="none"/>
                      <w:lang w:eastAsia="zh-CN"/>
                    </w:rPr>
                    <w:t>。</w:t>
                  </w:r>
                </w:p>
              </w:tc>
            </w:tr>
          </w:tbl>
          <w:p w14:paraId="1116ECA3">
            <w:pPr>
              <w:keepNext w:val="0"/>
              <w:keepLines w:val="0"/>
              <w:pageBreakBefore w:val="0"/>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cs="Times New Roman" w:eastAsiaTheme="minorEastAsia"/>
                <w:b/>
                <w:bCs/>
                <w:color w:val="auto"/>
                <w:spacing w:val="0"/>
                <w:sz w:val="24"/>
                <w:szCs w:val="24"/>
                <w:highlight w:val="none"/>
                <w:lang w:val="en-US" w:eastAsia="zh-CN"/>
              </w:rPr>
              <w:t>八、</w:t>
            </w:r>
            <w:r>
              <w:rPr>
                <w:rFonts w:hint="default" w:ascii="Times New Roman" w:hAnsi="Times New Roman" w:eastAsia="宋体" w:cs="Times New Roman"/>
                <w:b/>
                <w:bCs/>
                <w:color w:val="auto"/>
                <w:spacing w:val="0"/>
                <w:sz w:val="24"/>
                <w:szCs w:val="24"/>
                <w:highlight w:val="none"/>
                <w:lang w:val="en-US" w:eastAsia="zh-CN"/>
              </w:rPr>
              <w:t>排污口规范化</w:t>
            </w:r>
          </w:p>
          <w:p w14:paraId="2273413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（1）按照国家相关的规定，应如实向环境管理部门申报排污口数量、位置及所排放的主要污染物或产生公害的种类、数量、浓度、排放去向等情况。</w:t>
            </w:r>
          </w:p>
          <w:p w14:paraId="6B4FE8F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（2）本项目的废水排放口处设立明显的排口标志及装备污水流量计；</w:t>
            </w:r>
          </w:p>
          <w:p w14:paraId="1F984B7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（3）对于固体废弃物，应当设置暂时贮存或堆放场所，堆放场地或贮存设施必须有防雨水淋洗冲刷、防流失、防渗漏等措施，贮存（堆放）处进路口应设置标志牌。</w:t>
            </w:r>
          </w:p>
          <w:p w14:paraId="00BC7F2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4）本项目的工程设计在污染物排放口（源）设置监测用的采样口，采样口的设计应符合《污染源监测技术规范》要求并便于采样监测。同时必须按《环境保护图形标志—排放口（源）》（GB15562.1-1995）规定的图形，在各气、水、声排污口（源）挂牌标识，做到各排污口（源）的环保标志明显，便于企业管理和公众监督。</w:t>
            </w:r>
          </w:p>
          <w:p w14:paraId="43A28B5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按照《环境保护图形标志排放口（源）》（GBl5562.1—1995）中有关规定，在本工程的“三废”及噪声等污染排放点设置明显标志，规范排污口的标志，排放口图形标志见表4-20。</w:t>
            </w:r>
          </w:p>
          <w:p w14:paraId="38613F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表4-20</w:t>
            </w:r>
            <w:r>
              <w:rPr>
                <w:rFonts w:hint="default" w:ascii="Times New Roman" w:hAnsi="Times New Roman" w:eastAsia="宋体" w:cs="Times New Roman"/>
                <w:b/>
                <w:bCs/>
                <w:color w:val="auto"/>
                <w:spacing w:val="0"/>
                <w:sz w:val="21"/>
                <w:szCs w:val="21"/>
                <w:highlight w:val="none"/>
              </w:rPr>
              <w:t xml:space="preserve">  排放口图形标志</w:t>
            </w:r>
            <w:r>
              <w:rPr>
                <w:rFonts w:hint="default" w:ascii="Times New Roman" w:hAnsi="Times New Roman" w:eastAsia="宋体" w:cs="Times New Roman"/>
                <w:b/>
                <w:bCs/>
                <w:color w:val="auto"/>
                <w:spacing w:val="0"/>
                <w:sz w:val="21"/>
                <w:szCs w:val="21"/>
                <w:highlight w:val="none"/>
                <w:lang w:val="en-US" w:eastAsia="zh-CN"/>
              </w:rPr>
              <w:t>一览表</w:t>
            </w:r>
          </w:p>
          <w:tbl>
            <w:tblPr>
              <w:tblStyle w:val="29"/>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923"/>
              <w:gridCol w:w="1524"/>
              <w:gridCol w:w="1524"/>
              <w:gridCol w:w="1481"/>
              <w:gridCol w:w="1509"/>
              <w:gridCol w:w="1567"/>
            </w:tblGrid>
            <w:tr w14:paraId="79D0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541" w:type="pct"/>
                  <w:tcBorders>
                    <w:tl2br w:val="nil"/>
                    <w:tr2bl w:val="nil"/>
                  </w:tcBorders>
                  <w:noWrap w:val="0"/>
                  <w:vAlign w:val="center"/>
                </w:tcPr>
                <w:p w14:paraId="2897ED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排污口</w:t>
                  </w:r>
                </w:p>
              </w:tc>
              <w:tc>
                <w:tcPr>
                  <w:tcW w:w="893" w:type="pct"/>
                  <w:tcBorders>
                    <w:tl2br w:val="nil"/>
                    <w:tr2bl w:val="nil"/>
                  </w:tcBorders>
                  <w:noWrap w:val="0"/>
                  <w:vAlign w:val="center"/>
                </w:tcPr>
                <w:p w14:paraId="20A50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废水排放口</w:t>
                  </w:r>
                </w:p>
              </w:tc>
              <w:tc>
                <w:tcPr>
                  <w:tcW w:w="893" w:type="pct"/>
                  <w:tcBorders>
                    <w:tl2br w:val="nil"/>
                    <w:tr2bl w:val="nil"/>
                  </w:tcBorders>
                  <w:noWrap w:val="0"/>
                  <w:vAlign w:val="center"/>
                </w:tcPr>
                <w:p w14:paraId="61E155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废气排放口</w:t>
                  </w:r>
                </w:p>
              </w:tc>
              <w:tc>
                <w:tcPr>
                  <w:tcW w:w="868" w:type="pct"/>
                  <w:tcBorders>
                    <w:tl2br w:val="nil"/>
                    <w:tr2bl w:val="nil"/>
                  </w:tcBorders>
                  <w:noWrap w:val="0"/>
                  <w:vAlign w:val="center"/>
                </w:tcPr>
                <w:p w14:paraId="572E4B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噪声源</w:t>
                  </w:r>
                </w:p>
              </w:tc>
              <w:tc>
                <w:tcPr>
                  <w:tcW w:w="884" w:type="pct"/>
                  <w:tcBorders>
                    <w:tl2br w:val="nil"/>
                    <w:tr2bl w:val="nil"/>
                  </w:tcBorders>
                  <w:noWrap w:val="0"/>
                  <w:vAlign w:val="center"/>
                </w:tcPr>
                <w:p w14:paraId="66F4BF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固废堆场</w:t>
                  </w:r>
                </w:p>
              </w:tc>
              <w:tc>
                <w:tcPr>
                  <w:tcW w:w="918" w:type="pct"/>
                  <w:tcBorders>
                    <w:tl2br w:val="nil"/>
                    <w:tr2bl w:val="nil"/>
                  </w:tcBorders>
                  <w:noWrap w:val="0"/>
                  <w:vAlign w:val="center"/>
                </w:tcPr>
                <w:p w14:paraId="152B75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危废暂存间</w:t>
                  </w:r>
                </w:p>
              </w:tc>
            </w:tr>
            <w:tr w14:paraId="1844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3" w:hRule="atLeast"/>
              </w:trPr>
              <w:tc>
                <w:tcPr>
                  <w:tcW w:w="541" w:type="pct"/>
                  <w:tcBorders>
                    <w:tl2br w:val="nil"/>
                    <w:tr2bl w:val="nil"/>
                  </w:tcBorders>
                  <w:noWrap w:val="0"/>
                  <w:vAlign w:val="center"/>
                </w:tcPr>
                <w:p w14:paraId="78D19E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图形</w:t>
                  </w:r>
                </w:p>
                <w:p w14:paraId="18E642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符号</w:t>
                  </w:r>
                </w:p>
              </w:tc>
              <w:tc>
                <w:tcPr>
                  <w:tcW w:w="893" w:type="pct"/>
                  <w:tcBorders>
                    <w:tl2br w:val="nil"/>
                    <w:tr2bl w:val="nil"/>
                  </w:tcBorders>
                  <w:noWrap w:val="0"/>
                  <w:vAlign w:val="center"/>
                </w:tcPr>
                <w:p w14:paraId="33DA72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drawing>
                      <wp:inline distT="0" distB="0" distL="114300" distR="114300">
                        <wp:extent cx="830580" cy="830580"/>
                        <wp:effectExtent l="0" t="0" r="7620" b="762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33"/>
                                <a:stretch>
                                  <a:fillRect/>
                                </a:stretch>
                              </pic:blipFill>
                              <pic:spPr>
                                <a:xfrm>
                                  <a:off x="0" y="0"/>
                                  <a:ext cx="830580" cy="830580"/>
                                </a:xfrm>
                                <a:prstGeom prst="rect">
                                  <a:avLst/>
                                </a:prstGeom>
                                <a:noFill/>
                                <a:ln>
                                  <a:noFill/>
                                </a:ln>
                              </pic:spPr>
                            </pic:pic>
                          </a:graphicData>
                        </a:graphic>
                      </wp:inline>
                    </w:drawing>
                  </w:r>
                </w:p>
              </w:tc>
              <w:tc>
                <w:tcPr>
                  <w:tcW w:w="893" w:type="pct"/>
                  <w:tcBorders>
                    <w:tl2br w:val="nil"/>
                    <w:tr2bl w:val="nil"/>
                  </w:tcBorders>
                  <w:noWrap w:val="0"/>
                  <w:vAlign w:val="center"/>
                </w:tcPr>
                <w:p w14:paraId="682D4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drawing>
                      <wp:inline distT="0" distB="0" distL="114300" distR="114300">
                        <wp:extent cx="830580" cy="830580"/>
                        <wp:effectExtent l="0" t="0" r="7620" b="762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34"/>
                                <a:stretch>
                                  <a:fillRect/>
                                </a:stretch>
                              </pic:blipFill>
                              <pic:spPr>
                                <a:xfrm>
                                  <a:off x="0" y="0"/>
                                  <a:ext cx="830580" cy="830580"/>
                                </a:xfrm>
                                <a:prstGeom prst="rect">
                                  <a:avLst/>
                                </a:prstGeom>
                                <a:noFill/>
                                <a:ln>
                                  <a:noFill/>
                                </a:ln>
                              </pic:spPr>
                            </pic:pic>
                          </a:graphicData>
                        </a:graphic>
                      </wp:inline>
                    </w:drawing>
                  </w:r>
                </w:p>
              </w:tc>
              <w:tc>
                <w:tcPr>
                  <w:tcW w:w="868" w:type="pct"/>
                  <w:tcBorders>
                    <w:tl2br w:val="nil"/>
                    <w:tr2bl w:val="nil"/>
                  </w:tcBorders>
                  <w:noWrap w:val="0"/>
                  <w:vAlign w:val="center"/>
                </w:tcPr>
                <w:p w14:paraId="09E921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drawing>
                      <wp:inline distT="0" distB="0" distL="114300" distR="114300">
                        <wp:extent cx="803275" cy="803275"/>
                        <wp:effectExtent l="0" t="0" r="15875" b="1587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35"/>
                                <a:stretch>
                                  <a:fillRect/>
                                </a:stretch>
                              </pic:blipFill>
                              <pic:spPr>
                                <a:xfrm>
                                  <a:off x="0" y="0"/>
                                  <a:ext cx="803275" cy="803275"/>
                                </a:xfrm>
                                <a:prstGeom prst="rect">
                                  <a:avLst/>
                                </a:prstGeom>
                                <a:noFill/>
                                <a:ln>
                                  <a:noFill/>
                                </a:ln>
                              </pic:spPr>
                            </pic:pic>
                          </a:graphicData>
                        </a:graphic>
                      </wp:inline>
                    </w:drawing>
                  </w:r>
                </w:p>
              </w:tc>
              <w:tc>
                <w:tcPr>
                  <w:tcW w:w="884" w:type="pct"/>
                  <w:tcBorders>
                    <w:tl2br w:val="nil"/>
                    <w:tr2bl w:val="nil"/>
                  </w:tcBorders>
                  <w:noWrap w:val="0"/>
                  <w:vAlign w:val="center"/>
                </w:tcPr>
                <w:p w14:paraId="6FB6A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drawing>
                      <wp:inline distT="0" distB="0" distL="114300" distR="114300">
                        <wp:extent cx="820420" cy="820420"/>
                        <wp:effectExtent l="0" t="0" r="17780" b="177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36"/>
                                <a:stretch>
                                  <a:fillRect/>
                                </a:stretch>
                              </pic:blipFill>
                              <pic:spPr>
                                <a:xfrm>
                                  <a:off x="0" y="0"/>
                                  <a:ext cx="820420" cy="820420"/>
                                </a:xfrm>
                                <a:prstGeom prst="rect">
                                  <a:avLst/>
                                </a:prstGeom>
                                <a:noFill/>
                                <a:ln>
                                  <a:noFill/>
                                </a:ln>
                              </pic:spPr>
                            </pic:pic>
                          </a:graphicData>
                        </a:graphic>
                      </wp:inline>
                    </w:drawing>
                  </w:r>
                </w:p>
              </w:tc>
              <w:tc>
                <w:tcPr>
                  <w:tcW w:w="918" w:type="pct"/>
                  <w:tcBorders>
                    <w:tl2br w:val="nil"/>
                    <w:tr2bl w:val="nil"/>
                  </w:tcBorders>
                  <w:noWrap w:val="0"/>
                  <w:vAlign w:val="center"/>
                </w:tcPr>
                <w:p w14:paraId="327CF4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highlight w:val="none"/>
                    </w:rPr>
                    <w:drawing>
                      <wp:inline distT="0" distB="0" distL="114300" distR="114300">
                        <wp:extent cx="805180" cy="810895"/>
                        <wp:effectExtent l="0" t="0" r="2540" b="1206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37"/>
                                <a:stretch>
                                  <a:fillRect/>
                                </a:stretch>
                              </pic:blipFill>
                              <pic:spPr>
                                <a:xfrm>
                                  <a:off x="0" y="0"/>
                                  <a:ext cx="805180" cy="810895"/>
                                </a:xfrm>
                                <a:prstGeom prst="rect">
                                  <a:avLst/>
                                </a:prstGeom>
                                <a:noFill/>
                                <a:ln>
                                  <a:noFill/>
                                </a:ln>
                              </pic:spPr>
                            </pic:pic>
                          </a:graphicData>
                        </a:graphic>
                      </wp:inline>
                    </w:drawing>
                  </w:r>
                </w:p>
              </w:tc>
            </w:tr>
          </w:tbl>
          <w:p w14:paraId="4A9DBEB7">
            <w:pPr>
              <w:pStyle w:val="56"/>
              <w:keepNext w:val="0"/>
              <w:keepLines w:val="0"/>
              <w:pageBreakBefore w:val="0"/>
              <w:widowControl/>
              <w:kinsoku/>
              <w:wordWrap/>
              <w:overflowPunct/>
              <w:topLinePunct w:val="0"/>
              <w:autoSpaceDE w:val="0"/>
              <w:autoSpaceDN w:val="0"/>
              <w:bidi w:val="0"/>
              <w:adjustRightInd w:val="0"/>
              <w:snapToGrid w:val="0"/>
              <w:spacing w:before="0" w:beforeLines="50" w:beforeAutospacing="0" w:afterAutospacing="0"/>
              <w:ind w:left="0" w:leftChars="0" w:right="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九、</w:t>
            </w:r>
            <w:r>
              <w:rPr>
                <w:rFonts w:hint="default" w:ascii="Times New Roman" w:hAnsi="Times New Roman" w:eastAsia="宋体" w:cs="Times New Roman"/>
                <w:color w:val="auto"/>
                <w:highlight w:val="none"/>
              </w:rPr>
              <w:t>环保投资</w:t>
            </w:r>
          </w:p>
          <w:p w14:paraId="2D319CB6">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本项目总投资</w:t>
            </w:r>
            <w:r>
              <w:rPr>
                <w:rFonts w:hint="default" w:ascii="Times New Roman" w:hAnsi="Times New Roman" w:eastAsia="宋体" w:cs="Times New Roman"/>
                <w:color w:val="auto"/>
                <w:sz w:val="24"/>
                <w:szCs w:val="24"/>
                <w:highlight w:val="none"/>
                <w:lang w:val="en-US" w:eastAsia="zh-CN"/>
              </w:rPr>
              <w:t>2500</w:t>
            </w:r>
            <w:r>
              <w:rPr>
                <w:rFonts w:hint="default" w:ascii="Times New Roman" w:hAnsi="Times New Roman" w:eastAsia="宋体" w:cs="Times New Roman"/>
                <w:color w:val="auto"/>
                <w:highlight w:val="none"/>
              </w:rPr>
              <w:t>万元，其中环保投资</w:t>
            </w:r>
            <w:r>
              <w:rPr>
                <w:rFonts w:hint="default" w:ascii="Times New Roman" w:hAnsi="Times New Roman" w:eastAsia="宋体" w:cs="Times New Roman"/>
                <w:color w:val="auto"/>
                <w:highlight w:val="none"/>
                <w:lang w:val="en-US" w:eastAsia="zh-CN"/>
              </w:rPr>
              <w:t>99</w:t>
            </w:r>
            <w:r>
              <w:rPr>
                <w:rFonts w:hint="default" w:ascii="Times New Roman" w:hAnsi="Times New Roman" w:eastAsia="宋体" w:cs="Times New Roman"/>
                <w:color w:val="auto"/>
                <w:highlight w:val="none"/>
              </w:rPr>
              <w:t>万元，占比</w:t>
            </w:r>
            <w:r>
              <w:rPr>
                <w:rFonts w:hint="default" w:ascii="Times New Roman" w:hAnsi="Times New Roman" w:eastAsia="宋体" w:cs="Times New Roman"/>
                <w:color w:val="auto"/>
                <w:highlight w:val="none"/>
                <w:lang w:val="en-US" w:eastAsia="zh-CN"/>
              </w:rPr>
              <w:t>3.96</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，具体环保投资见表4-</w:t>
            </w:r>
            <w:r>
              <w:rPr>
                <w:rFonts w:hint="default" w:ascii="Times New Roman" w:hAnsi="Times New Roman" w:eastAsia="宋体" w:cs="Times New Roman"/>
                <w:color w:val="auto"/>
                <w:highlight w:val="none"/>
                <w:lang w:val="en-US" w:eastAsia="zh-CN"/>
              </w:rPr>
              <w:t>21</w:t>
            </w:r>
            <w:r>
              <w:rPr>
                <w:rFonts w:hint="default" w:ascii="Times New Roman" w:hAnsi="Times New Roman" w:eastAsia="宋体" w:cs="Times New Roman"/>
                <w:color w:val="auto"/>
                <w:highlight w:val="none"/>
              </w:rPr>
              <w:t>。</w:t>
            </w:r>
          </w:p>
          <w:p w14:paraId="1CBA6220">
            <w:pPr>
              <w:pStyle w:val="53"/>
              <w:keepNext w:val="0"/>
              <w:keepLines w:val="0"/>
              <w:pageBreakBefore w:val="0"/>
              <w:kinsoku/>
              <w:wordWrap/>
              <w:overflowPunct/>
              <w:topLinePunct w:val="0"/>
              <w:bidi w:val="0"/>
              <w:adjustRightInd w:val="0"/>
              <w:snapToGrid w:val="0"/>
              <w:spacing w:before="0" w:beforeAutospacing="0" w:afterAutospacing="0"/>
              <w:ind w:left="0" w:leftChars="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表4</w:t>
            </w:r>
            <w:r>
              <w:rPr>
                <w:rFonts w:hint="default" w:ascii="Times New Roman" w:hAnsi="Times New Roman" w:eastAsia="宋体" w:cs="Times New Roman"/>
                <w:color w:val="auto"/>
                <w:sz w:val="21"/>
                <w:szCs w:val="21"/>
                <w:highlight w:val="none"/>
                <w:lang w:val="en-US" w:eastAsia="zh-CN"/>
              </w:rPr>
              <w:t>-21</w:t>
            </w:r>
            <w:r>
              <w:rPr>
                <w:rFonts w:hint="default" w:ascii="Times New Roman" w:hAnsi="Times New Roman" w:eastAsia="宋体" w:cs="Times New Roman"/>
                <w:color w:val="auto"/>
                <w:sz w:val="21"/>
                <w:szCs w:val="21"/>
                <w:highlight w:val="none"/>
              </w:rPr>
              <w:t xml:space="preserve">  环保投资一览表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00"/>
              <w:gridCol w:w="1281"/>
              <w:gridCol w:w="3648"/>
              <w:gridCol w:w="1134"/>
              <w:gridCol w:w="1135"/>
            </w:tblGrid>
            <w:tr w14:paraId="605C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vAlign w:val="center"/>
                </w:tcPr>
                <w:p w14:paraId="1580D65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时段</w:t>
                  </w:r>
                </w:p>
              </w:tc>
              <w:tc>
                <w:tcPr>
                  <w:tcW w:w="1103" w:type="pct"/>
                  <w:gridSpan w:val="2"/>
                  <w:tcBorders>
                    <w:tl2br w:val="nil"/>
                    <w:tr2bl w:val="nil"/>
                  </w:tcBorders>
                  <w:vAlign w:val="center"/>
                </w:tcPr>
                <w:p w14:paraId="4C58870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项目</w:t>
                  </w:r>
                </w:p>
              </w:tc>
              <w:tc>
                <w:tcPr>
                  <w:tcW w:w="2137" w:type="pct"/>
                  <w:tcBorders>
                    <w:tl2br w:val="nil"/>
                    <w:tr2bl w:val="nil"/>
                  </w:tcBorders>
                  <w:vAlign w:val="center"/>
                </w:tcPr>
                <w:p w14:paraId="5832C9F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环保措施</w:t>
                  </w:r>
                </w:p>
              </w:tc>
              <w:tc>
                <w:tcPr>
                  <w:tcW w:w="665" w:type="pct"/>
                  <w:tcBorders>
                    <w:tl2br w:val="nil"/>
                    <w:tr2bl w:val="nil"/>
                  </w:tcBorders>
                  <w:vAlign w:val="center"/>
                </w:tcPr>
                <w:p w14:paraId="5C1134C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备注</w:t>
                  </w:r>
                </w:p>
              </w:tc>
              <w:tc>
                <w:tcPr>
                  <w:tcW w:w="665" w:type="pct"/>
                  <w:tcBorders>
                    <w:tl2br w:val="nil"/>
                    <w:tr2bl w:val="nil"/>
                  </w:tcBorders>
                  <w:vAlign w:val="center"/>
                </w:tcPr>
                <w:p w14:paraId="136620D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环保投资（万元）</w:t>
                  </w:r>
                </w:p>
              </w:tc>
            </w:tr>
            <w:tr w14:paraId="014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restart"/>
                  <w:tcBorders>
                    <w:tl2br w:val="nil"/>
                    <w:tr2bl w:val="nil"/>
                  </w:tcBorders>
                  <w:vAlign w:val="center"/>
                </w:tcPr>
                <w:p w14:paraId="06C92C9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运营期</w:t>
                  </w:r>
                </w:p>
              </w:tc>
              <w:tc>
                <w:tcPr>
                  <w:tcW w:w="352" w:type="pct"/>
                  <w:vMerge w:val="restart"/>
                  <w:tcBorders>
                    <w:tl2br w:val="nil"/>
                    <w:tr2bl w:val="nil"/>
                  </w:tcBorders>
                  <w:vAlign w:val="center"/>
                </w:tcPr>
                <w:p w14:paraId="3C50ED3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750" w:type="pct"/>
                  <w:tcBorders>
                    <w:tl2br w:val="nil"/>
                    <w:tr2bl w:val="nil"/>
                  </w:tcBorders>
                  <w:vAlign w:val="center"/>
                </w:tcPr>
                <w:p w14:paraId="2EFA488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切割、喷砂工序废气</w:t>
                  </w:r>
                </w:p>
              </w:tc>
              <w:tc>
                <w:tcPr>
                  <w:tcW w:w="2137" w:type="pct"/>
                  <w:tcBorders>
                    <w:tl2br w:val="nil"/>
                    <w:tr2bl w:val="nil"/>
                  </w:tcBorders>
                  <w:vAlign w:val="center"/>
                </w:tcPr>
                <w:p w14:paraId="73B9224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布袋除尘器</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1根</w:t>
                  </w:r>
                  <w:r>
                    <w:rPr>
                      <w:rFonts w:hint="default"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m排气筒</w:t>
                  </w:r>
                </w:p>
              </w:tc>
              <w:tc>
                <w:tcPr>
                  <w:tcW w:w="665" w:type="pct"/>
                  <w:tcBorders>
                    <w:tl2br w:val="nil"/>
                    <w:tr2bl w:val="nil"/>
                  </w:tcBorders>
                  <w:vAlign w:val="center"/>
                </w:tcPr>
                <w:p w14:paraId="7D65FB7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302843B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r>
            <w:tr w14:paraId="590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39EB3A4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21A93BC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43AD773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焊接废气</w:t>
                  </w:r>
                </w:p>
              </w:tc>
              <w:tc>
                <w:tcPr>
                  <w:tcW w:w="2137" w:type="pct"/>
                  <w:tcBorders>
                    <w:tl2br w:val="nil"/>
                    <w:tr2bl w:val="nil"/>
                  </w:tcBorders>
                  <w:vAlign w:val="center"/>
                </w:tcPr>
                <w:p w14:paraId="3C8AD39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移动式烟尘净化器</w:t>
                  </w:r>
                </w:p>
              </w:tc>
              <w:tc>
                <w:tcPr>
                  <w:tcW w:w="665" w:type="pct"/>
                  <w:tcBorders>
                    <w:tl2br w:val="nil"/>
                    <w:tr2bl w:val="nil"/>
                  </w:tcBorders>
                  <w:vAlign w:val="center"/>
                </w:tcPr>
                <w:p w14:paraId="190EF9A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699C5D1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r>
            <w:tr w14:paraId="5B86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189E020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5BC516E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006872A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热风炉废气</w:t>
                  </w:r>
                </w:p>
              </w:tc>
              <w:tc>
                <w:tcPr>
                  <w:tcW w:w="2137" w:type="pct"/>
                  <w:tcBorders>
                    <w:tl2br w:val="nil"/>
                    <w:tr2bl w:val="nil"/>
                  </w:tcBorders>
                  <w:vAlign w:val="center"/>
                </w:tcPr>
                <w:p w14:paraId="6314D92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2台</w:t>
                  </w:r>
                  <w:r>
                    <w:rPr>
                      <w:rFonts w:hint="default" w:ascii="Times New Roman" w:hAnsi="Times New Roman" w:eastAsia="宋体" w:cs="Times New Roman"/>
                      <w:color w:val="auto"/>
                      <w:sz w:val="21"/>
                      <w:szCs w:val="21"/>
                      <w:highlight w:val="none"/>
                      <w:lang w:val="en-US" w:eastAsia="zh-CN"/>
                    </w:rPr>
                    <w:t>低氮燃烧器+</w:t>
                  </w:r>
                  <w:r>
                    <w:rPr>
                      <w:rFonts w:hint="eastAsia" w:ascii="Times New Roman" w:hAnsi="Times New Roman" w:eastAsia="宋体" w:cs="Times New Roman"/>
                      <w:color w:val="auto"/>
                      <w:sz w:val="21"/>
                      <w:szCs w:val="21"/>
                      <w:highlight w:val="none"/>
                      <w:lang w:val="en-US" w:eastAsia="zh-CN"/>
                    </w:rPr>
                    <w:t>2根</w:t>
                  </w:r>
                  <w:r>
                    <w:rPr>
                      <w:rFonts w:hint="default" w:ascii="Times New Roman" w:hAnsi="Times New Roman" w:eastAsia="宋体" w:cs="Times New Roman"/>
                      <w:color w:val="auto"/>
                      <w:sz w:val="21"/>
                      <w:szCs w:val="21"/>
                      <w:highlight w:val="none"/>
                      <w:lang w:val="en-US" w:eastAsia="zh-CN"/>
                    </w:rPr>
                    <w:t>15m排气筒</w:t>
                  </w:r>
                </w:p>
              </w:tc>
              <w:tc>
                <w:tcPr>
                  <w:tcW w:w="665" w:type="pct"/>
                  <w:tcBorders>
                    <w:tl2br w:val="nil"/>
                    <w:tr2bl w:val="nil"/>
                  </w:tcBorders>
                  <w:vAlign w:val="center"/>
                </w:tcPr>
                <w:p w14:paraId="3387F38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7FF1FFB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3FA6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0764BC1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01F1D77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7BC37D6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刷漆涂粉废气</w:t>
                  </w:r>
                </w:p>
              </w:tc>
              <w:tc>
                <w:tcPr>
                  <w:tcW w:w="2137" w:type="pct"/>
                  <w:tcBorders>
                    <w:tl2br w:val="nil"/>
                    <w:tr2bl w:val="nil"/>
                  </w:tcBorders>
                  <w:vAlign w:val="center"/>
                </w:tcPr>
                <w:p w14:paraId="0A51E29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活性炭吸附/</w:t>
                  </w:r>
                  <w:r>
                    <w:rPr>
                      <w:rFonts w:hint="eastAsia" w:ascii="Times New Roman" w:hAnsi="Times New Roman" w:eastAsia="宋体" w:cs="Times New Roman"/>
                      <w:color w:val="auto"/>
                      <w:sz w:val="21"/>
                      <w:szCs w:val="21"/>
                      <w:highlight w:val="none"/>
                      <w:lang w:val="en-US" w:eastAsia="zh-CN"/>
                    </w:rPr>
                    <w:t>脱附+</w:t>
                  </w:r>
                  <w:r>
                    <w:rPr>
                      <w:rFonts w:hint="default" w:ascii="Times New Roman" w:hAnsi="Times New Roman" w:eastAsia="宋体" w:cs="Times New Roman"/>
                      <w:color w:val="auto"/>
                      <w:sz w:val="21"/>
                      <w:szCs w:val="21"/>
                      <w:highlight w:val="none"/>
                      <w:lang w:val="en-US" w:eastAsia="zh-CN"/>
                    </w:rPr>
                    <w:t>催化燃烧设备+</w:t>
                  </w:r>
                  <w:r>
                    <w:rPr>
                      <w:rFonts w:hint="eastAsia" w:ascii="Times New Roman" w:hAnsi="Times New Roman" w:eastAsia="宋体" w:cs="Times New Roman"/>
                      <w:color w:val="auto"/>
                      <w:sz w:val="21"/>
                      <w:szCs w:val="21"/>
                      <w:highlight w:val="none"/>
                      <w:lang w:val="en-US" w:eastAsia="zh-CN"/>
                    </w:rPr>
                    <w:t>1根</w:t>
                  </w:r>
                  <w:r>
                    <w:rPr>
                      <w:rFonts w:hint="default" w:ascii="Times New Roman" w:hAnsi="Times New Roman" w:eastAsia="宋体" w:cs="Times New Roman"/>
                      <w:color w:val="auto"/>
                      <w:sz w:val="21"/>
                      <w:szCs w:val="21"/>
                      <w:highlight w:val="none"/>
                      <w:lang w:val="en-US" w:eastAsia="zh-CN"/>
                    </w:rPr>
                    <w:t>15m排气筒</w:t>
                  </w:r>
                </w:p>
              </w:tc>
              <w:tc>
                <w:tcPr>
                  <w:tcW w:w="665" w:type="pct"/>
                  <w:tcBorders>
                    <w:tl2br w:val="nil"/>
                    <w:tr2bl w:val="nil"/>
                  </w:tcBorders>
                  <w:vAlign w:val="center"/>
                </w:tcPr>
                <w:p w14:paraId="4503B50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29A3DCD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r>
            <w:tr w14:paraId="0FE2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535C854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tcBorders>
                    <w:tl2br w:val="nil"/>
                    <w:tr2bl w:val="nil"/>
                  </w:tcBorders>
                  <w:vAlign w:val="center"/>
                </w:tcPr>
                <w:p w14:paraId="6AB7864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750" w:type="pct"/>
                  <w:tcBorders>
                    <w:tl2br w:val="nil"/>
                    <w:tr2bl w:val="nil"/>
                  </w:tcBorders>
                  <w:vAlign w:val="center"/>
                </w:tcPr>
                <w:p w14:paraId="016C7CA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设备</w:t>
                  </w:r>
                </w:p>
              </w:tc>
              <w:tc>
                <w:tcPr>
                  <w:tcW w:w="2137" w:type="pct"/>
                  <w:tcBorders>
                    <w:tl2br w:val="nil"/>
                    <w:tr2bl w:val="nil"/>
                  </w:tcBorders>
                  <w:vAlign w:val="center"/>
                </w:tcPr>
                <w:p w14:paraId="2A15A96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采用低噪声设备</w:t>
                  </w:r>
                </w:p>
              </w:tc>
              <w:tc>
                <w:tcPr>
                  <w:tcW w:w="665" w:type="pct"/>
                  <w:tcBorders>
                    <w:tl2br w:val="nil"/>
                    <w:tr2bl w:val="nil"/>
                  </w:tcBorders>
                  <w:vAlign w:val="center"/>
                </w:tcPr>
                <w:p w14:paraId="25BF51A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已建</w:t>
                  </w:r>
                </w:p>
              </w:tc>
              <w:tc>
                <w:tcPr>
                  <w:tcW w:w="665" w:type="pct"/>
                  <w:tcBorders>
                    <w:tl2br w:val="nil"/>
                    <w:tr2bl w:val="nil"/>
                  </w:tcBorders>
                  <w:vAlign w:val="center"/>
                </w:tcPr>
                <w:p w14:paraId="7FAAF39D">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r>
            <w:tr w14:paraId="5952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50198BA2">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restart"/>
                  <w:tcBorders>
                    <w:tl2br w:val="nil"/>
                    <w:tr2bl w:val="nil"/>
                  </w:tcBorders>
                  <w:vAlign w:val="center"/>
                </w:tcPr>
                <w:p w14:paraId="31FCA6F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750" w:type="pct"/>
                  <w:tcBorders>
                    <w:tl2br w:val="nil"/>
                    <w:tr2bl w:val="nil"/>
                  </w:tcBorders>
                  <w:vAlign w:val="center"/>
                </w:tcPr>
                <w:p w14:paraId="09918A0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2137" w:type="pct"/>
                  <w:tcBorders>
                    <w:tl2br w:val="nil"/>
                    <w:tr2bl w:val="nil"/>
                  </w:tcBorders>
                  <w:vAlign w:val="center"/>
                </w:tcPr>
                <w:p w14:paraId="453ED9E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收集后由环卫部门定期清运</w:t>
                  </w:r>
                </w:p>
              </w:tc>
              <w:tc>
                <w:tcPr>
                  <w:tcW w:w="665" w:type="pct"/>
                  <w:tcBorders>
                    <w:tl2br w:val="nil"/>
                    <w:tr2bl w:val="nil"/>
                  </w:tcBorders>
                  <w:vAlign w:val="center"/>
                </w:tcPr>
                <w:p w14:paraId="4C0E384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已建</w:t>
                  </w:r>
                </w:p>
              </w:tc>
              <w:tc>
                <w:tcPr>
                  <w:tcW w:w="665" w:type="pct"/>
                  <w:tcBorders>
                    <w:tl2br w:val="nil"/>
                    <w:tr2bl w:val="nil"/>
                  </w:tcBorders>
                  <w:vAlign w:val="center"/>
                </w:tcPr>
                <w:p w14:paraId="638FA3E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r w14:paraId="242A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41EC05C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45DDEB2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7ECB7C7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一般固体废物</w:t>
                  </w:r>
                </w:p>
              </w:tc>
              <w:tc>
                <w:tcPr>
                  <w:tcW w:w="2137" w:type="pct"/>
                  <w:tcBorders>
                    <w:tl2br w:val="nil"/>
                    <w:tr2bl w:val="nil"/>
                  </w:tcBorders>
                  <w:vAlign w:val="center"/>
                </w:tcPr>
                <w:p w14:paraId="14D80E9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0"/>
                      <w:sz w:val="21"/>
                      <w:szCs w:val="21"/>
                      <w:highlight w:val="none"/>
                      <w:lang w:val="en-US" w:eastAsia="zh-CN"/>
                    </w:rPr>
                    <w:t>外售给废品回收站</w:t>
                  </w:r>
                </w:p>
              </w:tc>
              <w:tc>
                <w:tcPr>
                  <w:tcW w:w="665" w:type="pct"/>
                  <w:tcBorders>
                    <w:tl2br w:val="nil"/>
                    <w:tr2bl w:val="nil"/>
                  </w:tcBorders>
                  <w:vAlign w:val="center"/>
                </w:tcPr>
                <w:p w14:paraId="5009451D">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一般工业固废存放区，已建</w:t>
                  </w:r>
                </w:p>
              </w:tc>
              <w:tc>
                <w:tcPr>
                  <w:tcW w:w="665" w:type="pct"/>
                  <w:tcBorders>
                    <w:tl2br w:val="nil"/>
                    <w:tr2bl w:val="nil"/>
                  </w:tcBorders>
                  <w:vAlign w:val="center"/>
                </w:tcPr>
                <w:p w14:paraId="04F8158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33A3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6980188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35930BBD">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75C34C1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危险固废</w:t>
                  </w:r>
                </w:p>
              </w:tc>
              <w:tc>
                <w:tcPr>
                  <w:tcW w:w="2137" w:type="pct"/>
                  <w:tcBorders>
                    <w:tl2br w:val="nil"/>
                    <w:tr2bl w:val="nil"/>
                  </w:tcBorders>
                  <w:vAlign w:val="center"/>
                </w:tcPr>
                <w:p w14:paraId="299C7B2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0"/>
                      <w:sz w:val="21"/>
                      <w:szCs w:val="21"/>
                      <w:highlight w:val="none"/>
                    </w:rPr>
                    <w:t>交由有资质单位处置</w:t>
                  </w:r>
                </w:p>
              </w:tc>
              <w:tc>
                <w:tcPr>
                  <w:tcW w:w="665" w:type="pct"/>
                  <w:tcBorders>
                    <w:tl2br w:val="nil"/>
                    <w:tr2bl w:val="nil"/>
                  </w:tcBorders>
                  <w:vAlign w:val="center"/>
                </w:tcPr>
                <w:p w14:paraId="5EFF533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1FD3E37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r>
            <w:tr w14:paraId="5AED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34AC36D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352" w:type="pct"/>
                  <w:vMerge w:val="continue"/>
                  <w:tcBorders>
                    <w:tl2br w:val="nil"/>
                    <w:tr2bl w:val="nil"/>
                  </w:tcBorders>
                  <w:vAlign w:val="center"/>
                </w:tcPr>
                <w:p w14:paraId="2B3E8D0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750" w:type="pct"/>
                  <w:tcBorders>
                    <w:tl2br w:val="nil"/>
                    <w:tr2bl w:val="nil"/>
                  </w:tcBorders>
                  <w:vAlign w:val="center"/>
                </w:tcPr>
                <w:p w14:paraId="44D4673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危废暂存间</w:t>
                  </w:r>
                </w:p>
              </w:tc>
              <w:tc>
                <w:tcPr>
                  <w:tcW w:w="2137" w:type="pct"/>
                  <w:tcBorders>
                    <w:tl2br w:val="nil"/>
                    <w:tr2bl w:val="nil"/>
                  </w:tcBorders>
                  <w:vAlign w:val="center"/>
                </w:tcPr>
                <w:p w14:paraId="05164CD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position w:val="0"/>
                      <w:sz w:val="21"/>
                      <w:szCs w:val="21"/>
                      <w:highlight w:val="none"/>
                      <w:lang w:bidi="ar"/>
                    </w:rPr>
                    <w:t>等效黏土防渗层Mb≥6.0m，K≤1×10</w:t>
                  </w:r>
                  <w:r>
                    <w:rPr>
                      <w:rFonts w:hint="default" w:ascii="Times New Roman" w:hAnsi="Times New Roman" w:eastAsia="宋体" w:cs="Times New Roman"/>
                      <w:color w:val="auto"/>
                      <w:spacing w:val="0"/>
                      <w:position w:val="0"/>
                      <w:sz w:val="21"/>
                      <w:szCs w:val="21"/>
                      <w:highlight w:val="none"/>
                      <w:vertAlign w:val="superscript"/>
                      <w:lang w:bidi="ar"/>
                    </w:rPr>
                    <w:t>-7</w:t>
                  </w:r>
                  <w:r>
                    <w:rPr>
                      <w:rFonts w:hint="default" w:ascii="Times New Roman" w:hAnsi="Times New Roman" w:eastAsia="宋体" w:cs="Times New Roman"/>
                      <w:color w:val="auto"/>
                      <w:spacing w:val="0"/>
                      <w:position w:val="0"/>
                      <w:sz w:val="21"/>
                      <w:szCs w:val="21"/>
                      <w:highlight w:val="none"/>
                      <w:lang w:bidi="ar"/>
                    </w:rPr>
                    <w:t>cm/s；或参照GB18598执行</w:t>
                  </w:r>
                </w:p>
              </w:tc>
              <w:tc>
                <w:tcPr>
                  <w:tcW w:w="665" w:type="pct"/>
                  <w:tcBorders>
                    <w:tl2br w:val="nil"/>
                    <w:tr2bl w:val="nil"/>
                  </w:tcBorders>
                  <w:vAlign w:val="center"/>
                </w:tcPr>
                <w:p w14:paraId="4B657CF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新建，追加投资</w:t>
                  </w:r>
                </w:p>
              </w:tc>
              <w:tc>
                <w:tcPr>
                  <w:tcW w:w="665" w:type="pct"/>
                  <w:tcBorders>
                    <w:tl2br w:val="nil"/>
                    <w:tr2bl w:val="nil"/>
                  </w:tcBorders>
                  <w:vAlign w:val="center"/>
                </w:tcPr>
                <w:p w14:paraId="6CFB19C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r w14:paraId="0596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vAlign w:val="center"/>
                </w:tcPr>
                <w:p w14:paraId="4439B53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p>
              </w:tc>
              <w:tc>
                <w:tcPr>
                  <w:tcW w:w="1103" w:type="pct"/>
                  <w:gridSpan w:val="2"/>
                  <w:tcBorders>
                    <w:tl2br w:val="nil"/>
                    <w:tr2bl w:val="nil"/>
                  </w:tcBorders>
                  <w:vAlign w:val="center"/>
                </w:tcPr>
                <w:p w14:paraId="271F890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绿化</w:t>
                  </w:r>
                </w:p>
              </w:tc>
              <w:tc>
                <w:tcPr>
                  <w:tcW w:w="2137" w:type="pct"/>
                  <w:tcBorders>
                    <w:tl2br w:val="nil"/>
                    <w:tr2bl w:val="nil"/>
                  </w:tcBorders>
                  <w:vAlign w:val="center"/>
                </w:tcPr>
                <w:p w14:paraId="6D06DDB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厂区绿化</w:t>
                  </w:r>
                </w:p>
              </w:tc>
              <w:tc>
                <w:tcPr>
                  <w:tcW w:w="665" w:type="pct"/>
                  <w:tcBorders>
                    <w:tl2br w:val="nil"/>
                    <w:tr2bl w:val="nil"/>
                  </w:tcBorders>
                  <w:vAlign w:val="center"/>
                </w:tcPr>
                <w:p w14:paraId="35E6E2C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已建</w:t>
                  </w:r>
                </w:p>
              </w:tc>
              <w:tc>
                <w:tcPr>
                  <w:tcW w:w="665" w:type="pct"/>
                  <w:tcBorders>
                    <w:tl2br w:val="nil"/>
                    <w:tr2bl w:val="nil"/>
                  </w:tcBorders>
                  <w:vAlign w:val="center"/>
                </w:tcPr>
                <w:p w14:paraId="47F09C6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r>
            <w:tr w14:paraId="5D4B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pct"/>
                  <w:gridSpan w:val="4"/>
                  <w:tcBorders>
                    <w:tl2br w:val="nil"/>
                    <w:tr2bl w:val="nil"/>
                  </w:tcBorders>
                  <w:vAlign w:val="center"/>
                </w:tcPr>
                <w:p w14:paraId="7EEFCA4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合计</w:t>
                  </w:r>
                </w:p>
              </w:tc>
              <w:tc>
                <w:tcPr>
                  <w:tcW w:w="665" w:type="pct"/>
                  <w:tcBorders>
                    <w:tl2br w:val="nil"/>
                    <w:tr2bl w:val="nil"/>
                  </w:tcBorders>
                  <w:vAlign w:val="center"/>
                </w:tcPr>
                <w:p w14:paraId="0046D72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65" w:type="pct"/>
                  <w:tcBorders>
                    <w:tl2br w:val="nil"/>
                    <w:tr2bl w:val="nil"/>
                  </w:tcBorders>
                  <w:vAlign w:val="center"/>
                </w:tcPr>
                <w:p w14:paraId="6D54EE7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99</w:t>
                  </w:r>
                </w:p>
              </w:tc>
            </w:tr>
          </w:tbl>
          <w:p w14:paraId="3B20A8B7">
            <w:pPr>
              <w:pageBreakBefore w:val="0"/>
              <w:wordWrap/>
              <w:bidi w:val="0"/>
              <w:adjustRightInd w:val="0"/>
              <w:snapToGrid w:val="0"/>
              <w:rPr>
                <w:rFonts w:hint="default" w:ascii="Times New Roman" w:hAnsi="Times New Roman" w:cs="Times New Roman"/>
                <w:color w:val="auto"/>
                <w:highlight w:val="none"/>
                <w:lang w:val="en-US" w:eastAsia="zh-CN"/>
              </w:rPr>
            </w:pPr>
          </w:p>
        </w:tc>
      </w:tr>
    </w:tbl>
    <w:p w14:paraId="3E219351">
      <w:pPr>
        <w:keepNext w:val="0"/>
        <w:keepLines w:val="0"/>
        <w:pageBreakBefore w:val="0"/>
        <w:wordWrap/>
        <w:bidi w:val="0"/>
        <w:adjustRightInd w:val="0"/>
        <w:snapToGrid w:val="0"/>
        <w:rPr>
          <w:rFonts w:hint="default" w:ascii="Times New Roman" w:hAnsi="Times New Roman" w:cs="Times New Roman"/>
          <w:color w:val="auto"/>
          <w:highlight w:val="none"/>
        </w:rPr>
        <w:sectPr>
          <w:footerReference r:id="rId8" w:type="default"/>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64C6B8F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pacing w:val="16"/>
          <w:sz w:val="29"/>
          <w:szCs w:val="29"/>
          <w:highlight w:val="none"/>
        </w:rPr>
        <w:t>五</w:t>
      </w:r>
      <w:r>
        <w:rPr>
          <w:rFonts w:hint="default" w:ascii="Times New Roman" w:hAnsi="Times New Roman" w:eastAsia="黑体" w:cs="Times New Roman"/>
          <w:color w:val="auto"/>
          <w:spacing w:val="8"/>
          <w:sz w:val="29"/>
          <w:szCs w:val="29"/>
          <w:highlight w:val="none"/>
        </w:rPr>
        <w:t>环境保护措施监督检查清单</w:t>
      </w:r>
    </w:p>
    <w:p w14:paraId="138F3EAC">
      <w:pPr>
        <w:keepNext w:val="0"/>
        <w:keepLines w:val="0"/>
        <w:pageBreakBefore w:val="0"/>
        <w:wordWrap/>
        <w:bidi w:val="0"/>
        <w:adjustRightInd w:val="0"/>
        <w:snapToGrid w:val="0"/>
        <w:spacing w:line="44" w:lineRule="auto"/>
        <w:rPr>
          <w:rFonts w:hint="default" w:ascii="Times New Roman" w:hAnsi="Times New Roman" w:cs="Times New Roman"/>
          <w:color w:val="auto"/>
          <w:sz w:val="2"/>
          <w:highlight w:val="none"/>
        </w:rPr>
      </w:pPr>
    </w:p>
    <w:tbl>
      <w:tblPr>
        <w:tblStyle w:val="41"/>
        <w:tblW w:w="5639"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57" w:type="dxa"/>
          <w:left w:w="0" w:type="dxa"/>
          <w:bottom w:w="57" w:type="dxa"/>
          <w:right w:w="0" w:type="dxa"/>
        </w:tblCellMar>
      </w:tblPr>
      <w:tblGrid>
        <w:gridCol w:w="1479"/>
        <w:gridCol w:w="2064"/>
        <w:gridCol w:w="1792"/>
        <w:gridCol w:w="2016"/>
        <w:gridCol w:w="2645"/>
      </w:tblGrid>
      <w:tr w14:paraId="67EF978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564" w:hRule="atLeast"/>
          <w:jc w:val="center"/>
        </w:trPr>
        <w:tc>
          <w:tcPr>
            <w:tcW w:w="740" w:type="pct"/>
            <w:tcBorders>
              <w:bottom w:val="single" w:color="000000" w:sz="8" w:space="0"/>
              <w:right w:val="single" w:color="000000" w:sz="8" w:space="0"/>
              <w:tl2br w:val="single" w:color="000000" w:sz="8" w:space="0"/>
            </w:tcBorders>
            <w:vAlign w:val="center"/>
          </w:tcPr>
          <w:p w14:paraId="7742F6B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8"/>
                <w:sz w:val="24"/>
                <w:szCs w:val="24"/>
                <w:highlight w:val="none"/>
              </w:rPr>
              <w:t>内容</w:t>
            </w:r>
          </w:p>
          <w:p w14:paraId="6DF5112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4"/>
                <w:sz w:val="24"/>
                <w:szCs w:val="24"/>
                <w:highlight w:val="none"/>
              </w:rPr>
              <w:t>要素</w:t>
            </w:r>
          </w:p>
        </w:tc>
        <w:tc>
          <w:tcPr>
            <w:tcW w:w="1032" w:type="pct"/>
            <w:tcBorders>
              <w:left w:val="single" w:color="000000" w:sz="8" w:space="0"/>
              <w:tl2br w:val="nil"/>
              <w:tr2bl w:val="nil"/>
            </w:tcBorders>
            <w:vAlign w:val="center"/>
          </w:tcPr>
          <w:p w14:paraId="64E3E22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8"/>
                <w:sz w:val="24"/>
                <w:szCs w:val="24"/>
                <w:highlight w:val="none"/>
              </w:rPr>
              <w:t>排</w:t>
            </w:r>
            <w:r>
              <w:rPr>
                <w:rFonts w:hint="default" w:ascii="Times New Roman" w:hAnsi="Times New Roman" w:eastAsia="宋体" w:cs="Times New Roman"/>
                <w:b/>
                <w:bCs/>
                <w:color w:val="auto"/>
                <w:spacing w:val="6"/>
                <w:sz w:val="24"/>
                <w:szCs w:val="24"/>
                <w:highlight w:val="none"/>
              </w:rPr>
              <w:t>放口</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rPr>
              <w:t>编号、</w:t>
            </w:r>
            <w:r>
              <w:rPr>
                <w:rFonts w:hint="default" w:ascii="Times New Roman" w:hAnsi="Times New Roman" w:eastAsia="宋体" w:cs="Times New Roman"/>
                <w:b/>
                <w:bCs/>
                <w:color w:val="auto"/>
                <w:spacing w:val="11"/>
                <w:sz w:val="24"/>
                <w:szCs w:val="24"/>
                <w:highlight w:val="none"/>
              </w:rPr>
              <w:t>名</w:t>
            </w:r>
            <w:r>
              <w:rPr>
                <w:rFonts w:hint="default" w:ascii="Times New Roman" w:hAnsi="Times New Roman" w:eastAsia="宋体" w:cs="Times New Roman"/>
                <w:b/>
                <w:bCs/>
                <w:color w:val="auto"/>
                <w:spacing w:val="6"/>
                <w:sz w:val="24"/>
                <w:szCs w:val="24"/>
                <w:highlight w:val="none"/>
              </w:rPr>
              <w:t>称</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rPr>
              <w:t>/污染源</w:t>
            </w:r>
          </w:p>
        </w:tc>
        <w:tc>
          <w:tcPr>
            <w:tcW w:w="896" w:type="pct"/>
            <w:tcBorders>
              <w:tl2br w:val="nil"/>
              <w:tr2bl w:val="nil"/>
            </w:tcBorders>
            <w:vAlign w:val="center"/>
          </w:tcPr>
          <w:p w14:paraId="4FE838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8"/>
                <w:sz w:val="24"/>
                <w:szCs w:val="24"/>
                <w:highlight w:val="none"/>
              </w:rPr>
              <w:t>污染物项</w:t>
            </w:r>
            <w:r>
              <w:rPr>
                <w:rFonts w:hint="default" w:ascii="Times New Roman" w:hAnsi="Times New Roman" w:eastAsia="宋体" w:cs="Times New Roman"/>
                <w:b/>
                <w:bCs/>
                <w:color w:val="auto"/>
                <w:spacing w:val="7"/>
                <w:sz w:val="24"/>
                <w:szCs w:val="24"/>
                <w:highlight w:val="none"/>
              </w:rPr>
              <w:t>目</w:t>
            </w:r>
          </w:p>
        </w:tc>
        <w:tc>
          <w:tcPr>
            <w:tcW w:w="1008" w:type="pct"/>
            <w:tcBorders>
              <w:tl2br w:val="nil"/>
              <w:tr2bl w:val="nil"/>
            </w:tcBorders>
            <w:vAlign w:val="center"/>
          </w:tcPr>
          <w:p w14:paraId="7C2311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9"/>
                <w:sz w:val="24"/>
                <w:szCs w:val="24"/>
                <w:highlight w:val="none"/>
              </w:rPr>
              <w:t>环</w:t>
            </w:r>
            <w:r>
              <w:rPr>
                <w:rFonts w:hint="default" w:ascii="Times New Roman" w:hAnsi="Times New Roman" w:eastAsia="宋体" w:cs="Times New Roman"/>
                <w:b/>
                <w:bCs/>
                <w:color w:val="auto"/>
                <w:spacing w:val="8"/>
                <w:sz w:val="24"/>
                <w:szCs w:val="24"/>
                <w:highlight w:val="none"/>
              </w:rPr>
              <w:t>境保护措施</w:t>
            </w:r>
          </w:p>
        </w:tc>
        <w:tc>
          <w:tcPr>
            <w:tcW w:w="1322" w:type="pct"/>
            <w:tcBorders>
              <w:tl2br w:val="nil"/>
              <w:tr2bl w:val="nil"/>
            </w:tcBorders>
            <w:vAlign w:val="center"/>
          </w:tcPr>
          <w:p w14:paraId="0DA2AFA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8"/>
                <w:sz w:val="24"/>
                <w:szCs w:val="24"/>
                <w:highlight w:val="none"/>
              </w:rPr>
              <w:t>执</w:t>
            </w:r>
            <w:r>
              <w:rPr>
                <w:rFonts w:hint="default" w:ascii="Times New Roman" w:hAnsi="Times New Roman" w:eastAsia="宋体" w:cs="Times New Roman"/>
                <w:b/>
                <w:bCs/>
                <w:color w:val="auto"/>
                <w:spacing w:val="7"/>
                <w:sz w:val="24"/>
                <w:szCs w:val="24"/>
                <w:highlight w:val="none"/>
              </w:rPr>
              <w:t>行标准</w:t>
            </w:r>
          </w:p>
        </w:tc>
      </w:tr>
      <w:tr w14:paraId="0F177D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vMerge w:val="restart"/>
            <w:tcBorders>
              <w:top w:val="single" w:color="000000" w:sz="8" w:space="0"/>
              <w:tl2br w:val="nil"/>
              <w:tr2bl w:val="nil"/>
            </w:tcBorders>
            <w:vAlign w:val="center"/>
          </w:tcPr>
          <w:p w14:paraId="0F40D72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大气环境</w:t>
            </w:r>
          </w:p>
        </w:tc>
        <w:tc>
          <w:tcPr>
            <w:tcW w:w="1032" w:type="pct"/>
            <w:tcBorders>
              <w:tl2br w:val="nil"/>
              <w:tr2bl w:val="nil"/>
            </w:tcBorders>
            <w:vAlign w:val="center"/>
          </w:tcPr>
          <w:p w14:paraId="4AD53B8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切割、喷砂排气筒</w:t>
            </w:r>
            <w:r>
              <w:rPr>
                <w:rFonts w:hint="eastAsia" w:ascii="Times New Roman" w:hAnsi="Times New Roman" w:eastAsia="宋体" w:cs="Times New Roman"/>
                <w:color w:val="auto"/>
                <w:sz w:val="24"/>
                <w:szCs w:val="24"/>
                <w:highlight w:val="none"/>
                <w:lang w:val="en-US" w:eastAsia="zh-CN"/>
              </w:rPr>
              <w:t>（DA001）</w:t>
            </w:r>
          </w:p>
        </w:tc>
        <w:tc>
          <w:tcPr>
            <w:tcW w:w="896" w:type="pct"/>
            <w:tcBorders>
              <w:tl2br w:val="nil"/>
              <w:tr2bl w:val="nil"/>
            </w:tcBorders>
            <w:vAlign w:val="center"/>
          </w:tcPr>
          <w:p w14:paraId="60AFB4D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颗粒物</w:t>
            </w:r>
          </w:p>
        </w:tc>
        <w:tc>
          <w:tcPr>
            <w:tcW w:w="1008" w:type="pct"/>
            <w:tcBorders>
              <w:tl2br w:val="nil"/>
              <w:tr2bl w:val="nil"/>
            </w:tcBorders>
            <w:vAlign w:val="center"/>
          </w:tcPr>
          <w:p w14:paraId="2F9769B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布袋除尘器+15m排气筒</w:t>
            </w:r>
          </w:p>
        </w:tc>
        <w:tc>
          <w:tcPr>
            <w:tcW w:w="1322" w:type="pct"/>
            <w:tcBorders>
              <w:tl2br w:val="nil"/>
              <w:tr2bl w:val="nil"/>
            </w:tcBorders>
            <w:vAlign w:val="center"/>
          </w:tcPr>
          <w:p w14:paraId="31C7B6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《大气污染物综合排放标准》（GB16297-1996）</w:t>
            </w:r>
          </w:p>
        </w:tc>
      </w:tr>
      <w:tr w14:paraId="4B846A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674" w:hRule="atLeast"/>
          <w:jc w:val="center"/>
        </w:trPr>
        <w:tc>
          <w:tcPr>
            <w:tcW w:w="740" w:type="pct"/>
            <w:vMerge w:val="continue"/>
            <w:tcBorders>
              <w:tl2br w:val="nil"/>
              <w:tr2bl w:val="nil"/>
            </w:tcBorders>
            <w:vAlign w:val="center"/>
          </w:tcPr>
          <w:p w14:paraId="7F18AD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p>
        </w:tc>
        <w:tc>
          <w:tcPr>
            <w:tcW w:w="1032" w:type="pct"/>
            <w:tcBorders>
              <w:tl2br w:val="nil"/>
              <w:tr2bl w:val="nil"/>
            </w:tcBorders>
            <w:vAlign w:val="center"/>
          </w:tcPr>
          <w:p w14:paraId="7BEDB3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热处理炉1#排气筒</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DA002</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，热处理炉2#排气筒</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DA003</w:t>
            </w:r>
            <w:r>
              <w:rPr>
                <w:rFonts w:hint="eastAsia" w:ascii="Times New Roman" w:hAnsi="Times New Roman" w:eastAsia="宋体" w:cs="Times New Roman"/>
                <w:color w:val="auto"/>
                <w:sz w:val="24"/>
                <w:szCs w:val="24"/>
                <w:highlight w:val="none"/>
                <w:lang w:val="en-US" w:eastAsia="zh-CN"/>
              </w:rPr>
              <w:t>）</w:t>
            </w:r>
          </w:p>
        </w:tc>
        <w:tc>
          <w:tcPr>
            <w:tcW w:w="896" w:type="pct"/>
            <w:tcBorders>
              <w:tl2br w:val="nil"/>
              <w:tr2bl w:val="nil"/>
            </w:tcBorders>
            <w:vAlign w:val="center"/>
          </w:tcPr>
          <w:p w14:paraId="7A34B86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颗粒物、二氧化硫、氮氧化物</w:t>
            </w:r>
          </w:p>
        </w:tc>
        <w:tc>
          <w:tcPr>
            <w:tcW w:w="1008" w:type="pct"/>
            <w:tcBorders>
              <w:tl2br w:val="nil"/>
              <w:tr2bl w:val="nil"/>
            </w:tcBorders>
            <w:vAlign w:val="center"/>
          </w:tcPr>
          <w:p w14:paraId="7E5D99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2台</w:t>
            </w:r>
            <w:r>
              <w:rPr>
                <w:rFonts w:hint="default" w:ascii="Times New Roman" w:hAnsi="Times New Roman" w:eastAsia="宋体" w:cs="Times New Roman"/>
                <w:color w:val="auto"/>
                <w:sz w:val="24"/>
                <w:szCs w:val="24"/>
                <w:highlight w:val="none"/>
                <w:lang w:val="en-US" w:eastAsia="zh-CN"/>
              </w:rPr>
              <w:t>低氮燃烧器+</w:t>
            </w:r>
            <w:r>
              <w:rPr>
                <w:rFonts w:hint="eastAsia" w:ascii="Times New Roman" w:hAnsi="Times New Roman" w:eastAsia="宋体" w:cs="Times New Roman"/>
                <w:color w:val="auto"/>
                <w:sz w:val="24"/>
                <w:szCs w:val="24"/>
                <w:highlight w:val="none"/>
                <w:lang w:val="en-US" w:eastAsia="zh-CN"/>
              </w:rPr>
              <w:t>2根</w:t>
            </w:r>
            <w:r>
              <w:rPr>
                <w:rFonts w:hint="default" w:ascii="Times New Roman" w:hAnsi="Times New Roman" w:eastAsia="宋体" w:cs="Times New Roman"/>
                <w:color w:val="auto"/>
                <w:sz w:val="24"/>
                <w:szCs w:val="24"/>
                <w:highlight w:val="none"/>
                <w:lang w:val="en-US" w:eastAsia="zh-CN"/>
              </w:rPr>
              <w:t>15m高排气筒</w:t>
            </w:r>
          </w:p>
        </w:tc>
        <w:tc>
          <w:tcPr>
            <w:tcW w:w="1322" w:type="pct"/>
            <w:tcBorders>
              <w:tl2br w:val="nil"/>
              <w:tr2bl w:val="nil"/>
            </w:tcBorders>
            <w:vAlign w:val="center"/>
          </w:tcPr>
          <w:p w14:paraId="618ACC6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《新疆维吾尔自治区工业窑炉大气污染物综合治理实施方案》（新大气发〔2019〕127号）相关要求</w:t>
            </w:r>
          </w:p>
        </w:tc>
      </w:tr>
      <w:tr w14:paraId="10C048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674" w:hRule="atLeast"/>
          <w:jc w:val="center"/>
        </w:trPr>
        <w:tc>
          <w:tcPr>
            <w:tcW w:w="740" w:type="pct"/>
            <w:vMerge w:val="continue"/>
            <w:tcBorders>
              <w:tl2br w:val="nil"/>
              <w:tr2bl w:val="nil"/>
            </w:tcBorders>
            <w:vAlign w:val="center"/>
          </w:tcPr>
          <w:p w14:paraId="15FDF23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cs="Times New Roman"/>
                <w:color w:val="auto"/>
                <w:highlight w:val="none"/>
              </w:rPr>
            </w:pPr>
          </w:p>
        </w:tc>
        <w:tc>
          <w:tcPr>
            <w:tcW w:w="1032" w:type="pct"/>
            <w:tcBorders>
              <w:tl2br w:val="nil"/>
              <w:tr2bl w:val="nil"/>
            </w:tcBorders>
            <w:vAlign w:val="center"/>
          </w:tcPr>
          <w:p w14:paraId="748A88A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刷漆、涂粉排气筒</w:t>
            </w:r>
            <w:r>
              <w:rPr>
                <w:rFonts w:hint="eastAsia" w:ascii="Times New Roman" w:hAnsi="Times New Roman" w:eastAsia="宋体" w:cs="Times New Roman"/>
                <w:color w:val="auto"/>
                <w:sz w:val="24"/>
                <w:szCs w:val="24"/>
                <w:highlight w:val="none"/>
                <w:lang w:val="en-US" w:eastAsia="zh-CN"/>
              </w:rPr>
              <w:t>（DA004）</w:t>
            </w:r>
          </w:p>
        </w:tc>
        <w:tc>
          <w:tcPr>
            <w:tcW w:w="896" w:type="pct"/>
            <w:tcBorders>
              <w:tl2br w:val="nil"/>
              <w:tr2bl w:val="nil"/>
            </w:tcBorders>
            <w:vAlign w:val="center"/>
          </w:tcPr>
          <w:p w14:paraId="50BA87D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非甲烷总烃、二甲苯</w:t>
            </w:r>
          </w:p>
        </w:tc>
        <w:tc>
          <w:tcPr>
            <w:tcW w:w="1008" w:type="pct"/>
            <w:tcBorders>
              <w:tl2br w:val="nil"/>
              <w:tr2bl w:val="nil"/>
            </w:tcBorders>
            <w:vAlign w:val="center"/>
          </w:tcPr>
          <w:p w14:paraId="32A7DD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活性炭吸附/催化燃烧+15m排气筒</w:t>
            </w:r>
          </w:p>
        </w:tc>
        <w:tc>
          <w:tcPr>
            <w:tcW w:w="1322" w:type="pct"/>
            <w:tcBorders>
              <w:tl2br w:val="nil"/>
              <w:tr2bl w:val="nil"/>
            </w:tcBorders>
            <w:vAlign w:val="center"/>
          </w:tcPr>
          <w:p w14:paraId="7870B4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《大气污染物综合排放标准》（GB16297-1996）</w:t>
            </w:r>
          </w:p>
        </w:tc>
      </w:tr>
      <w:tr w14:paraId="54ED62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vMerge w:val="continue"/>
            <w:tcBorders>
              <w:tl2br w:val="nil"/>
              <w:tr2bl w:val="nil"/>
            </w:tcBorders>
            <w:vAlign w:val="center"/>
          </w:tcPr>
          <w:p w14:paraId="0D981FF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p>
        </w:tc>
        <w:tc>
          <w:tcPr>
            <w:tcW w:w="1032" w:type="pct"/>
            <w:tcBorders>
              <w:tl2br w:val="nil"/>
              <w:tr2bl w:val="nil"/>
            </w:tcBorders>
            <w:vAlign w:val="center"/>
          </w:tcPr>
          <w:p w14:paraId="3189DDA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厂界</w:t>
            </w:r>
          </w:p>
        </w:tc>
        <w:tc>
          <w:tcPr>
            <w:tcW w:w="896" w:type="pct"/>
            <w:tcBorders>
              <w:tl2br w:val="nil"/>
              <w:tr2bl w:val="nil"/>
            </w:tcBorders>
            <w:vAlign w:val="center"/>
          </w:tcPr>
          <w:p w14:paraId="4AA11B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颗粒物、非甲烷总烃、二甲苯</w:t>
            </w:r>
          </w:p>
        </w:tc>
        <w:tc>
          <w:tcPr>
            <w:tcW w:w="1008" w:type="pct"/>
            <w:vMerge w:val="restart"/>
            <w:tcBorders>
              <w:tl2br w:val="nil"/>
              <w:tr2bl w:val="nil"/>
            </w:tcBorders>
            <w:vAlign w:val="center"/>
          </w:tcPr>
          <w:p w14:paraId="1A893A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封闭厂房</w:t>
            </w:r>
          </w:p>
        </w:tc>
        <w:tc>
          <w:tcPr>
            <w:tcW w:w="1322" w:type="pct"/>
            <w:tcBorders>
              <w:tl2br w:val="nil"/>
              <w:tr2bl w:val="nil"/>
            </w:tcBorders>
            <w:vAlign w:val="center"/>
          </w:tcPr>
          <w:p w14:paraId="55167D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《大气污染物综合排放标准》（GB16297-1996）表2中的限值要求</w:t>
            </w:r>
          </w:p>
        </w:tc>
      </w:tr>
      <w:tr w14:paraId="74C108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vMerge w:val="continue"/>
            <w:tcBorders>
              <w:bottom w:val="single" w:color="000000" w:sz="8" w:space="0"/>
              <w:tl2br w:val="nil"/>
              <w:tr2bl w:val="nil"/>
            </w:tcBorders>
            <w:vAlign w:val="center"/>
          </w:tcPr>
          <w:p w14:paraId="13C4EC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p>
        </w:tc>
        <w:tc>
          <w:tcPr>
            <w:tcW w:w="1032" w:type="pct"/>
            <w:tcBorders>
              <w:tl2br w:val="nil"/>
              <w:tr2bl w:val="nil"/>
            </w:tcBorders>
            <w:vAlign w:val="center"/>
          </w:tcPr>
          <w:p w14:paraId="37BE4E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厂房外</w:t>
            </w:r>
          </w:p>
        </w:tc>
        <w:tc>
          <w:tcPr>
            <w:tcW w:w="896" w:type="pct"/>
            <w:tcBorders>
              <w:tl2br w:val="nil"/>
              <w:tr2bl w:val="nil"/>
            </w:tcBorders>
            <w:vAlign w:val="center"/>
          </w:tcPr>
          <w:p w14:paraId="148973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非甲烷总烃</w:t>
            </w:r>
          </w:p>
        </w:tc>
        <w:tc>
          <w:tcPr>
            <w:tcW w:w="1008" w:type="pct"/>
            <w:vMerge w:val="continue"/>
            <w:tcBorders>
              <w:tl2br w:val="nil"/>
              <w:tr2bl w:val="nil"/>
            </w:tcBorders>
            <w:vAlign w:val="center"/>
          </w:tcPr>
          <w:p w14:paraId="45BF92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p>
        </w:tc>
        <w:tc>
          <w:tcPr>
            <w:tcW w:w="1322" w:type="pct"/>
            <w:tcBorders>
              <w:tl2br w:val="nil"/>
              <w:tr2bl w:val="nil"/>
            </w:tcBorders>
            <w:vAlign w:val="center"/>
          </w:tcPr>
          <w:p w14:paraId="0302A4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《挥发性有机物无组织排放控制标准》（GB37822-2019）附录A的特别排放限值</w:t>
            </w:r>
          </w:p>
        </w:tc>
      </w:tr>
      <w:tr w14:paraId="23E379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tcBorders>
              <w:top w:val="single" w:color="000000" w:sz="8" w:space="0"/>
              <w:tl2br w:val="nil"/>
              <w:tr2bl w:val="nil"/>
            </w:tcBorders>
            <w:vAlign w:val="center"/>
          </w:tcPr>
          <w:p w14:paraId="5E1BAF4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地表水环境</w:t>
            </w:r>
          </w:p>
        </w:tc>
        <w:tc>
          <w:tcPr>
            <w:tcW w:w="1032" w:type="pct"/>
            <w:tcBorders>
              <w:tl2br w:val="nil"/>
              <w:tr2bl w:val="nil"/>
            </w:tcBorders>
            <w:vAlign w:val="center"/>
          </w:tcPr>
          <w:p w14:paraId="3EEE69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生活污水</w:t>
            </w:r>
          </w:p>
        </w:tc>
        <w:tc>
          <w:tcPr>
            <w:tcW w:w="896" w:type="pct"/>
            <w:tcBorders>
              <w:tl2br w:val="nil"/>
              <w:tr2bl w:val="nil"/>
            </w:tcBorders>
            <w:vAlign w:val="center"/>
          </w:tcPr>
          <w:p w14:paraId="3F1F546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4"/>
                <w:szCs w:val="24"/>
                <w:highlight w:val="none"/>
              </w:rPr>
            </w:pPr>
            <w:r>
              <w:rPr>
                <w:rFonts w:hint="default" w:ascii="Times New Roman" w:hAnsi="Times New Roman" w:eastAsia="宋体" w:cs="Times New Roman"/>
                <w:color w:val="auto"/>
                <w:sz w:val="24"/>
                <w:szCs w:val="24"/>
                <w:highlight w:val="none"/>
              </w:rPr>
              <w:t>COD、BOD、NH3-N、SS</w:t>
            </w:r>
          </w:p>
        </w:tc>
        <w:tc>
          <w:tcPr>
            <w:tcW w:w="1008" w:type="pct"/>
            <w:tcBorders>
              <w:tl2br w:val="nil"/>
              <w:tr2bl w:val="nil"/>
            </w:tcBorders>
            <w:vAlign w:val="center"/>
          </w:tcPr>
          <w:p w14:paraId="66C84B5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4"/>
                <w:szCs w:val="24"/>
                <w:highlight w:val="none"/>
              </w:rPr>
            </w:pPr>
            <w:r>
              <w:rPr>
                <w:rFonts w:hint="default" w:ascii="Times New Roman" w:hAnsi="Times New Roman" w:eastAsia="宋体" w:cs="Times New Roman"/>
                <w:color w:val="auto"/>
                <w:sz w:val="24"/>
                <w:szCs w:val="24"/>
                <w:highlight w:val="none"/>
                <w:lang w:val="en-US" w:eastAsia="zh-CN"/>
              </w:rPr>
              <w:t>由</w:t>
            </w:r>
            <w:r>
              <w:rPr>
                <w:rFonts w:hint="default" w:ascii="Times New Roman" w:hAnsi="Times New Roman" w:eastAsia="宋体" w:cs="Times New Roman"/>
                <w:color w:val="auto"/>
                <w:sz w:val="24"/>
                <w:szCs w:val="24"/>
                <w:highlight w:val="none"/>
              </w:rPr>
              <w:t>现有污水管网收集后排入市政污水管网</w:t>
            </w:r>
          </w:p>
        </w:tc>
        <w:tc>
          <w:tcPr>
            <w:tcW w:w="1322" w:type="pct"/>
            <w:tcBorders>
              <w:tl2br w:val="nil"/>
              <w:tr2bl w:val="nil"/>
            </w:tcBorders>
            <w:vAlign w:val="center"/>
          </w:tcPr>
          <w:p w14:paraId="1214D3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snapToGrid w:val="0"/>
                <w:color w:val="auto"/>
                <w:kern w:val="0"/>
                <w:sz w:val="24"/>
                <w:szCs w:val="24"/>
                <w:highlight w:val="none"/>
              </w:rPr>
            </w:pPr>
            <w:r>
              <w:rPr>
                <w:rFonts w:hint="default" w:ascii="Times New Roman" w:hAnsi="Times New Roman" w:eastAsia="宋体" w:cs="Times New Roman"/>
                <w:color w:val="auto"/>
                <w:sz w:val="24"/>
                <w:szCs w:val="24"/>
                <w:highlight w:val="none"/>
              </w:rPr>
              <w:t>《污水综合排放标准》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GB8978-1996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表4中三级标准限值</w:t>
            </w:r>
          </w:p>
        </w:tc>
      </w:tr>
      <w:tr w14:paraId="6E4393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tcBorders>
              <w:tl2br w:val="nil"/>
              <w:tr2bl w:val="nil"/>
            </w:tcBorders>
            <w:vAlign w:val="center"/>
          </w:tcPr>
          <w:p w14:paraId="45647B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声环境</w:t>
            </w:r>
          </w:p>
        </w:tc>
        <w:tc>
          <w:tcPr>
            <w:tcW w:w="1032" w:type="pct"/>
            <w:tcBorders>
              <w:tl2br w:val="nil"/>
              <w:tr2bl w:val="nil"/>
            </w:tcBorders>
            <w:vAlign w:val="center"/>
          </w:tcPr>
          <w:p w14:paraId="52C74B8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印刷机、切割机</w:t>
            </w:r>
          </w:p>
        </w:tc>
        <w:tc>
          <w:tcPr>
            <w:tcW w:w="896" w:type="pct"/>
            <w:tcBorders>
              <w:tl2br w:val="nil"/>
              <w:tr2bl w:val="nil"/>
            </w:tcBorders>
            <w:vAlign w:val="center"/>
          </w:tcPr>
          <w:p w14:paraId="16FBE9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设备噪声</w:t>
            </w:r>
          </w:p>
        </w:tc>
        <w:tc>
          <w:tcPr>
            <w:tcW w:w="1008" w:type="pct"/>
            <w:tcBorders>
              <w:tl2br w:val="nil"/>
              <w:tr2bl w:val="nil"/>
            </w:tcBorders>
            <w:vAlign w:val="center"/>
          </w:tcPr>
          <w:p w14:paraId="7D8B45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低噪设备，加装减震垫</w:t>
            </w:r>
          </w:p>
        </w:tc>
        <w:tc>
          <w:tcPr>
            <w:tcW w:w="1322" w:type="pct"/>
            <w:tcBorders>
              <w:tl2br w:val="nil"/>
              <w:tr2bl w:val="nil"/>
            </w:tcBorders>
            <w:vAlign w:val="center"/>
          </w:tcPr>
          <w:p w14:paraId="05EDF3E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《工业企业厂界环境噪声排放标准》（GB12348-2008）</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类标准</w:t>
            </w:r>
          </w:p>
        </w:tc>
      </w:tr>
      <w:tr w14:paraId="3055E2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430" w:hRule="atLeast"/>
          <w:jc w:val="center"/>
        </w:trPr>
        <w:tc>
          <w:tcPr>
            <w:tcW w:w="740" w:type="pct"/>
            <w:tcBorders>
              <w:tl2br w:val="nil"/>
              <w:tr2bl w:val="nil"/>
            </w:tcBorders>
            <w:vAlign w:val="center"/>
          </w:tcPr>
          <w:p w14:paraId="6FC8B8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电</w:t>
            </w:r>
            <w:r>
              <w:rPr>
                <w:rFonts w:hint="default" w:ascii="Times New Roman" w:hAnsi="Times New Roman" w:eastAsia="宋体" w:cs="Times New Roman"/>
                <w:color w:val="auto"/>
                <w:spacing w:val="1"/>
                <w:sz w:val="24"/>
                <w:szCs w:val="24"/>
                <w:highlight w:val="none"/>
              </w:rPr>
              <w:t>磁辐射</w:t>
            </w:r>
          </w:p>
        </w:tc>
        <w:tc>
          <w:tcPr>
            <w:tcW w:w="1032" w:type="pct"/>
            <w:tcBorders>
              <w:tl2br w:val="nil"/>
              <w:tr2bl w:val="nil"/>
            </w:tcBorders>
            <w:vAlign w:val="center"/>
          </w:tcPr>
          <w:p w14:paraId="4F96A19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896" w:type="pct"/>
            <w:tcBorders>
              <w:tl2br w:val="nil"/>
              <w:tr2bl w:val="nil"/>
            </w:tcBorders>
            <w:vAlign w:val="center"/>
          </w:tcPr>
          <w:p w14:paraId="53451B2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008" w:type="pct"/>
            <w:tcBorders>
              <w:tl2br w:val="nil"/>
              <w:tr2bl w:val="nil"/>
            </w:tcBorders>
            <w:vAlign w:val="center"/>
          </w:tcPr>
          <w:p w14:paraId="12DAE3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322" w:type="pct"/>
            <w:tcBorders>
              <w:tl2br w:val="nil"/>
              <w:tr2bl w:val="nil"/>
            </w:tcBorders>
            <w:vAlign w:val="center"/>
          </w:tcPr>
          <w:p w14:paraId="66765C4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0A24C3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1020" w:hRule="atLeast"/>
          <w:jc w:val="center"/>
        </w:trPr>
        <w:tc>
          <w:tcPr>
            <w:tcW w:w="740" w:type="pct"/>
            <w:tcBorders>
              <w:tl2br w:val="nil"/>
              <w:tr2bl w:val="nil"/>
            </w:tcBorders>
            <w:vAlign w:val="center"/>
          </w:tcPr>
          <w:p w14:paraId="3AF2A3C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固体废</w:t>
            </w:r>
            <w:r>
              <w:rPr>
                <w:rFonts w:hint="default" w:ascii="Times New Roman" w:hAnsi="Times New Roman" w:eastAsia="宋体" w:cs="Times New Roman"/>
                <w:color w:val="auto"/>
                <w:spacing w:val="2"/>
                <w:sz w:val="24"/>
                <w:szCs w:val="24"/>
                <w:highlight w:val="none"/>
              </w:rPr>
              <w:t>物</w:t>
            </w:r>
          </w:p>
        </w:tc>
        <w:tc>
          <w:tcPr>
            <w:tcW w:w="4259" w:type="pct"/>
            <w:gridSpan w:val="4"/>
            <w:tcBorders>
              <w:tl2br w:val="nil"/>
              <w:tr2bl w:val="nil"/>
            </w:tcBorders>
            <w:vAlign w:val="center"/>
          </w:tcPr>
          <w:p w14:paraId="6DB37C4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cs="Times New Roman" w:eastAsiaTheme="minorEastAsia"/>
                <w:b w:val="0"/>
                <w:bCs w:val="0"/>
                <w:color w:val="auto"/>
                <w:kern w:val="2"/>
                <w:sz w:val="24"/>
                <w:szCs w:val="24"/>
                <w:highlight w:val="none"/>
                <w:lang w:val="en-US" w:eastAsia="zh-CN" w:bidi="ar-SA"/>
              </w:rPr>
              <w:t>废包装材料、钢材边角料</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eastAsiaTheme="minorEastAsia"/>
                <w:b w:val="0"/>
                <w:bCs w:val="0"/>
                <w:color w:val="auto"/>
                <w:kern w:val="2"/>
                <w:sz w:val="24"/>
                <w:szCs w:val="24"/>
                <w:highlight w:val="none"/>
                <w:lang w:val="en-US" w:eastAsia="zh-CN" w:bidi="ar-SA"/>
              </w:rPr>
              <w:t>定期外售</w:t>
            </w:r>
            <w:r>
              <w:rPr>
                <w:rFonts w:hint="default" w:ascii="Times New Roman" w:hAnsi="Times New Roman" w:cs="Times New Roman"/>
                <w:color w:val="auto"/>
                <w:sz w:val="24"/>
                <w:szCs w:val="24"/>
                <w:highlight w:val="none"/>
                <w:lang w:val="en-US" w:eastAsia="zh-CN"/>
              </w:rPr>
              <w:t>废品回收站</w:t>
            </w:r>
            <w:r>
              <w:rPr>
                <w:rFonts w:hint="default" w:ascii="Times New Roman" w:hAnsi="Times New Roman" w:eastAsia="宋体" w:cs="Times New Roman"/>
                <w:color w:val="auto"/>
                <w:sz w:val="24"/>
                <w:szCs w:val="24"/>
                <w:highlight w:val="none"/>
              </w:rPr>
              <w:t>；</w:t>
            </w:r>
          </w:p>
          <w:p w14:paraId="2A9B0A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2.生活垃圾集中收集后，由环卫部门定期清运；</w:t>
            </w:r>
          </w:p>
          <w:p w14:paraId="6E1E686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cs="Times New Roman" w:eastAsiaTheme="minorEastAsia"/>
                <w:b w:val="0"/>
                <w:bCs w:val="0"/>
                <w:color w:val="auto"/>
                <w:kern w:val="2"/>
                <w:sz w:val="24"/>
                <w:szCs w:val="24"/>
                <w:highlight w:val="none"/>
                <w:lang w:val="en-US" w:eastAsia="zh-CN" w:bidi="ar-SA"/>
              </w:rPr>
              <w:t>3.</w:t>
            </w:r>
            <w:r>
              <w:rPr>
                <w:rFonts w:hint="default" w:ascii="Times New Roman" w:hAnsi="Times New Roman" w:eastAsia="宋体" w:cs="Times New Roman"/>
                <w:color w:val="auto"/>
                <w:sz w:val="24"/>
                <w:szCs w:val="24"/>
                <w:highlight w:val="none"/>
              </w:rPr>
              <w:t>危险废物暂存于危废暂存间，定期交由有资质单位处理。</w:t>
            </w:r>
          </w:p>
        </w:tc>
      </w:tr>
      <w:tr w14:paraId="1E17BC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1020" w:hRule="atLeast"/>
          <w:jc w:val="center"/>
        </w:trPr>
        <w:tc>
          <w:tcPr>
            <w:tcW w:w="740" w:type="pct"/>
            <w:tcBorders>
              <w:tl2br w:val="nil"/>
              <w:tr2bl w:val="nil"/>
            </w:tcBorders>
            <w:vAlign w:val="center"/>
          </w:tcPr>
          <w:p w14:paraId="19BE5E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土壤及地下水污染防治措</w:t>
            </w:r>
            <w:r>
              <w:rPr>
                <w:rFonts w:hint="default" w:ascii="Times New Roman" w:hAnsi="Times New Roman" w:eastAsia="宋体" w:cs="Times New Roman"/>
                <w:color w:val="auto"/>
                <w:spacing w:val="7"/>
                <w:sz w:val="24"/>
                <w:szCs w:val="24"/>
                <w:highlight w:val="none"/>
              </w:rPr>
              <w:t>施</w:t>
            </w:r>
          </w:p>
        </w:tc>
        <w:tc>
          <w:tcPr>
            <w:tcW w:w="4259" w:type="pct"/>
            <w:gridSpan w:val="4"/>
            <w:tcBorders>
              <w:tl2br w:val="nil"/>
              <w:tr2bl w:val="nil"/>
            </w:tcBorders>
            <w:vAlign w:val="center"/>
          </w:tcPr>
          <w:p w14:paraId="2CDEE4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zh-CN" w:eastAsia="zh-CN"/>
              </w:rPr>
              <w:t>危险废物暂存库</w:t>
            </w:r>
            <w:r>
              <w:rPr>
                <w:rFonts w:hint="default" w:ascii="Times New Roman" w:hAnsi="Times New Roman" w:eastAsia="宋体" w:cs="Times New Roman"/>
                <w:color w:val="auto"/>
                <w:kern w:val="0"/>
                <w:sz w:val="24"/>
                <w:szCs w:val="24"/>
                <w:highlight w:val="none"/>
                <w:vertAlign w:val="baseline"/>
                <w:lang w:val="zh-CN" w:eastAsia="zh-CN" w:bidi="ar"/>
              </w:rPr>
              <w:t>：等效黏土防渗层</w:t>
            </w:r>
            <w:r>
              <w:rPr>
                <w:rFonts w:hint="default" w:ascii="Times New Roman" w:hAnsi="Times New Roman" w:eastAsia="宋体" w:cs="Times New Roman"/>
                <w:color w:val="auto"/>
                <w:kern w:val="0"/>
                <w:sz w:val="24"/>
                <w:szCs w:val="24"/>
                <w:highlight w:val="none"/>
                <w:vertAlign w:val="baseline"/>
                <w:lang w:val="en-US" w:eastAsia="zh-CN" w:bidi="ar"/>
              </w:rPr>
              <w:t>Mb≥6.0m，K≤1×10</w:t>
            </w:r>
            <w:r>
              <w:rPr>
                <w:rFonts w:hint="default" w:ascii="Times New Roman" w:hAnsi="Times New Roman" w:eastAsia="宋体" w:cs="Times New Roman"/>
                <w:color w:val="auto"/>
                <w:kern w:val="0"/>
                <w:sz w:val="24"/>
                <w:szCs w:val="24"/>
                <w:highlight w:val="none"/>
                <w:vertAlign w:val="superscript"/>
                <w:lang w:val="en-US" w:eastAsia="zh-CN" w:bidi="ar"/>
              </w:rPr>
              <w:t>-7</w:t>
            </w:r>
            <w:r>
              <w:rPr>
                <w:rFonts w:hint="default" w:ascii="Times New Roman" w:hAnsi="Times New Roman" w:eastAsia="宋体" w:cs="Times New Roman"/>
                <w:color w:val="auto"/>
                <w:kern w:val="0"/>
                <w:sz w:val="24"/>
                <w:szCs w:val="24"/>
                <w:highlight w:val="none"/>
                <w:vertAlign w:val="baseline"/>
                <w:lang w:val="en-US" w:eastAsia="zh-CN" w:bidi="ar"/>
              </w:rPr>
              <w:t>cm/s。</w:t>
            </w:r>
          </w:p>
        </w:tc>
      </w:tr>
      <w:tr w14:paraId="6DCE41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1020" w:hRule="atLeast"/>
          <w:jc w:val="center"/>
        </w:trPr>
        <w:tc>
          <w:tcPr>
            <w:tcW w:w="740" w:type="pct"/>
            <w:tcBorders>
              <w:tl2br w:val="nil"/>
              <w:tr2bl w:val="nil"/>
            </w:tcBorders>
            <w:vAlign w:val="center"/>
          </w:tcPr>
          <w:p w14:paraId="5C60691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8"/>
                <w:sz w:val="24"/>
                <w:szCs w:val="24"/>
                <w:highlight w:val="none"/>
              </w:rPr>
              <w:t>生态保护措</w:t>
            </w:r>
            <w:r>
              <w:rPr>
                <w:rFonts w:hint="default" w:ascii="Times New Roman" w:hAnsi="Times New Roman" w:eastAsia="宋体" w:cs="Times New Roman"/>
                <w:color w:val="auto"/>
                <w:spacing w:val="7"/>
                <w:sz w:val="24"/>
                <w:szCs w:val="24"/>
                <w:highlight w:val="none"/>
              </w:rPr>
              <w:t>施</w:t>
            </w:r>
          </w:p>
        </w:tc>
        <w:tc>
          <w:tcPr>
            <w:tcW w:w="4259" w:type="pct"/>
            <w:gridSpan w:val="4"/>
            <w:tcBorders>
              <w:tl2br w:val="nil"/>
              <w:tr2bl w:val="nil"/>
            </w:tcBorders>
            <w:vAlign w:val="center"/>
          </w:tcPr>
          <w:p w14:paraId="7A0231E2">
            <w:pPr>
              <w:keepNext w:val="0"/>
              <w:keepLines w:val="0"/>
              <w:pageBreakBefore w:val="0"/>
              <w:wordWrap/>
              <w:overflowPunct/>
              <w:topLinePunct w:val="0"/>
              <w:bidi w:val="0"/>
              <w:adjustRightInd w:val="0"/>
              <w:snapToGrid w:val="0"/>
              <w:spacing w:line="240" w:lineRule="auto"/>
              <w:ind w:left="0" w:leftChars="0" w:firstLine="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加强绿化带的养护，有效减少水土流失，同时形成新的生境</w:t>
            </w:r>
            <w:r>
              <w:rPr>
                <w:rFonts w:hint="default" w:ascii="Times New Roman" w:hAnsi="Times New Roman" w:eastAsia="宋体" w:cs="Times New Roman"/>
                <w:color w:val="auto"/>
                <w:sz w:val="24"/>
                <w:szCs w:val="24"/>
                <w:highlight w:val="none"/>
                <w:lang w:eastAsia="zh-CN"/>
              </w:rPr>
              <w:t>。</w:t>
            </w:r>
          </w:p>
        </w:tc>
      </w:tr>
      <w:tr w14:paraId="169B00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1020" w:hRule="atLeast"/>
          <w:jc w:val="center"/>
        </w:trPr>
        <w:tc>
          <w:tcPr>
            <w:tcW w:w="740" w:type="pct"/>
            <w:tcBorders>
              <w:tl2br w:val="nil"/>
              <w:tr2bl w:val="nil"/>
            </w:tcBorders>
            <w:vAlign w:val="center"/>
          </w:tcPr>
          <w:p w14:paraId="7AAA36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position w:val="4"/>
                <w:sz w:val="24"/>
                <w:szCs w:val="24"/>
                <w:highlight w:val="none"/>
              </w:rPr>
              <w:t>环</w:t>
            </w:r>
            <w:r>
              <w:rPr>
                <w:rFonts w:hint="default" w:ascii="Times New Roman" w:hAnsi="Times New Roman" w:eastAsia="宋体" w:cs="Times New Roman"/>
                <w:color w:val="auto"/>
                <w:spacing w:val="-3"/>
                <w:position w:val="4"/>
                <w:sz w:val="24"/>
                <w:szCs w:val="24"/>
                <w:highlight w:val="none"/>
              </w:rPr>
              <w:t>境</w:t>
            </w:r>
            <w:r>
              <w:rPr>
                <w:rFonts w:hint="default" w:ascii="Times New Roman" w:hAnsi="Times New Roman" w:eastAsia="宋体" w:cs="Times New Roman"/>
                <w:color w:val="auto"/>
                <w:spacing w:val="-2"/>
                <w:position w:val="4"/>
                <w:sz w:val="24"/>
                <w:szCs w:val="24"/>
                <w:highlight w:val="none"/>
              </w:rPr>
              <w:t>风险</w:t>
            </w:r>
          </w:p>
          <w:p w14:paraId="48241F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防范措施</w:t>
            </w:r>
          </w:p>
        </w:tc>
        <w:tc>
          <w:tcPr>
            <w:tcW w:w="4259" w:type="pct"/>
            <w:gridSpan w:val="4"/>
            <w:tcBorders>
              <w:tl2br w:val="nil"/>
              <w:tr2bl w:val="nil"/>
            </w:tcBorders>
            <w:vAlign w:val="center"/>
          </w:tcPr>
          <w:p w14:paraId="3103813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textAlignment w:val="baseline"/>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做好大气、废水、地下水等风险防范措施，完善全厂突发环境事件应急预案，定期开展应急演练和培训</w:t>
            </w:r>
            <w:r>
              <w:rPr>
                <w:rFonts w:hint="default" w:ascii="Times New Roman" w:hAnsi="Times New Roman" w:eastAsia="宋体" w:cs="Times New Roman"/>
                <w:color w:val="auto"/>
                <w:sz w:val="24"/>
                <w:szCs w:val="24"/>
                <w:highlight w:val="none"/>
                <w:lang w:eastAsia="zh-CN"/>
              </w:rPr>
              <w:t>。</w:t>
            </w:r>
          </w:p>
        </w:tc>
      </w:tr>
      <w:tr w14:paraId="03D5FF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0" w:type="dxa"/>
            <w:bottom w:w="57" w:type="dxa"/>
            <w:right w:w="0" w:type="dxa"/>
          </w:tblCellMar>
        </w:tblPrEx>
        <w:trPr>
          <w:trHeight w:val="1020" w:hRule="atLeast"/>
          <w:jc w:val="center"/>
        </w:trPr>
        <w:tc>
          <w:tcPr>
            <w:tcW w:w="740" w:type="pct"/>
            <w:tcBorders>
              <w:tl2br w:val="nil"/>
              <w:tr2bl w:val="nil"/>
            </w:tcBorders>
            <w:vAlign w:val="center"/>
          </w:tcPr>
          <w:p w14:paraId="274C005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其他环境</w:t>
            </w:r>
          </w:p>
          <w:p w14:paraId="45A41ED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outlineLvl w:val="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管</w:t>
            </w:r>
            <w:r>
              <w:rPr>
                <w:rFonts w:hint="default" w:ascii="Times New Roman" w:hAnsi="Times New Roman" w:eastAsia="宋体" w:cs="Times New Roman"/>
                <w:color w:val="auto"/>
                <w:spacing w:val="-3"/>
                <w:sz w:val="24"/>
                <w:szCs w:val="24"/>
                <w:highlight w:val="none"/>
              </w:rPr>
              <w:t>理要求</w:t>
            </w:r>
          </w:p>
        </w:tc>
        <w:tc>
          <w:tcPr>
            <w:tcW w:w="4259" w:type="pct"/>
            <w:gridSpan w:val="4"/>
            <w:tcBorders>
              <w:tl2br w:val="nil"/>
              <w:tr2bl w:val="nil"/>
            </w:tcBorders>
            <w:vAlign w:val="center"/>
          </w:tcPr>
          <w:p w14:paraId="26868467">
            <w:pPr>
              <w:pStyle w:val="56"/>
              <w:keepNext w:val="0"/>
              <w:keepLines w:val="0"/>
              <w:pageBreakBefore w:val="0"/>
              <w:widowControl/>
              <w:kinsoku/>
              <w:wordWrap/>
              <w:overflowPunct/>
              <w:topLinePunct w:val="0"/>
              <w:autoSpaceDE w:val="0"/>
              <w:autoSpaceDN w:val="0"/>
              <w:bidi w:val="0"/>
              <w:adjustRightInd w:val="0"/>
              <w:snapToGrid w:val="0"/>
              <w:spacing w:before="0" w:beforeLines="50" w:beforeAutospacing="0" w:afterAutospacing="0"/>
              <w:ind w:left="0" w:leftChars="0" w:right="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“三同时”验收内容</w:t>
            </w:r>
          </w:p>
          <w:p w14:paraId="7D713C09">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jc w:val="both"/>
              <w:textAlignment w:val="auto"/>
              <w:rPr>
                <w:rFonts w:hint="default" w:ascii="Times New Roman" w:hAnsi="Times New Roman" w:eastAsia="宋体" w:cs="Times New Roman"/>
                <w:snapToGrid w:val="0"/>
                <w:color w:val="auto"/>
                <w:kern w:val="0"/>
                <w:sz w:val="24"/>
                <w:szCs w:val="21"/>
                <w:highlight w:val="none"/>
                <w:lang w:val="en-US" w:eastAsia="zh-CN"/>
              </w:rPr>
            </w:pPr>
            <w:r>
              <w:rPr>
                <w:rFonts w:hint="default" w:ascii="Times New Roman" w:hAnsi="Times New Roman" w:eastAsia="宋体" w:cs="Times New Roman"/>
                <w:color w:val="auto"/>
                <w:highlight w:val="none"/>
                <w:lang w:val="en-US" w:eastAsia="zh-CN"/>
              </w:rPr>
              <w:t>根据《固定污染源排污许可分类管理名录》（2019 年版），本项目</w:t>
            </w:r>
            <w:r>
              <w:rPr>
                <w:rFonts w:hint="eastAsia" w:ascii="Times New Roman" w:hAnsi="Times New Roman" w:eastAsia="宋体" w:cs="Times New Roman"/>
                <w:color w:val="auto"/>
                <w:highlight w:val="none"/>
                <w:lang w:val="en-US" w:eastAsia="zh-CN"/>
              </w:rPr>
              <w:t>属于</w:t>
            </w:r>
            <w:r>
              <w:rPr>
                <w:rFonts w:hint="default" w:ascii="Times New Roman" w:hAnsi="Times New Roman" w:cs="Times New Roman"/>
                <w:color w:val="auto"/>
                <w:sz w:val="24"/>
                <w:highlight w:val="none"/>
                <w:lang w:val="en-US" w:eastAsia="zh-CN"/>
              </w:rPr>
              <w:t>结构性金属制品制造</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热风炉使用清洁能源天然气，本企业不属于重点排污单位名录，表面处理中不涉及电镀工序、酸洗、抛光（电解抛光和化学抛光）、热浸镀（溶剂法）、淬火或者钝化等工序，仅为喷砂，年使油性漆5.5t/a，依据</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二十八</w:t>
            </w:r>
            <w:r>
              <w:rPr>
                <w:rFonts w:hint="default" w:ascii="Times New Roman" w:hAnsi="Times New Roman" w:eastAsia="宋体" w:cs="Times New Roman"/>
                <w:color w:val="auto"/>
                <w:highlight w:val="none"/>
                <w:lang w:val="en-US" w:eastAsia="zh-CN"/>
              </w:rPr>
              <w:t>、金属制品业33</w:t>
            </w:r>
            <w:r>
              <w:rPr>
                <w:rFonts w:hint="eastAsia" w:ascii="Times New Roman" w:hAnsi="Times New Roman" w:eastAsia="宋体" w:cs="Times New Roman"/>
                <w:color w:val="auto"/>
                <w:highlight w:val="none"/>
                <w:lang w:val="en-US" w:eastAsia="zh-CN"/>
              </w:rPr>
              <w:t>中的结构性金属制品制造331，</w:t>
            </w:r>
            <w:r>
              <w:rPr>
                <w:rFonts w:hint="default" w:ascii="Times New Roman" w:hAnsi="Times New Roman" w:eastAsia="宋体" w:cs="Times New Roman"/>
                <w:color w:val="auto"/>
                <w:highlight w:val="none"/>
                <w:lang w:val="en-US" w:eastAsia="zh-CN"/>
              </w:rPr>
              <w:t>”中的“</w:t>
            </w:r>
            <w:r>
              <w:rPr>
                <w:rFonts w:hint="eastAsia" w:ascii="Times New Roman" w:hAnsi="Times New Roman" w:eastAsia="宋体" w:cs="Times New Roman"/>
                <w:color w:val="auto"/>
                <w:highlight w:val="none"/>
                <w:lang w:val="en-US" w:eastAsia="zh-CN"/>
              </w:rPr>
              <w:t>其他</w:t>
            </w:r>
            <w:r>
              <w:rPr>
                <w:rFonts w:hint="default" w:ascii="Times New Roman" w:hAnsi="Times New Roman" w:eastAsia="宋体" w:cs="Times New Roman"/>
                <w:color w:val="auto"/>
                <w:highlight w:val="none"/>
                <w:lang w:val="en-US" w:eastAsia="zh-CN"/>
              </w:rPr>
              <w:t>”类别，实行排污许可“</w:t>
            </w:r>
            <w:r>
              <w:rPr>
                <w:rFonts w:hint="eastAsia" w:ascii="Times New Roman" w:hAnsi="Times New Roman" w:eastAsia="宋体" w:cs="Times New Roman"/>
                <w:color w:val="auto"/>
                <w:highlight w:val="none"/>
                <w:lang w:val="en-US" w:eastAsia="zh-CN"/>
              </w:rPr>
              <w:t>登记</w:t>
            </w:r>
            <w:r>
              <w:rPr>
                <w:rFonts w:hint="default" w:ascii="Times New Roman" w:hAnsi="Times New Roman" w:eastAsia="宋体" w:cs="Times New Roman"/>
                <w:color w:val="auto"/>
                <w:highlight w:val="none"/>
                <w:lang w:val="en-US" w:eastAsia="zh-CN"/>
              </w:rPr>
              <w:t>管理”</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本项目建成后将进行自主验收，并按要求申报排污许可。</w:t>
            </w:r>
          </w:p>
          <w:p w14:paraId="4354D21C">
            <w:pPr>
              <w:pStyle w:val="57"/>
              <w:keepNext w:val="0"/>
              <w:keepLines w:val="0"/>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本项目要严格执行</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三同时</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原则，在项目建设过程中，环境污染防治设施应与主体工程同时设计、同时施工、同时投入使用。根据《建设项目竣工环境保护验收暂行办法》相关要求，建设项目竣工后建设单位应尽快组织环境保护竣工验收，验收合格后方可投入正式生产，本项目环保验收一览表见表</w:t>
            </w:r>
            <w:r>
              <w:rPr>
                <w:rFonts w:hint="eastAsia" w:ascii="Times New Roman" w:hAnsi="Times New Roman" w:eastAsia="宋体" w:cs="Times New Roman"/>
                <w:color w:val="auto"/>
                <w:highlight w:val="none"/>
                <w:lang w:val="en-US" w:eastAsia="zh-CN"/>
              </w:rPr>
              <w:t>5-1</w:t>
            </w:r>
            <w:r>
              <w:rPr>
                <w:rFonts w:hint="default" w:ascii="Times New Roman" w:hAnsi="Times New Roman" w:eastAsia="宋体" w:cs="Times New Roman"/>
                <w:color w:val="auto"/>
                <w:highlight w:val="none"/>
              </w:rPr>
              <w:t>。</w:t>
            </w:r>
          </w:p>
          <w:p w14:paraId="04FF8416">
            <w:pPr>
              <w:pStyle w:val="53"/>
              <w:keepNext w:val="0"/>
              <w:keepLines w:val="0"/>
              <w:pageBreakBefore w:val="0"/>
              <w:widowControl/>
              <w:kinsoku/>
              <w:wordWrap/>
              <w:overflowPunct/>
              <w:topLinePunct w:val="0"/>
              <w:autoSpaceDE w:val="0"/>
              <w:autoSpaceDN w:val="0"/>
              <w:bidi w:val="0"/>
              <w:adjustRightInd w:val="0"/>
              <w:snapToGrid w:val="0"/>
              <w:spacing w:before="0" w:beforeAutospacing="0" w:afterAutospacing="0" w:line="360" w:lineRule="auto"/>
              <w:ind w:left="0" w:leftChars="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eastAsia" w:ascii="Times New Roman" w:hAnsi="Times New Roman" w:eastAsia="宋体" w:cs="Times New Roman"/>
                <w:color w:val="auto"/>
                <w:sz w:val="21"/>
                <w:szCs w:val="21"/>
                <w:highlight w:val="none"/>
                <w:lang w:val="en-US" w:eastAsia="zh-CN"/>
              </w:rPr>
              <w:t>5-1</w:t>
            </w:r>
            <w:r>
              <w:rPr>
                <w:rFonts w:hint="default" w:ascii="Times New Roman" w:hAnsi="Times New Roman" w:eastAsia="宋体" w:cs="Times New Roman"/>
                <w:color w:val="auto"/>
                <w:sz w:val="21"/>
                <w:szCs w:val="21"/>
                <w:highlight w:val="none"/>
              </w:rPr>
              <w:t xml:space="preserve"> 环保验收一览表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6"/>
              <w:gridCol w:w="470"/>
              <w:gridCol w:w="309"/>
              <w:gridCol w:w="1119"/>
              <w:gridCol w:w="2503"/>
              <w:gridCol w:w="3522"/>
            </w:tblGrid>
            <w:tr w14:paraId="5EB3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451" w:type="pct"/>
                  <w:gridSpan w:val="4"/>
                  <w:tcBorders>
                    <w:tl2br w:val="nil"/>
                    <w:tr2bl w:val="nil"/>
                  </w:tcBorders>
                  <w:noWrap w:val="0"/>
                  <w:vAlign w:val="center"/>
                </w:tcPr>
                <w:p w14:paraId="4F7FB26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项目及建设内容</w:t>
                  </w:r>
                </w:p>
              </w:tc>
              <w:tc>
                <w:tcPr>
                  <w:tcW w:w="1474" w:type="pct"/>
                  <w:tcBorders>
                    <w:tl2br w:val="nil"/>
                    <w:tr2bl w:val="nil"/>
                  </w:tcBorders>
                  <w:noWrap w:val="0"/>
                  <w:vAlign w:val="center"/>
                </w:tcPr>
                <w:p w14:paraId="2396CB3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治理措施</w:t>
                  </w:r>
                </w:p>
              </w:tc>
              <w:tc>
                <w:tcPr>
                  <w:tcW w:w="2074" w:type="pct"/>
                  <w:tcBorders>
                    <w:tl2br w:val="nil"/>
                    <w:tr2bl w:val="nil"/>
                  </w:tcBorders>
                  <w:noWrap w:val="0"/>
                  <w:vAlign w:val="center"/>
                </w:tcPr>
                <w:p w14:paraId="3EC542F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处理效果、执行标准</w:t>
                  </w:r>
                </w:p>
              </w:tc>
            </w:tr>
            <w:tr w14:paraId="55BA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restart"/>
                  <w:tcBorders>
                    <w:tl2br w:val="nil"/>
                    <w:tr2bl w:val="nil"/>
                  </w:tcBorders>
                  <w:noWrap w:val="0"/>
                  <w:vAlign w:val="center"/>
                </w:tcPr>
                <w:p w14:paraId="48B7672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1118" w:type="pct"/>
                  <w:gridSpan w:val="3"/>
                  <w:tcBorders>
                    <w:tl2br w:val="nil"/>
                    <w:tr2bl w:val="nil"/>
                  </w:tcBorders>
                  <w:noWrap w:val="0"/>
                  <w:vAlign w:val="center"/>
                </w:tcPr>
                <w:p w14:paraId="6AB84B4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切割、喷砂废气</w:t>
                  </w:r>
                </w:p>
              </w:tc>
              <w:tc>
                <w:tcPr>
                  <w:tcW w:w="1474" w:type="pct"/>
                  <w:tcBorders>
                    <w:tl2br w:val="nil"/>
                    <w:tr2bl w:val="nil"/>
                  </w:tcBorders>
                  <w:noWrap w:val="0"/>
                  <w:vAlign w:val="center"/>
                </w:tcPr>
                <w:p w14:paraId="219595E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布袋除尘器+15m高排气筒</w:t>
                  </w:r>
                </w:p>
              </w:tc>
              <w:tc>
                <w:tcPr>
                  <w:tcW w:w="2074" w:type="pct"/>
                  <w:tcBorders>
                    <w:tl2br w:val="nil"/>
                    <w:tr2bl w:val="nil"/>
                  </w:tcBorders>
                  <w:noWrap w:val="0"/>
                  <w:vAlign w:val="center"/>
                </w:tcPr>
                <w:p w14:paraId="2BC6DF3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《大气污染物综合排放标准》（GB16297-1996）</w:t>
                  </w:r>
                  <w:r>
                    <w:rPr>
                      <w:rFonts w:hint="default" w:ascii="Times New Roman" w:hAnsi="Times New Roman" w:eastAsia="宋体" w:cs="Times New Roman"/>
                      <w:color w:val="auto"/>
                      <w:sz w:val="21"/>
                      <w:szCs w:val="21"/>
                      <w:highlight w:val="none"/>
                    </w:rPr>
                    <w:t>表2中大气污染物排放限值要求</w:t>
                  </w:r>
                </w:p>
              </w:tc>
            </w:tr>
            <w:tr w14:paraId="44B0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73FC83D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1118" w:type="pct"/>
                  <w:gridSpan w:val="3"/>
                  <w:tcBorders>
                    <w:tl2br w:val="nil"/>
                    <w:tr2bl w:val="nil"/>
                  </w:tcBorders>
                  <w:noWrap w:val="0"/>
                  <w:vAlign w:val="center"/>
                </w:tcPr>
                <w:p w14:paraId="29C89DD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热风炉废气</w:t>
                  </w:r>
                </w:p>
              </w:tc>
              <w:tc>
                <w:tcPr>
                  <w:tcW w:w="1474" w:type="pct"/>
                  <w:tcBorders>
                    <w:tl2br w:val="nil"/>
                    <w:tr2bl w:val="nil"/>
                  </w:tcBorders>
                  <w:noWrap w:val="0"/>
                  <w:vAlign w:val="center"/>
                </w:tcPr>
                <w:p w14:paraId="632371E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低氮燃烧器+15m高排气筒</w:t>
                  </w:r>
                </w:p>
              </w:tc>
              <w:tc>
                <w:tcPr>
                  <w:tcW w:w="2074" w:type="pct"/>
                  <w:tcBorders>
                    <w:tl2br w:val="nil"/>
                    <w:tr2bl w:val="nil"/>
                  </w:tcBorders>
                  <w:noWrap w:val="0"/>
                  <w:vAlign w:val="center"/>
                </w:tcPr>
                <w:p w14:paraId="75374FE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《新疆维吾尔自治区工业窑炉大气污染物综合治理实施方案》（新大气发〔2019〕127号）相关要求</w:t>
                  </w:r>
                </w:p>
              </w:tc>
            </w:tr>
            <w:tr w14:paraId="7990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0EF1331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1118" w:type="pct"/>
                  <w:gridSpan w:val="3"/>
                  <w:tcBorders>
                    <w:tl2br w:val="nil"/>
                    <w:tr2bl w:val="nil"/>
                  </w:tcBorders>
                  <w:noWrap w:val="0"/>
                  <w:vAlign w:val="center"/>
                </w:tcPr>
                <w:p w14:paraId="0AF4BC7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刷漆、涂粉废气</w:t>
                  </w:r>
                </w:p>
              </w:tc>
              <w:tc>
                <w:tcPr>
                  <w:tcW w:w="1474" w:type="pct"/>
                  <w:tcBorders>
                    <w:tl2br w:val="nil"/>
                    <w:tr2bl w:val="nil"/>
                  </w:tcBorders>
                  <w:noWrap w:val="0"/>
                  <w:vAlign w:val="center"/>
                </w:tcPr>
                <w:p w14:paraId="58FAB7A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活性炭吸附/催化燃烧+15m高排气筒</w:t>
                  </w:r>
                </w:p>
              </w:tc>
              <w:tc>
                <w:tcPr>
                  <w:tcW w:w="2074" w:type="pct"/>
                  <w:tcBorders>
                    <w:tl2br w:val="nil"/>
                    <w:tr2bl w:val="nil"/>
                  </w:tcBorders>
                  <w:noWrap w:val="0"/>
                  <w:vAlign w:val="center"/>
                </w:tcPr>
                <w:p w14:paraId="056D61E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《大气污染物综合排放标准》（GB16297-1996）</w:t>
                  </w:r>
                  <w:r>
                    <w:rPr>
                      <w:rFonts w:hint="default" w:ascii="Times New Roman" w:hAnsi="Times New Roman" w:eastAsia="宋体" w:cs="Times New Roman"/>
                      <w:color w:val="auto"/>
                      <w:sz w:val="21"/>
                      <w:szCs w:val="21"/>
                      <w:highlight w:val="none"/>
                    </w:rPr>
                    <w:t>表2中大气污染物排放限值要求</w:t>
                  </w:r>
                </w:p>
              </w:tc>
            </w:tr>
            <w:tr w14:paraId="3E7C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333" w:type="pct"/>
                  <w:vMerge w:val="continue"/>
                  <w:tcBorders>
                    <w:tl2br w:val="nil"/>
                    <w:tr2bl w:val="nil"/>
                  </w:tcBorders>
                  <w:noWrap w:val="0"/>
                  <w:vAlign w:val="center"/>
                </w:tcPr>
                <w:p w14:paraId="628E8EE9">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277" w:type="pct"/>
                  <w:vMerge w:val="restart"/>
                  <w:tcBorders>
                    <w:tl2br w:val="nil"/>
                    <w:tr2bl w:val="nil"/>
                  </w:tcBorders>
                  <w:noWrap w:val="0"/>
                  <w:vAlign w:val="center"/>
                </w:tcPr>
                <w:p w14:paraId="74684CD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无组织有机废气</w:t>
                  </w:r>
                </w:p>
              </w:tc>
              <w:tc>
                <w:tcPr>
                  <w:tcW w:w="840" w:type="pct"/>
                  <w:gridSpan w:val="2"/>
                  <w:tcBorders>
                    <w:tl2br w:val="nil"/>
                    <w:tr2bl w:val="nil"/>
                  </w:tcBorders>
                  <w:noWrap w:val="0"/>
                  <w:vAlign w:val="center"/>
                </w:tcPr>
                <w:p w14:paraId="0666AEB2">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厂房外（非甲烷总烃）</w:t>
                  </w:r>
                </w:p>
              </w:tc>
              <w:tc>
                <w:tcPr>
                  <w:tcW w:w="1474" w:type="pct"/>
                  <w:vMerge w:val="restart"/>
                  <w:tcBorders>
                    <w:tl2br w:val="nil"/>
                    <w:tr2bl w:val="nil"/>
                  </w:tcBorders>
                  <w:noWrap w:val="0"/>
                  <w:vAlign w:val="center"/>
                </w:tcPr>
                <w:p w14:paraId="47FC4AA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封闭厂房</w:t>
                  </w:r>
                </w:p>
              </w:tc>
              <w:tc>
                <w:tcPr>
                  <w:tcW w:w="2074" w:type="pct"/>
                  <w:tcBorders>
                    <w:tl2br w:val="nil"/>
                    <w:tr2bl w:val="nil"/>
                  </w:tcBorders>
                  <w:noWrap w:val="0"/>
                  <w:vAlign w:val="center"/>
                </w:tcPr>
                <w:p w14:paraId="0AB9E860">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《挥发性有机物无组织排放控制标准》（GB37822-2019）附录A的特别排放限值</w:t>
                  </w:r>
                </w:p>
              </w:tc>
            </w:tr>
            <w:tr w14:paraId="7DAB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333" w:type="pct"/>
                  <w:vMerge w:val="continue"/>
                  <w:tcBorders>
                    <w:tl2br w:val="nil"/>
                    <w:tr2bl w:val="nil"/>
                  </w:tcBorders>
                  <w:noWrap w:val="0"/>
                  <w:vAlign w:val="center"/>
                </w:tcPr>
                <w:p w14:paraId="540F3BC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cs="Times New Roman"/>
                      <w:color w:val="auto"/>
                      <w:highlight w:val="none"/>
                    </w:rPr>
                  </w:pPr>
                </w:p>
              </w:tc>
              <w:tc>
                <w:tcPr>
                  <w:tcW w:w="277" w:type="pct"/>
                  <w:vMerge w:val="continue"/>
                  <w:tcBorders>
                    <w:tl2br w:val="nil"/>
                    <w:tr2bl w:val="nil"/>
                  </w:tcBorders>
                  <w:noWrap w:val="0"/>
                  <w:vAlign w:val="center"/>
                </w:tcPr>
                <w:p w14:paraId="641B951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cs="Times New Roman"/>
                      <w:color w:val="auto"/>
                      <w:highlight w:val="none"/>
                    </w:rPr>
                  </w:pPr>
                </w:p>
              </w:tc>
              <w:tc>
                <w:tcPr>
                  <w:tcW w:w="840" w:type="pct"/>
                  <w:gridSpan w:val="2"/>
                  <w:tcBorders>
                    <w:tl2br w:val="nil"/>
                    <w:tr2bl w:val="nil"/>
                  </w:tcBorders>
                  <w:noWrap w:val="0"/>
                  <w:vAlign w:val="center"/>
                </w:tcPr>
                <w:p w14:paraId="24690DB2">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厂界（颗粒物、非甲烷总烃、二甲苯）</w:t>
                  </w:r>
                </w:p>
              </w:tc>
              <w:tc>
                <w:tcPr>
                  <w:tcW w:w="1474" w:type="pct"/>
                  <w:vMerge w:val="continue"/>
                  <w:tcBorders>
                    <w:tl2br w:val="nil"/>
                    <w:tr2bl w:val="nil"/>
                  </w:tcBorders>
                  <w:noWrap w:val="0"/>
                  <w:vAlign w:val="center"/>
                </w:tcPr>
                <w:p w14:paraId="05C1D10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2074" w:type="pct"/>
                  <w:tcBorders>
                    <w:tl2br w:val="nil"/>
                    <w:tr2bl w:val="nil"/>
                  </w:tcBorders>
                  <w:noWrap w:val="0"/>
                  <w:vAlign w:val="center"/>
                </w:tcPr>
                <w:p w14:paraId="05AA942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《大气污染物综合排放标准》（GB16297-1996）表2中的</w:t>
                  </w:r>
                  <w:r>
                    <w:rPr>
                      <w:rFonts w:hint="eastAsia" w:ascii="Times New Roman" w:hAnsi="Times New Roman" w:eastAsia="宋体" w:cs="Times New Roman"/>
                      <w:color w:val="auto"/>
                      <w:sz w:val="21"/>
                      <w:szCs w:val="21"/>
                      <w:highlight w:val="none"/>
                      <w:lang w:val="en-US" w:eastAsia="zh-CN"/>
                    </w:rPr>
                    <w:t>限值</w:t>
                  </w:r>
                  <w:r>
                    <w:rPr>
                      <w:rFonts w:hint="default" w:ascii="Times New Roman" w:hAnsi="Times New Roman" w:eastAsia="宋体" w:cs="Times New Roman"/>
                      <w:color w:val="auto"/>
                      <w:sz w:val="21"/>
                      <w:szCs w:val="21"/>
                      <w:highlight w:val="none"/>
                      <w:lang w:val="en-US" w:eastAsia="zh-CN"/>
                    </w:rPr>
                    <w:t>要求</w:t>
                  </w:r>
                </w:p>
              </w:tc>
            </w:tr>
            <w:tr w14:paraId="0704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333" w:type="pct"/>
                  <w:vMerge w:val="restart"/>
                  <w:tcBorders>
                    <w:tl2br w:val="nil"/>
                    <w:tr2bl w:val="nil"/>
                  </w:tcBorders>
                  <w:noWrap w:val="0"/>
                  <w:vAlign w:val="center"/>
                </w:tcPr>
                <w:p w14:paraId="7CCE4C4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1118" w:type="pct"/>
                  <w:gridSpan w:val="3"/>
                  <w:tcBorders>
                    <w:tl2br w:val="nil"/>
                    <w:tr2bl w:val="nil"/>
                  </w:tcBorders>
                  <w:noWrap w:val="0"/>
                  <w:vAlign w:val="center"/>
                </w:tcPr>
                <w:p w14:paraId="16F6F03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生活污水</w:t>
                  </w:r>
                </w:p>
              </w:tc>
              <w:tc>
                <w:tcPr>
                  <w:tcW w:w="1474" w:type="pct"/>
                  <w:tcBorders>
                    <w:tl2br w:val="nil"/>
                    <w:tr2bl w:val="nil"/>
                  </w:tcBorders>
                  <w:noWrap w:val="0"/>
                  <w:vAlign w:val="center"/>
                </w:tcPr>
                <w:p w14:paraId="5FA3573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排入市政污水管网</w:t>
                  </w:r>
                </w:p>
              </w:tc>
              <w:tc>
                <w:tcPr>
                  <w:tcW w:w="2074" w:type="pct"/>
                  <w:tcBorders>
                    <w:tl2br w:val="nil"/>
                    <w:tr2bl w:val="nil"/>
                  </w:tcBorders>
                  <w:noWrap w:val="0"/>
                  <w:vAlign w:val="center"/>
                </w:tcPr>
                <w:p w14:paraId="05343A1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《污水综合排放标准》（GB8978-1996）表4中三级标准限值</w:t>
                  </w:r>
                </w:p>
              </w:tc>
            </w:tr>
            <w:tr w14:paraId="1CA6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02024E8D">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1118" w:type="pct"/>
                  <w:gridSpan w:val="3"/>
                  <w:tcBorders>
                    <w:tl2br w:val="nil"/>
                    <w:tr2bl w:val="nil"/>
                  </w:tcBorders>
                  <w:noWrap w:val="0"/>
                  <w:vAlign w:val="center"/>
                </w:tcPr>
                <w:p w14:paraId="3BE6D44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地下水防治</w:t>
                  </w:r>
                </w:p>
              </w:tc>
              <w:tc>
                <w:tcPr>
                  <w:tcW w:w="1474" w:type="pct"/>
                  <w:tcBorders>
                    <w:tl2br w:val="nil"/>
                    <w:tr2bl w:val="nil"/>
                  </w:tcBorders>
                  <w:noWrap w:val="0"/>
                  <w:vAlign w:val="center"/>
                </w:tcPr>
                <w:p w14:paraId="2299750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厂内</w:t>
                  </w:r>
                  <w:r>
                    <w:rPr>
                      <w:rFonts w:hint="default" w:ascii="Times New Roman" w:hAnsi="Times New Roman" w:eastAsia="宋体" w:cs="Times New Roman"/>
                      <w:color w:val="auto"/>
                      <w:sz w:val="21"/>
                      <w:szCs w:val="21"/>
                      <w:highlight w:val="none"/>
                      <w:lang w:val="en-US" w:eastAsia="zh-CN"/>
                    </w:rPr>
                    <w:t>分区</w:t>
                  </w:r>
                  <w:r>
                    <w:rPr>
                      <w:rFonts w:hint="default" w:ascii="Times New Roman" w:hAnsi="Times New Roman" w:eastAsia="宋体" w:cs="Times New Roman"/>
                      <w:color w:val="auto"/>
                      <w:sz w:val="21"/>
                      <w:szCs w:val="21"/>
                      <w:highlight w:val="none"/>
                    </w:rPr>
                    <w:t>防渗</w:t>
                  </w:r>
                </w:p>
              </w:tc>
              <w:tc>
                <w:tcPr>
                  <w:tcW w:w="2074" w:type="pct"/>
                  <w:tcBorders>
                    <w:tl2br w:val="nil"/>
                    <w:tr2bl w:val="nil"/>
                  </w:tcBorders>
                  <w:noWrap w:val="0"/>
                  <w:vAlign w:val="center"/>
                </w:tcPr>
                <w:p w14:paraId="2F5E876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符合环保要求</w:t>
                  </w:r>
                </w:p>
              </w:tc>
            </w:tr>
            <w:tr w14:paraId="2E20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451" w:type="pct"/>
                  <w:gridSpan w:val="4"/>
                  <w:tcBorders>
                    <w:tl2br w:val="nil"/>
                    <w:tr2bl w:val="nil"/>
                  </w:tcBorders>
                  <w:noWrap w:val="0"/>
                  <w:vAlign w:val="center"/>
                </w:tcPr>
                <w:p w14:paraId="3582BA2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1474" w:type="pct"/>
                  <w:tcBorders>
                    <w:tl2br w:val="nil"/>
                    <w:tr2bl w:val="nil"/>
                  </w:tcBorders>
                  <w:noWrap w:val="0"/>
                  <w:vAlign w:val="center"/>
                </w:tcPr>
                <w:p w14:paraId="485161D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选用低声设备、建筑隔声、距离衰减、绿化</w:t>
                  </w:r>
                </w:p>
              </w:tc>
              <w:tc>
                <w:tcPr>
                  <w:tcW w:w="2074" w:type="pct"/>
                  <w:tcBorders>
                    <w:tl2br w:val="nil"/>
                    <w:tr2bl w:val="nil"/>
                  </w:tcBorders>
                  <w:noWrap w:val="0"/>
                  <w:vAlign w:val="center"/>
                </w:tcPr>
                <w:p w14:paraId="0ABA054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厂界噪声达到《工业企业厂界噪声排放标准》（GB12348-2008）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p>
              </w:tc>
            </w:tr>
            <w:tr w14:paraId="391A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restart"/>
                  <w:tcBorders>
                    <w:tl2br w:val="nil"/>
                    <w:tr2bl w:val="nil"/>
                  </w:tcBorders>
                  <w:noWrap w:val="0"/>
                  <w:vAlign w:val="center"/>
                </w:tcPr>
                <w:p w14:paraId="2FBD5F9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p w14:paraId="41FAAB0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1118" w:type="pct"/>
                  <w:gridSpan w:val="3"/>
                  <w:tcBorders>
                    <w:tl2br w:val="nil"/>
                    <w:tr2bl w:val="nil"/>
                  </w:tcBorders>
                  <w:noWrap w:val="0"/>
                  <w:vAlign w:val="center"/>
                </w:tcPr>
                <w:p w14:paraId="13687B9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1474" w:type="pct"/>
                  <w:tcBorders>
                    <w:tl2br w:val="nil"/>
                    <w:tr2bl w:val="nil"/>
                  </w:tcBorders>
                  <w:noWrap w:val="0"/>
                  <w:vAlign w:val="center"/>
                </w:tcPr>
                <w:p w14:paraId="1A8ACA5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分类收集后，定期运至生活垃圾填埋场集中处置</w:t>
                  </w:r>
                </w:p>
              </w:tc>
              <w:tc>
                <w:tcPr>
                  <w:tcW w:w="2074" w:type="pct"/>
                  <w:vMerge w:val="restart"/>
                  <w:tcBorders>
                    <w:tl2br w:val="nil"/>
                    <w:tr2bl w:val="nil"/>
                  </w:tcBorders>
                  <w:noWrap w:val="0"/>
                  <w:vAlign w:val="center"/>
                </w:tcPr>
                <w:p w14:paraId="62897AD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得到合理处置，不产生二次污染</w:t>
                  </w:r>
                </w:p>
              </w:tc>
            </w:tr>
            <w:tr w14:paraId="2494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36C469E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459" w:type="pct"/>
                  <w:gridSpan w:val="2"/>
                  <w:vMerge w:val="restart"/>
                  <w:tcBorders>
                    <w:tl2br w:val="nil"/>
                    <w:tr2bl w:val="nil"/>
                  </w:tcBorders>
                  <w:noWrap w:val="0"/>
                  <w:vAlign w:val="center"/>
                </w:tcPr>
                <w:p w14:paraId="597184A8">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一般工业固废</w:t>
                  </w:r>
                </w:p>
              </w:tc>
              <w:tc>
                <w:tcPr>
                  <w:tcW w:w="658" w:type="pct"/>
                  <w:tcBorders>
                    <w:tl2br w:val="nil"/>
                    <w:tr2bl w:val="nil"/>
                  </w:tcBorders>
                  <w:noWrap w:val="0"/>
                  <w:vAlign w:val="center"/>
                </w:tcPr>
                <w:p w14:paraId="1EF35734">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废包装材料</w:t>
                  </w:r>
                </w:p>
              </w:tc>
              <w:tc>
                <w:tcPr>
                  <w:tcW w:w="1474" w:type="pct"/>
                  <w:vMerge w:val="restart"/>
                  <w:tcBorders>
                    <w:tl2br w:val="nil"/>
                    <w:tr2bl w:val="nil"/>
                  </w:tcBorders>
                  <w:noWrap w:val="0"/>
                  <w:vAlign w:val="center"/>
                </w:tcPr>
                <w:p w14:paraId="0B7A22A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外售给废品回收站</w:t>
                  </w:r>
                </w:p>
              </w:tc>
              <w:tc>
                <w:tcPr>
                  <w:tcW w:w="2074" w:type="pct"/>
                  <w:vMerge w:val="continue"/>
                  <w:tcBorders>
                    <w:tl2br w:val="nil"/>
                    <w:tr2bl w:val="nil"/>
                  </w:tcBorders>
                  <w:noWrap w:val="0"/>
                  <w:vAlign w:val="center"/>
                </w:tcPr>
                <w:p w14:paraId="3676A41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r>
            <w:tr w14:paraId="0AEC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7627B51D">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459" w:type="pct"/>
                  <w:gridSpan w:val="2"/>
                  <w:vMerge w:val="continue"/>
                  <w:tcBorders>
                    <w:tl2br w:val="nil"/>
                    <w:tr2bl w:val="nil"/>
                  </w:tcBorders>
                  <w:noWrap w:val="0"/>
                  <w:vAlign w:val="center"/>
                </w:tcPr>
                <w:p w14:paraId="7FA21F3F">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658" w:type="pct"/>
                  <w:tcBorders>
                    <w:tl2br w:val="nil"/>
                    <w:tr2bl w:val="nil"/>
                  </w:tcBorders>
                  <w:noWrap w:val="0"/>
                  <w:vAlign w:val="center"/>
                </w:tcPr>
                <w:p w14:paraId="5C5AADC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钢材边角料</w:t>
                  </w:r>
                </w:p>
              </w:tc>
              <w:tc>
                <w:tcPr>
                  <w:tcW w:w="1474" w:type="pct"/>
                  <w:vMerge w:val="continue"/>
                  <w:tcBorders>
                    <w:tl2br w:val="nil"/>
                    <w:tr2bl w:val="nil"/>
                  </w:tcBorders>
                  <w:noWrap w:val="0"/>
                  <w:vAlign w:val="center"/>
                </w:tcPr>
                <w:p w14:paraId="55DEB57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pacing w:val="0"/>
                      <w:sz w:val="21"/>
                      <w:szCs w:val="21"/>
                      <w:highlight w:val="none"/>
                      <w:lang w:val="en-US" w:eastAsia="zh-CN"/>
                    </w:rPr>
                  </w:pPr>
                </w:p>
              </w:tc>
              <w:tc>
                <w:tcPr>
                  <w:tcW w:w="2074" w:type="pct"/>
                  <w:vMerge w:val="continue"/>
                  <w:tcBorders>
                    <w:tl2br w:val="nil"/>
                    <w:tr2bl w:val="nil"/>
                  </w:tcBorders>
                  <w:noWrap w:val="0"/>
                  <w:vAlign w:val="center"/>
                </w:tcPr>
                <w:p w14:paraId="6D448CD6">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r>
            <w:tr w14:paraId="19C3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33" w:type="pct"/>
                  <w:vMerge w:val="continue"/>
                  <w:tcBorders>
                    <w:tl2br w:val="nil"/>
                    <w:tr2bl w:val="nil"/>
                  </w:tcBorders>
                  <w:noWrap w:val="0"/>
                  <w:vAlign w:val="center"/>
                </w:tcPr>
                <w:p w14:paraId="23E2D4C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459" w:type="pct"/>
                  <w:gridSpan w:val="2"/>
                  <w:vMerge w:val="restart"/>
                  <w:tcBorders>
                    <w:tl2br w:val="nil"/>
                    <w:tr2bl w:val="nil"/>
                  </w:tcBorders>
                  <w:noWrap w:val="0"/>
                  <w:vAlign w:val="center"/>
                </w:tcPr>
                <w:p w14:paraId="3920BAC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危险废物</w:t>
                  </w:r>
                </w:p>
              </w:tc>
              <w:tc>
                <w:tcPr>
                  <w:tcW w:w="658" w:type="pct"/>
                  <w:tcBorders>
                    <w:tl2br w:val="nil"/>
                    <w:tr2bl w:val="nil"/>
                  </w:tcBorders>
                  <w:noWrap w:val="0"/>
                  <w:vAlign w:val="center"/>
                </w:tcPr>
                <w:p w14:paraId="2352CE5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油漆桶</w:t>
                  </w:r>
                </w:p>
              </w:tc>
              <w:tc>
                <w:tcPr>
                  <w:tcW w:w="1474" w:type="pct"/>
                  <w:vMerge w:val="restart"/>
                  <w:tcBorders>
                    <w:tl2br w:val="nil"/>
                    <w:tr2bl w:val="nil"/>
                  </w:tcBorders>
                  <w:noWrap w:val="0"/>
                  <w:vAlign w:val="center"/>
                </w:tcPr>
                <w:p w14:paraId="59CEFB87">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暂存于危废暂存间，定期交由有资质单位进行处理</w:t>
                  </w:r>
                </w:p>
              </w:tc>
              <w:tc>
                <w:tcPr>
                  <w:tcW w:w="2074" w:type="pct"/>
                  <w:vMerge w:val="restart"/>
                  <w:tcBorders>
                    <w:tl2br w:val="nil"/>
                    <w:tr2bl w:val="nil"/>
                  </w:tcBorders>
                  <w:noWrap w:val="0"/>
                  <w:vAlign w:val="center"/>
                </w:tcPr>
                <w:p w14:paraId="087DA271">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合理处置</w:t>
                  </w:r>
                </w:p>
              </w:tc>
            </w:tr>
            <w:tr w14:paraId="3A18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33" w:type="pct"/>
                  <w:vMerge w:val="continue"/>
                  <w:tcBorders>
                    <w:tl2br w:val="nil"/>
                    <w:tr2bl w:val="nil"/>
                  </w:tcBorders>
                  <w:noWrap w:val="0"/>
                  <w:vAlign w:val="center"/>
                </w:tcPr>
                <w:p w14:paraId="3320CD1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cs="Times New Roman"/>
                      <w:color w:val="auto"/>
                      <w:highlight w:val="none"/>
                    </w:rPr>
                  </w:pPr>
                </w:p>
              </w:tc>
              <w:tc>
                <w:tcPr>
                  <w:tcW w:w="459" w:type="pct"/>
                  <w:gridSpan w:val="2"/>
                  <w:vMerge w:val="continue"/>
                  <w:tcBorders>
                    <w:tl2br w:val="nil"/>
                    <w:tr2bl w:val="nil"/>
                  </w:tcBorders>
                  <w:noWrap w:val="0"/>
                  <w:vAlign w:val="center"/>
                </w:tcPr>
                <w:p w14:paraId="0C379FA3">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cs="Times New Roman"/>
                      <w:color w:val="auto"/>
                      <w:highlight w:val="none"/>
                    </w:rPr>
                  </w:pPr>
                </w:p>
              </w:tc>
              <w:tc>
                <w:tcPr>
                  <w:tcW w:w="658" w:type="pct"/>
                  <w:tcBorders>
                    <w:tl2br w:val="nil"/>
                    <w:tr2bl w:val="nil"/>
                  </w:tcBorders>
                  <w:noWrap w:val="0"/>
                  <w:vAlign w:val="center"/>
                </w:tcPr>
                <w:p w14:paraId="53333C5E">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废漆渣</w:t>
                  </w:r>
                </w:p>
              </w:tc>
              <w:tc>
                <w:tcPr>
                  <w:tcW w:w="1474" w:type="pct"/>
                  <w:vMerge w:val="continue"/>
                  <w:tcBorders>
                    <w:tl2br w:val="nil"/>
                    <w:tr2bl w:val="nil"/>
                  </w:tcBorders>
                  <w:noWrap w:val="0"/>
                  <w:vAlign w:val="center"/>
                </w:tcPr>
                <w:p w14:paraId="6E64FC4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p>
              </w:tc>
              <w:tc>
                <w:tcPr>
                  <w:tcW w:w="2074" w:type="pct"/>
                  <w:vMerge w:val="continue"/>
                  <w:tcBorders>
                    <w:tl2br w:val="nil"/>
                    <w:tr2bl w:val="nil"/>
                  </w:tcBorders>
                  <w:noWrap w:val="0"/>
                  <w:vAlign w:val="center"/>
                </w:tcPr>
                <w:p w14:paraId="73F44ED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p>
              </w:tc>
            </w:tr>
            <w:tr w14:paraId="5929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3" w:type="pct"/>
                  <w:vMerge w:val="continue"/>
                  <w:tcBorders>
                    <w:tl2br w:val="nil"/>
                    <w:tr2bl w:val="nil"/>
                  </w:tcBorders>
                  <w:noWrap w:val="0"/>
                  <w:vAlign w:val="center"/>
                </w:tcPr>
                <w:p w14:paraId="32B01ADC">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c>
                <w:tcPr>
                  <w:tcW w:w="459" w:type="pct"/>
                  <w:gridSpan w:val="2"/>
                  <w:vMerge w:val="continue"/>
                  <w:tcBorders>
                    <w:tl2br w:val="nil"/>
                    <w:tr2bl w:val="nil"/>
                  </w:tcBorders>
                  <w:noWrap w:val="0"/>
                  <w:vAlign w:val="center"/>
                </w:tcPr>
                <w:p w14:paraId="406EB8FA">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p>
              </w:tc>
              <w:tc>
                <w:tcPr>
                  <w:tcW w:w="658" w:type="pct"/>
                  <w:tcBorders>
                    <w:tl2br w:val="nil"/>
                    <w:tr2bl w:val="nil"/>
                  </w:tcBorders>
                  <w:noWrap w:val="0"/>
                  <w:vAlign w:val="center"/>
                </w:tcPr>
                <w:p w14:paraId="387CD01B">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废活性炭</w:t>
                  </w:r>
                </w:p>
              </w:tc>
              <w:tc>
                <w:tcPr>
                  <w:tcW w:w="1474" w:type="pct"/>
                  <w:vMerge w:val="continue"/>
                  <w:tcBorders>
                    <w:tl2br w:val="nil"/>
                    <w:tr2bl w:val="nil"/>
                  </w:tcBorders>
                  <w:noWrap w:val="0"/>
                  <w:vAlign w:val="center"/>
                </w:tcPr>
                <w:p w14:paraId="79723F6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lang w:val="en-US" w:eastAsia="zh-CN"/>
                    </w:rPr>
                  </w:pPr>
                </w:p>
              </w:tc>
              <w:tc>
                <w:tcPr>
                  <w:tcW w:w="2074" w:type="pct"/>
                  <w:vMerge w:val="continue"/>
                  <w:tcBorders>
                    <w:tl2br w:val="nil"/>
                    <w:tr2bl w:val="nil"/>
                  </w:tcBorders>
                  <w:noWrap w:val="0"/>
                  <w:vAlign w:val="center"/>
                </w:tcPr>
                <w:p w14:paraId="599A8C55">
                  <w:pPr>
                    <w:pStyle w:val="5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firstLineChars="0"/>
                    <w:textAlignment w:val="auto"/>
                    <w:rPr>
                      <w:rFonts w:hint="default" w:ascii="Times New Roman" w:hAnsi="Times New Roman" w:eastAsia="宋体" w:cs="Times New Roman"/>
                      <w:color w:val="auto"/>
                      <w:sz w:val="21"/>
                      <w:szCs w:val="21"/>
                      <w:highlight w:val="none"/>
                    </w:rPr>
                  </w:pPr>
                </w:p>
              </w:tc>
            </w:tr>
          </w:tbl>
          <w:p w14:paraId="0A803D6F">
            <w:pPr>
              <w:pStyle w:val="2"/>
              <w:rPr>
                <w:rFonts w:hint="default"/>
                <w:color w:val="auto"/>
                <w:highlight w:val="none"/>
              </w:rPr>
            </w:pPr>
          </w:p>
        </w:tc>
      </w:tr>
    </w:tbl>
    <w:p w14:paraId="6DC4A669">
      <w:pPr>
        <w:keepNext w:val="0"/>
        <w:keepLines w:val="0"/>
        <w:pageBreakBefore w:val="0"/>
        <w:wordWrap/>
        <w:bidi w:val="0"/>
        <w:adjustRightInd w:val="0"/>
        <w:snapToGrid w:val="0"/>
        <w:rPr>
          <w:rFonts w:hint="default" w:ascii="Times New Roman" w:hAnsi="Times New Roman" w:cs="Times New Roman"/>
          <w:color w:val="auto"/>
          <w:sz w:val="21"/>
          <w:highlight w:val="none"/>
        </w:rPr>
      </w:pPr>
    </w:p>
    <w:p w14:paraId="05B702C2">
      <w:pPr>
        <w:keepNext w:val="0"/>
        <w:keepLines w:val="0"/>
        <w:pageBreakBefore w:val="0"/>
        <w:wordWrap/>
        <w:bidi w:val="0"/>
        <w:adjustRightInd w:val="0"/>
        <w:snapToGrid w:val="0"/>
        <w:rPr>
          <w:rFonts w:hint="default" w:ascii="Times New Roman" w:hAnsi="Times New Roman" w:cs="Times New Roman"/>
          <w:color w:val="auto"/>
          <w:highlight w:val="none"/>
        </w:rPr>
        <w:sectPr>
          <w:footerReference r:id="rId9" w:type="default"/>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0173D915">
      <w:pPr>
        <w:keepNext w:val="0"/>
        <w:keepLines w:val="0"/>
        <w:pageBreakBefore w:val="0"/>
        <w:widowControl/>
        <w:numPr>
          <w:ilvl w:val="0"/>
          <w:numId w:val="6"/>
        </w:numPr>
        <w:kinsoku w:val="0"/>
        <w:wordWrap/>
        <w:overflowPunct/>
        <w:topLinePunct w:val="0"/>
        <w:autoSpaceDE w:val="0"/>
        <w:autoSpaceDN w:val="0"/>
        <w:bidi w:val="0"/>
        <w:adjustRightInd w:val="0"/>
        <w:snapToGrid w:val="0"/>
        <w:spacing w:line="360" w:lineRule="auto"/>
        <w:ind w:left="0"/>
        <w:jc w:val="center"/>
        <w:textAlignment w:val="baseline"/>
        <w:rPr>
          <w:rFonts w:hint="default" w:ascii="Times New Roman" w:hAnsi="Times New Roman" w:eastAsia="黑体" w:cs="Times New Roman"/>
          <w:color w:val="auto"/>
          <w:spacing w:val="4"/>
          <w:sz w:val="29"/>
          <w:szCs w:val="29"/>
          <w:highlight w:val="none"/>
        </w:rPr>
      </w:pPr>
      <w:r>
        <w:rPr>
          <w:rFonts w:hint="default" w:ascii="Times New Roman" w:hAnsi="Times New Roman" w:eastAsia="黑体" w:cs="Times New Roman"/>
          <w:color w:val="auto"/>
          <w:spacing w:val="4"/>
          <w:sz w:val="29"/>
          <w:szCs w:val="29"/>
          <w:highlight w:val="none"/>
        </w:rPr>
        <w:t>结论</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9"/>
      </w:tblGrid>
      <w:tr w14:paraId="5E99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3" w:hRule="atLeast"/>
          <w:jc w:val="center"/>
        </w:trPr>
        <w:tc>
          <w:tcPr>
            <w:tcW w:w="9059" w:type="dxa"/>
            <w:vAlign w:val="top"/>
          </w:tcPr>
          <w:p w14:paraId="50F925D8">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100" w:after="0" w:line="360" w:lineRule="auto"/>
              <w:ind w:firstLine="480" w:firstLineChars="200"/>
              <w:jc w:val="both"/>
              <w:textAlignment w:val="baseline"/>
              <w:rPr>
                <w:rFonts w:hint="default" w:ascii="Times New Roman" w:hAnsi="Times New Roman" w:eastAsia="宋体" w:cs="Times New Roman"/>
                <w:color w:val="auto"/>
                <w:sz w:val="24"/>
                <w:szCs w:val="24"/>
                <w:highlight w:val="none"/>
                <w:vertAlign w:val="baseline"/>
              </w:rPr>
            </w:pPr>
            <w:r>
              <w:rPr>
                <w:rFonts w:hint="default" w:ascii="Times New Roman" w:hAnsi="Times New Roman" w:eastAsia="宋体" w:cs="Times New Roman"/>
                <w:color w:val="auto"/>
                <w:sz w:val="24"/>
                <w:szCs w:val="24"/>
                <w:highlight w:val="none"/>
                <w:vertAlign w:val="baseline"/>
              </w:rPr>
              <w:t>本项目具有较明显的社会--经济效益，建设项目建成后对促进本地区经济发展有一定促进作用。建设单位在严格执行建设项目环境保护</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rPr>
              <w:t>三同时制度</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rPr>
              <w:t>、对各项污染防治措施和上述建议切实逐项予以落实、并加强生产和污染治理设施的运行管理、保证各种污染物达标排放的前提下，本项目对周围环境质量影响较小，符合国家、地方的环保标准，因而本项目从环境保护的角度来看，该项目的建设是合理可行的。</w:t>
            </w:r>
          </w:p>
        </w:tc>
      </w:tr>
    </w:tbl>
    <w:p w14:paraId="0D9A4519">
      <w:pPr>
        <w:pStyle w:val="22"/>
        <w:keepNext w:val="0"/>
        <w:keepLines w:val="0"/>
        <w:pageBreakBefore w:val="0"/>
        <w:numPr>
          <w:ilvl w:val="0"/>
          <w:numId w:val="0"/>
        </w:numPr>
        <w:wordWrap/>
        <w:bidi w:val="0"/>
        <w:adjustRightInd w:val="0"/>
        <w:snapToGrid w:val="0"/>
        <w:ind w:leftChars="400"/>
        <w:jc w:val="center"/>
        <w:rPr>
          <w:rFonts w:hint="default" w:ascii="Times New Roman" w:hAnsi="Times New Roman" w:cs="Times New Roman"/>
          <w:color w:val="auto"/>
          <w:highlight w:val="none"/>
        </w:rPr>
      </w:pPr>
    </w:p>
    <w:p w14:paraId="610E3807">
      <w:pPr>
        <w:pStyle w:val="22"/>
        <w:keepNext w:val="0"/>
        <w:keepLines w:val="0"/>
        <w:pageBreakBefore w:val="0"/>
        <w:wordWrap/>
        <w:bidi w:val="0"/>
        <w:adjustRightInd w:val="0"/>
        <w:snapToGrid w:val="0"/>
        <w:ind w:left="0" w:leftChars="0" w:firstLine="0" w:firstLineChars="0"/>
        <w:rPr>
          <w:rFonts w:hint="default" w:ascii="Times New Roman" w:hAnsi="Times New Roman" w:cs="Times New Roman"/>
          <w:color w:val="auto"/>
          <w:highlight w:val="none"/>
        </w:rPr>
        <w:sectPr>
          <w:footerReference r:id="rId10" w:type="default"/>
          <w:pgSz w:w="11905" w:h="16838"/>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pPr>
    </w:p>
    <w:p w14:paraId="56B5EC75">
      <w:pPr>
        <w:keepNext w:val="0"/>
        <w:keepLines w:val="0"/>
        <w:pageBreakBefore w:val="0"/>
        <w:wordWrap/>
        <w:bidi w:val="0"/>
        <w:adjustRightInd w:val="0"/>
        <w:snapToGrid w:val="0"/>
        <w:spacing w:before="100" w:line="228" w:lineRule="auto"/>
        <w:outlineLvl w:val="2"/>
        <w:rPr>
          <w:rFonts w:hint="default" w:ascii="Times New Roman" w:hAnsi="Times New Roman" w:eastAsia="黑体" w:cs="Times New Roman"/>
          <w:color w:val="auto"/>
          <w:sz w:val="31"/>
          <w:szCs w:val="31"/>
          <w:highlight w:val="none"/>
        </w:rPr>
      </w:pPr>
      <w:r>
        <w:rPr>
          <w:rFonts w:hint="default" w:ascii="Times New Roman" w:hAnsi="Times New Roman" w:eastAsia="黑体" w:cs="Times New Roman"/>
          <w:color w:val="auto"/>
          <w:spacing w:val="-6"/>
          <w:sz w:val="31"/>
          <w:szCs w:val="31"/>
          <w:highlight w:val="none"/>
        </w:rPr>
        <w:t>附表</w:t>
      </w:r>
    </w:p>
    <w:p w14:paraId="7B98B66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2"/>
        <w:rPr>
          <w:rFonts w:hint="default" w:ascii="Times New Roman" w:hAnsi="Times New Roman" w:eastAsia="微软雅黑" w:cs="Times New Roman"/>
          <w:color w:val="auto"/>
          <w:sz w:val="37"/>
          <w:szCs w:val="37"/>
          <w:highlight w:val="none"/>
        </w:rPr>
      </w:pPr>
      <w:r>
        <w:rPr>
          <w:rFonts w:hint="default" w:ascii="Times New Roman" w:hAnsi="Times New Roman" w:eastAsia="微软雅黑" w:cs="Times New Roman"/>
          <w:color w:val="auto"/>
          <w:spacing w:val="9"/>
          <w:sz w:val="37"/>
          <w:szCs w:val="37"/>
          <w:highlight w:val="none"/>
        </w:rPr>
        <w:t>建设项目污染物排放量汇总</w:t>
      </w:r>
      <w:r>
        <w:rPr>
          <w:rFonts w:hint="default" w:ascii="Times New Roman" w:hAnsi="Times New Roman" w:eastAsia="微软雅黑" w:cs="Times New Roman"/>
          <w:color w:val="auto"/>
          <w:spacing w:val="8"/>
          <w:sz w:val="37"/>
          <w:szCs w:val="37"/>
          <w:highlight w:val="none"/>
        </w:rPr>
        <w:t>表</w:t>
      </w:r>
    </w:p>
    <w:tbl>
      <w:tblPr>
        <w:tblStyle w:val="41"/>
        <w:tblW w:w="5278"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1166"/>
        <w:gridCol w:w="1968"/>
        <w:gridCol w:w="1988"/>
        <w:gridCol w:w="1242"/>
        <w:gridCol w:w="1694"/>
        <w:gridCol w:w="1860"/>
        <w:gridCol w:w="1717"/>
        <w:gridCol w:w="1639"/>
        <w:gridCol w:w="1289"/>
      </w:tblGrid>
      <w:tr w14:paraId="7550ED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tcBorders>
              <w:top w:val="single" w:color="000000" w:sz="8" w:space="0"/>
              <w:left w:val="single" w:color="000000" w:sz="8" w:space="0"/>
              <w:bottom w:val="single" w:color="000000" w:sz="8" w:space="0"/>
              <w:right w:val="single" w:color="000000" w:sz="8" w:space="0"/>
              <w:tl2br w:val="single" w:color="000000" w:sz="8" w:space="0"/>
            </w:tcBorders>
            <w:vAlign w:val="center"/>
          </w:tcPr>
          <w:p w14:paraId="5057E9B9">
            <w:pPr>
              <w:keepNext w:val="0"/>
              <w:keepLines w:val="0"/>
              <w:pageBreakBefore w:val="0"/>
              <w:widowControl/>
              <w:kinsoku w:val="0"/>
              <w:wordWrap/>
              <w:overflowPunct/>
              <w:topLinePunct w:val="0"/>
              <w:autoSpaceDE w:val="0"/>
              <w:autoSpaceDN w:val="0"/>
              <w:bidi w:val="0"/>
              <w:adjustRightInd w:val="0"/>
              <w:snapToGrid w:val="0"/>
              <w:spacing w:line="240" w:lineRule="auto"/>
              <w:ind w:left="420" w:leftChars="20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w:t>
            </w:r>
          </w:p>
          <w:p w14:paraId="56971DE0">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3"/>
                <w:sz w:val="21"/>
                <w:szCs w:val="21"/>
                <w:highlight w:val="none"/>
              </w:rPr>
              <w:t>分</w:t>
            </w:r>
            <w:r>
              <w:rPr>
                <w:rFonts w:hint="default" w:ascii="Times New Roman" w:hAnsi="Times New Roman" w:eastAsia="宋体" w:cs="Times New Roman"/>
                <w:b/>
                <w:bCs/>
                <w:color w:val="auto"/>
                <w:spacing w:val="-2"/>
                <w:sz w:val="21"/>
                <w:szCs w:val="21"/>
                <w:highlight w:val="none"/>
              </w:rPr>
              <w:t>类</w:t>
            </w:r>
          </w:p>
        </w:tc>
        <w:tc>
          <w:tcPr>
            <w:tcW w:w="675" w:type="pct"/>
            <w:tcBorders>
              <w:left w:val="single" w:color="000000" w:sz="8" w:space="0"/>
              <w:tl2br w:val="nil"/>
              <w:tr2bl w:val="nil"/>
            </w:tcBorders>
            <w:vAlign w:val="center"/>
          </w:tcPr>
          <w:p w14:paraId="6BE75E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3"/>
                <w:sz w:val="21"/>
                <w:szCs w:val="21"/>
                <w:highlight w:val="none"/>
              </w:rPr>
              <w:t>污</w:t>
            </w:r>
            <w:r>
              <w:rPr>
                <w:rFonts w:hint="default" w:ascii="Times New Roman" w:hAnsi="Times New Roman" w:eastAsia="宋体" w:cs="Times New Roman"/>
                <w:b/>
                <w:bCs/>
                <w:color w:val="auto"/>
                <w:spacing w:val="-2"/>
                <w:sz w:val="21"/>
                <w:szCs w:val="21"/>
                <w:highlight w:val="none"/>
              </w:rPr>
              <w:t>染物名称</w:t>
            </w:r>
          </w:p>
        </w:tc>
        <w:tc>
          <w:tcPr>
            <w:tcW w:w="682" w:type="pct"/>
            <w:tcBorders>
              <w:tl2br w:val="nil"/>
              <w:tr2bl w:val="nil"/>
            </w:tcBorders>
            <w:vAlign w:val="center"/>
          </w:tcPr>
          <w:p w14:paraId="3E1124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1"/>
                <w:sz w:val="21"/>
                <w:szCs w:val="21"/>
                <w:highlight w:val="none"/>
              </w:rPr>
              <w:t>现有工程</w:t>
            </w:r>
            <w:r>
              <w:rPr>
                <w:rFonts w:hint="default" w:ascii="Times New Roman" w:hAnsi="Times New Roman" w:eastAsia="宋体" w:cs="Times New Roman"/>
                <w:b/>
                <w:bCs/>
                <w:color w:val="auto"/>
                <w:spacing w:val="-2"/>
                <w:sz w:val="21"/>
                <w:szCs w:val="21"/>
                <w:highlight w:val="none"/>
              </w:rPr>
              <w:t>排放</w:t>
            </w:r>
            <w:r>
              <w:rPr>
                <w:rFonts w:hint="default" w:ascii="Times New Roman" w:hAnsi="Times New Roman" w:eastAsia="宋体" w:cs="Times New Roman"/>
                <w:b/>
                <w:bCs/>
                <w:color w:val="auto"/>
                <w:spacing w:val="-1"/>
                <w:sz w:val="21"/>
                <w:szCs w:val="21"/>
                <w:highlight w:val="none"/>
              </w:rPr>
              <w:t>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固体废物产生量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①</w:t>
            </w:r>
          </w:p>
        </w:tc>
        <w:tc>
          <w:tcPr>
            <w:tcW w:w="426" w:type="pct"/>
            <w:tcBorders>
              <w:tl2br w:val="nil"/>
              <w:tr2bl w:val="nil"/>
            </w:tcBorders>
            <w:vAlign w:val="center"/>
          </w:tcPr>
          <w:p w14:paraId="7FC2BA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1"/>
                <w:sz w:val="21"/>
                <w:szCs w:val="21"/>
                <w:highlight w:val="none"/>
              </w:rPr>
              <w:t>现有工程</w:t>
            </w:r>
            <w:r>
              <w:rPr>
                <w:rFonts w:hint="default" w:ascii="Times New Roman" w:hAnsi="Times New Roman" w:eastAsia="宋体" w:cs="Times New Roman"/>
                <w:b/>
                <w:bCs/>
                <w:color w:val="auto"/>
                <w:spacing w:val="-2"/>
                <w:sz w:val="21"/>
                <w:szCs w:val="21"/>
                <w:highlight w:val="none"/>
              </w:rPr>
              <w:t>许可</w:t>
            </w:r>
            <w:r>
              <w:rPr>
                <w:rFonts w:hint="default" w:ascii="Times New Roman" w:hAnsi="Times New Roman" w:eastAsia="宋体" w:cs="Times New Roman"/>
                <w:b/>
                <w:bCs/>
                <w:color w:val="auto"/>
                <w:spacing w:val="-1"/>
                <w:sz w:val="21"/>
                <w:szCs w:val="21"/>
                <w:highlight w:val="none"/>
              </w:rPr>
              <w:t>排放量</w:t>
            </w:r>
            <w:r>
              <w:rPr>
                <w:rFonts w:hint="default" w:ascii="Times New Roman" w:hAnsi="Times New Roman" w:eastAsia="宋体" w:cs="Times New Roman"/>
                <w:b/>
                <w:bCs/>
                <w:color w:val="auto"/>
                <w:sz w:val="21"/>
                <w:szCs w:val="21"/>
                <w:highlight w:val="none"/>
              </w:rPr>
              <w:t>②</w:t>
            </w:r>
          </w:p>
        </w:tc>
        <w:tc>
          <w:tcPr>
            <w:tcW w:w="581" w:type="pct"/>
            <w:tcBorders>
              <w:tl2br w:val="nil"/>
              <w:tr2bl w:val="nil"/>
            </w:tcBorders>
            <w:vAlign w:val="center"/>
          </w:tcPr>
          <w:p w14:paraId="068F59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1"/>
                <w:sz w:val="21"/>
                <w:szCs w:val="21"/>
                <w:highlight w:val="none"/>
              </w:rPr>
              <w:t>在建</w:t>
            </w:r>
            <w:r>
              <w:rPr>
                <w:rFonts w:hint="default" w:ascii="Times New Roman" w:hAnsi="Times New Roman" w:eastAsia="宋体" w:cs="Times New Roman"/>
                <w:b/>
                <w:bCs/>
                <w:color w:val="auto"/>
                <w:sz w:val="21"/>
                <w:szCs w:val="21"/>
                <w:highlight w:val="none"/>
              </w:rPr>
              <w:t>工程</w:t>
            </w:r>
            <w:r>
              <w:rPr>
                <w:rFonts w:hint="default" w:ascii="Times New Roman" w:hAnsi="Times New Roman" w:eastAsia="宋体" w:cs="Times New Roman"/>
                <w:b/>
                <w:bCs/>
                <w:color w:val="auto"/>
                <w:spacing w:val="-2"/>
                <w:sz w:val="21"/>
                <w:szCs w:val="21"/>
                <w:highlight w:val="none"/>
              </w:rPr>
              <w:t>排放</w:t>
            </w:r>
            <w:r>
              <w:rPr>
                <w:rFonts w:hint="default" w:ascii="Times New Roman" w:hAnsi="Times New Roman" w:eastAsia="宋体" w:cs="Times New Roman"/>
                <w:b/>
                <w:bCs/>
                <w:color w:val="auto"/>
                <w:spacing w:val="-1"/>
                <w:sz w:val="21"/>
                <w:szCs w:val="21"/>
                <w:highlight w:val="none"/>
              </w:rPr>
              <w:t>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固体废物产生量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③</w:t>
            </w:r>
          </w:p>
        </w:tc>
        <w:tc>
          <w:tcPr>
            <w:tcW w:w="638" w:type="pct"/>
            <w:tcBorders>
              <w:tl2br w:val="nil"/>
              <w:tr2bl w:val="nil"/>
            </w:tcBorders>
            <w:vAlign w:val="center"/>
          </w:tcPr>
          <w:p w14:paraId="6C5699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2"/>
                <w:sz w:val="21"/>
                <w:szCs w:val="21"/>
                <w:highlight w:val="none"/>
              </w:rPr>
              <w:t>本</w:t>
            </w:r>
            <w:r>
              <w:rPr>
                <w:rFonts w:hint="default" w:ascii="Times New Roman" w:hAnsi="Times New Roman" w:eastAsia="宋体" w:cs="Times New Roman"/>
                <w:b/>
                <w:bCs/>
                <w:color w:val="auto"/>
                <w:spacing w:val="-1"/>
                <w:sz w:val="21"/>
                <w:szCs w:val="21"/>
                <w:highlight w:val="none"/>
              </w:rPr>
              <w:t>项目</w:t>
            </w:r>
            <w:r>
              <w:rPr>
                <w:rFonts w:hint="default" w:ascii="Times New Roman" w:hAnsi="Times New Roman" w:eastAsia="宋体" w:cs="Times New Roman"/>
                <w:b/>
                <w:bCs/>
                <w:color w:val="auto"/>
                <w:spacing w:val="1"/>
                <w:sz w:val="21"/>
                <w:szCs w:val="21"/>
                <w:highlight w:val="none"/>
              </w:rPr>
              <w:t>排放量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固体废物</w:t>
            </w:r>
            <w:r>
              <w:rPr>
                <w:rFonts w:hint="default" w:ascii="Times New Roman" w:hAnsi="Times New Roman" w:eastAsia="宋体" w:cs="Times New Roman"/>
                <w:b/>
                <w:bCs/>
                <w:color w:val="auto"/>
                <w:spacing w:val="-1"/>
                <w:sz w:val="21"/>
                <w:szCs w:val="21"/>
                <w:highlight w:val="none"/>
              </w:rPr>
              <w:t>产生量</w:t>
            </w:r>
            <w:r>
              <w:rPr>
                <w:rFonts w:hint="default" w:ascii="Times New Roman" w:hAnsi="Times New Roman" w:eastAsia="宋体" w:cs="Times New Roman"/>
                <w:b/>
                <w:bCs/>
                <w:color w:val="auto"/>
                <w:spacing w:val="-1"/>
                <w:sz w:val="21"/>
                <w:szCs w:val="21"/>
                <w:highlight w:val="none"/>
                <w:lang w:eastAsia="zh-CN"/>
              </w:rPr>
              <w:t>）</w:t>
            </w:r>
            <w:r>
              <w:rPr>
                <w:rFonts w:hint="default" w:ascii="Times New Roman" w:hAnsi="Times New Roman" w:eastAsia="宋体" w:cs="Times New Roman"/>
                <w:b/>
                <w:bCs/>
                <w:color w:val="auto"/>
                <w:spacing w:val="-1"/>
                <w:sz w:val="21"/>
                <w:szCs w:val="21"/>
                <w:highlight w:val="none"/>
              </w:rPr>
              <w:t>④</w:t>
            </w:r>
          </w:p>
        </w:tc>
        <w:tc>
          <w:tcPr>
            <w:tcW w:w="589" w:type="pct"/>
            <w:tcBorders>
              <w:tl2br w:val="nil"/>
              <w:tr2bl w:val="nil"/>
            </w:tcBorders>
            <w:vAlign w:val="center"/>
          </w:tcPr>
          <w:p w14:paraId="58CE65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25"/>
                <w:sz w:val="21"/>
                <w:szCs w:val="21"/>
                <w:highlight w:val="none"/>
              </w:rPr>
              <w:t>以</w:t>
            </w:r>
            <w:r>
              <w:rPr>
                <w:rFonts w:hint="default" w:ascii="Times New Roman" w:hAnsi="Times New Roman" w:eastAsia="宋体" w:cs="Times New Roman"/>
                <w:b/>
                <w:bCs/>
                <w:color w:val="auto"/>
                <w:spacing w:val="-20"/>
                <w:sz w:val="21"/>
                <w:szCs w:val="21"/>
                <w:highlight w:val="none"/>
              </w:rPr>
              <w:t>新带老削减量</w:t>
            </w:r>
            <w:r>
              <w:rPr>
                <w:rFonts w:hint="default" w:ascii="Times New Roman" w:hAnsi="Times New Roman" w:eastAsia="宋体" w:cs="Times New Roman"/>
                <w:b/>
                <w:bCs/>
                <w:color w:val="auto"/>
                <w:spacing w:val="-11"/>
                <w:sz w:val="21"/>
                <w:szCs w:val="21"/>
                <w:highlight w:val="none"/>
                <w:lang w:eastAsia="zh-CN"/>
              </w:rPr>
              <w:t>（</w:t>
            </w:r>
            <w:r>
              <w:rPr>
                <w:rFonts w:hint="default" w:ascii="Times New Roman" w:hAnsi="Times New Roman" w:eastAsia="宋体" w:cs="Times New Roman"/>
                <w:b/>
                <w:bCs/>
                <w:color w:val="auto"/>
                <w:spacing w:val="-9"/>
                <w:sz w:val="21"/>
                <w:szCs w:val="21"/>
                <w:highlight w:val="none"/>
              </w:rPr>
              <w:t>新建项目不填</w:t>
            </w:r>
            <w:r>
              <w:rPr>
                <w:rFonts w:hint="default" w:ascii="Times New Roman" w:hAnsi="Times New Roman" w:eastAsia="宋体" w:cs="Times New Roman"/>
                <w:b/>
                <w:bCs/>
                <w:color w:val="auto"/>
                <w:spacing w:val="-9"/>
                <w:sz w:val="21"/>
                <w:szCs w:val="21"/>
                <w:highlight w:val="none"/>
                <w:lang w:eastAsia="zh-CN"/>
              </w:rPr>
              <w:t>）</w:t>
            </w:r>
            <w:r>
              <w:rPr>
                <w:rFonts w:hint="default" w:ascii="Times New Roman" w:hAnsi="Times New Roman" w:eastAsia="宋体" w:cs="Times New Roman"/>
                <w:b/>
                <w:bCs/>
                <w:color w:val="auto"/>
                <w:spacing w:val="-9"/>
                <w:sz w:val="21"/>
                <w:szCs w:val="21"/>
                <w:highlight w:val="none"/>
              </w:rPr>
              <w:t>⑤</w:t>
            </w:r>
          </w:p>
        </w:tc>
        <w:tc>
          <w:tcPr>
            <w:tcW w:w="562" w:type="pct"/>
            <w:tcBorders>
              <w:tl2br w:val="nil"/>
              <w:tr2bl w:val="nil"/>
            </w:tcBorders>
            <w:vAlign w:val="center"/>
          </w:tcPr>
          <w:p w14:paraId="40DF33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18"/>
                <w:sz w:val="21"/>
                <w:szCs w:val="21"/>
                <w:highlight w:val="none"/>
              </w:rPr>
              <w:t>本</w:t>
            </w:r>
            <w:r>
              <w:rPr>
                <w:rFonts w:hint="default" w:ascii="Times New Roman" w:hAnsi="Times New Roman" w:eastAsia="宋体" w:cs="Times New Roman"/>
                <w:b/>
                <w:bCs/>
                <w:color w:val="auto"/>
                <w:spacing w:val="-14"/>
                <w:sz w:val="21"/>
                <w:szCs w:val="21"/>
                <w:highlight w:val="none"/>
              </w:rPr>
              <w:t>项目建成后</w:t>
            </w:r>
            <w:r>
              <w:rPr>
                <w:rFonts w:hint="default" w:ascii="Times New Roman" w:hAnsi="Times New Roman" w:eastAsia="宋体" w:cs="Times New Roman"/>
                <w:b/>
                <w:bCs/>
                <w:color w:val="auto"/>
                <w:spacing w:val="-18"/>
                <w:sz w:val="21"/>
                <w:szCs w:val="21"/>
                <w:highlight w:val="none"/>
              </w:rPr>
              <w:t>全</w:t>
            </w:r>
            <w:r>
              <w:rPr>
                <w:rFonts w:hint="default" w:ascii="Times New Roman" w:hAnsi="Times New Roman" w:eastAsia="宋体" w:cs="Times New Roman"/>
                <w:b/>
                <w:bCs/>
                <w:color w:val="auto"/>
                <w:spacing w:val="-17"/>
                <w:sz w:val="21"/>
                <w:szCs w:val="21"/>
                <w:highlight w:val="none"/>
              </w:rPr>
              <w:t>厂排放量</w:t>
            </w:r>
            <w:r>
              <w:rPr>
                <w:rFonts w:hint="default" w:ascii="Times New Roman" w:hAnsi="Times New Roman" w:eastAsia="宋体" w:cs="Times New Roman"/>
                <w:b/>
                <w:bCs/>
                <w:color w:val="auto"/>
                <w:spacing w:val="-17"/>
                <w:sz w:val="21"/>
                <w:szCs w:val="21"/>
                <w:highlight w:val="none"/>
                <w:lang w:eastAsia="zh-CN"/>
              </w:rPr>
              <w:t>（</w:t>
            </w:r>
            <w:r>
              <w:rPr>
                <w:rFonts w:hint="default" w:ascii="Times New Roman" w:hAnsi="Times New Roman" w:eastAsia="宋体" w:cs="Times New Roman"/>
                <w:b/>
                <w:bCs/>
                <w:color w:val="auto"/>
                <w:spacing w:val="-17"/>
                <w:sz w:val="21"/>
                <w:szCs w:val="21"/>
                <w:highlight w:val="none"/>
              </w:rPr>
              <w:t>固体废物产</w:t>
            </w:r>
            <w:r>
              <w:rPr>
                <w:rFonts w:hint="default" w:ascii="Times New Roman" w:hAnsi="Times New Roman" w:eastAsia="宋体" w:cs="Times New Roman"/>
                <w:b/>
                <w:bCs/>
                <w:color w:val="auto"/>
                <w:spacing w:val="-13"/>
                <w:sz w:val="21"/>
                <w:szCs w:val="21"/>
                <w:highlight w:val="none"/>
              </w:rPr>
              <w:t>生量</w:t>
            </w:r>
            <w:r>
              <w:rPr>
                <w:rFonts w:hint="default" w:ascii="Times New Roman" w:hAnsi="Times New Roman" w:eastAsia="宋体" w:cs="Times New Roman"/>
                <w:b/>
                <w:bCs/>
                <w:color w:val="auto"/>
                <w:spacing w:val="-13"/>
                <w:sz w:val="21"/>
                <w:szCs w:val="21"/>
                <w:highlight w:val="none"/>
                <w:lang w:eastAsia="zh-CN"/>
              </w:rPr>
              <w:t>）</w:t>
            </w:r>
            <w:r>
              <w:rPr>
                <w:rFonts w:hint="default" w:ascii="Times New Roman" w:hAnsi="Times New Roman" w:eastAsia="宋体" w:cs="Times New Roman"/>
                <w:b/>
                <w:bCs/>
                <w:color w:val="auto"/>
                <w:spacing w:val="-13"/>
                <w:sz w:val="21"/>
                <w:szCs w:val="21"/>
                <w:highlight w:val="none"/>
              </w:rPr>
              <w:t>⑥</w:t>
            </w:r>
          </w:p>
        </w:tc>
        <w:tc>
          <w:tcPr>
            <w:tcW w:w="442" w:type="pct"/>
            <w:tcBorders>
              <w:tl2br w:val="nil"/>
              <w:tr2bl w:val="nil"/>
            </w:tcBorders>
            <w:vAlign w:val="center"/>
          </w:tcPr>
          <w:p w14:paraId="7AD40D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4"/>
                <w:sz w:val="21"/>
                <w:szCs w:val="21"/>
                <w:highlight w:val="none"/>
              </w:rPr>
              <w:t>变</w:t>
            </w:r>
            <w:r>
              <w:rPr>
                <w:rFonts w:hint="default" w:ascii="Times New Roman" w:hAnsi="Times New Roman" w:eastAsia="宋体" w:cs="Times New Roman"/>
                <w:b/>
                <w:bCs/>
                <w:color w:val="auto"/>
                <w:spacing w:val="-2"/>
                <w:sz w:val="21"/>
                <w:szCs w:val="21"/>
                <w:highlight w:val="none"/>
              </w:rPr>
              <w:t>化量</w:t>
            </w:r>
            <w:r>
              <w:rPr>
                <w:rFonts w:hint="default" w:ascii="Times New Roman" w:hAnsi="Times New Roman" w:eastAsia="宋体" w:cs="Times New Roman"/>
                <w:b/>
                <w:bCs/>
                <w:color w:val="auto"/>
                <w:sz w:val="21"/>
                <w:szCs w:val="21"/>
                <w:highlight w:val="none"/>
              </w:rPr>
              <w:t>⑦</w:t>
            </w:r>
          </w:p>
        </w:tc>
      </w:tr>
      <w:tr w14:paraId="2D5A87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restart"/>
            <w:tcBorders>
              <w:top w:val="single" w:color="000000" w:sz="8" w:space="0"/>
              <w:tl2br w:val="nil"/>
              <w:tr2bl w:val="nil"/>
            </w:tcBorders>
            <w:vAlign w:val="center"/>
          </w:tcPr>
          <w:p w14:paraId="571BCE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sz w:val="21"/>
                <w:szCs w:val="21"/>
                <w:highlight w:val="none"/>
              </w:rPr>
              <w:t>废气</w:t>
            </w:r>
          </w:p>
        </w:tc>
        <w:tc>
          <w:tcPr>
            <w:tcW w:w="675" w:type="pct"/>
            <w:tcBorders>
              <w:tl2br w:val="nil"/>
              <w:tr2bl w:val="nil"/>
            </w:tcBorders>
            <w:vAlign w:val="center"/>
          </w:tcPr>
          <w:p w14:paraId="31319C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tc>
        <w:tc>
          <w:tcPr>
            <w:tcW w:w="682" w:type="pct"/>
            <w:tcBorders>
              <w:tl2br w:val="nil"/>
              <w:tr2bl w:val="nil"/>
            </w:tcBorders>
            <w:vAlign w:val="center"/>
          </w:tcPr>
          <w:p w14:paraId="487D1B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018FAB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0CF37C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7BD090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0.642</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54BE4D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0C4474B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0.642</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09975EF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0.642</w:t>
            </w:r>
            <w:r>
              <w:rPr>
                <w:rFonts w:hint="default" w:ascii="Times New Roman" w:hAnsi="Times New Roman" w:eastAsia="宋体" w:cs="Times New Roman"/>
                <w:color w:val="auto"/>
                <w:sz w:val="21"/>
                <w:szCs w:val="21"/>
                <w:highlight w:val="none"/>
                <w:lang w:val="en-US" w:eastAsia="zh-CN"/>
              </w:rPr>
              <w:t>t/a</w:t>
            </w:r>
          </w:p>
        </w:tc>
      </w:tr>
      <w:tr w14:paraId="5206C8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3886F0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4AC5192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二甲苯</w:t>
            </w:r>
          </w:p>
        </w:tc>
        <w:tc>
          <w:tcPr>
            <w:tcW w:w="682" w:type="pct"/>
            <w:tcBorders>
              <w:tl2br w:val="nil"/>
              <w:tr2bl w:val="nil"/>
            </w:tcBorders>
            <w:vAlign w:val="center"/>
          </w:tcPr>
          <w:p w14:paraId="13BA76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087EF9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3159815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5A159B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0.114</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09BFA6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3DD793A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0.114</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0424EF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0.114</w:t>
            </w:r>
            <w:r>
              <w:rPr>
                <w:rFonts w:hint="default" w:ascii="Times New Roman" w:hAnsi="Times New Roman" w:eastAsia="宋体" w:cs="Times New Roman"/>
                <w:color w:val="auto"/>
                <w:sz w:val="21"/>
                <w:szCs w:val="21"/>
                <w:highlight w:val="none"/>
                <w:lang w:val="en-US" w:eastAsia="zh-CN"/>
              </w:rPr>
              <w:t>t/a</w:t>
            </w:r>
          </w:p>
        </w:tc>
      </w:tr>
      <w:tr w14:paraId="473A0E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3E8199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12BE46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682" w:type="pct"/>
            <w:tcBorders>
              <w:tl2br w:val="nil"/>
              <w:tr2bl w:val="nil"/>
            </w:tcBorders>
            <w:vAlign w:val="center"/>
          </w:tcPr>
          <w:p w14:paraId="212905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5CAEAF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4E8E53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22CBBE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61</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717237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163463B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61</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607EB3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61</w:t>
            </w:r>
            <w:r>
              <w:rPr>
                <w:rFonts w:hint="default" w:ascii="Times New Roman" w:hAnsi="Times New Roman" w:eastAsia="宋体" w:cs="Times New Roman"/>
                <w:color w:val="auto"/>
                <w:sz w:val="21"/>
                <w:szCs w:val="21"/>
                <w:highlight w:val="none"/>
                <w:lang w:val="en-US" w:eastAsia="zh-CN"/>
              </w:rPr>
              <w:t>t/a</w:t>
            </w:r>
          </w:p>
        </w:tc>
      </w:tr>
      <w:tr w14:paraId="23778A1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5D7EE2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1BB312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SO</w:t>
            </w:r>
            <w:r>
              <w:rPr>
                <w:rFonts w:hint="default" w:ascii="Times New Roman" w:hAnsi="Times New Roman" w:eastAsia="宋体" w:cs="Times New Roman"/>
                <w:color w:val="auto"/>
                <w:sz w:val="21"/>
                <w:szCs w:val="21"/>
                <w:highlight w:val="none"/>
                <w:vertAlign w:val="subscript"/>
                <w:lang w:val="en-US" w:eastAsia="zh-CN"/>
              </w:rPr>
              <w:t>2</w:t>
            </w:r>
          </w:p>
        </w:tc>
        <w:tc>
          <w:tcPr>
            <w:tcW w:w="682" w:type="pct"/>
            <w:tcBorders>
              <w:tl2br w:val="nil"/>
              <w:tr2bl w:val="nil"/>
            </w:tcBorders>
            <w:vAlign w:val="center"/>
          </w:tcPr>
          <w:p w14:paraId="1033F3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3A2724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355769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089DC6F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0.02t/a</w:t>
            </w:r>
          </w:p>
        </w:tc>
        <w:tc>
          <w:tcPr>
            <w:tcW w:w="589" w:type="pct"/>
            <w:tcBorders>
              <w:tl2br w:val="nil"/>
              <w:tr2bl w:val="nil"/>
            </w:tcBorders>
            <w:vAlign w:val="center"/>
          </w:tcPr>
          <w:p w14:paraId="594399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62193CD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0.02t/a</w:t>
            </w:r>
          </w:p>
        </w:tc>
        <w:tc>
          <w:tcPr>
            <w:tcW w:w="442" w:type="pct"/>
            <w:tcBorders>
              <w:tl2br w:val="nil"/>
              <w:tr2bl w:val="nil"/>
            </w:tcBorders>
            <w:vAlign w:val="center"/>
          </w:tcPr>
          <w:p w14:paraId="47D74AC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+0.02t/a</w:t>
            </w:r>
          </w:p>
        </w:tc>
      </w:tr>
      <w:tr w14:paraId="1CD0F1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0958D0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3D5B5E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NOx</w:t>
            </w:r>
          </w:p>
        </w:tc>
        <w:tc>
          <w:tcPr>
            <w:tcW w:w="682" w:type="pct"/>
            <w:tcBorders>
              <w:tl2br w:val="nil"/>
              <w:tr2bl w:val="nil"/>
            </w:tcBorders>
            <w:vAlign w:val="center"/>
          </w:tcPr>
          <w:p w14:paraId="3ADD10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34CBAB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5C9254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268F85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0.07t/a</w:t>
            </w:r>
          </w:p>
        </w:tc>
        <w:tc>
          <w:tcPr>
            <w:tcW w:w="589" w:type="pct"/>
            <w:tcBorders>
              <w:tl2br w:val="nil"/>
              <w:tr2bl w:val="nil"/>
            </w:tcBorders>
            <w:vAlign w:val="center"/>
          </w:tcPr>
          <w:p w14:paraId="26352A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03B5CFA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0.07t/a</w:t>
            </w:r>
          </w:p>
        </w:tc>
        <w:tc>
          <w:tcPr>
            <w:tcW w:w="442" w:type="pct"/>
            <w:tcBorders>
              <w:tl2br w:val="nil"/>
              <w:tr2bl w:val="nil"/>
            </w:tcBorders>
            <w:vAlign w:val="center"/>
          </w:tcPr>
          <w:p w14:paraId="7B25B5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+0.07t/a</w:t>
            </w:r>
          </w:p>
        </w:tc>
      </w:tr>
      <w:tr w14:paraId="3E4E75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restart"/>
            <w:tcBorders>
              <w:top w:val="single" w:color="000000" w:sz="8" w:space="0"/>
              <w:bottom w:val="single" w:color="000000" w:sz="8" w:space="0"/>
              <w:tl2br w:val="nil"/>
              <w:tr2bl w:val="nil"/>
            </w:tcBorders>
            <w:vAlign w:val="center"/>
          </w:tcPr>
          <w:p w14:paraId="6E4B4A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sz w:val="21"/>
                <w:szCs w:val="21"/>
                <w:highlight w:val="none"/>
              </w:rPr>
              <w:t>废水</w:t>
            </w:r>
          </w:p>
        </w:tc>
        <w:tc>
          <w:tcPr>
            <w:tcW w:w="675" w:type="pct"/>
            <w:tcBorders>
              <w:tl2br w:val="nil"/>
              <w:tr2bl w:val="nil"/>
            </w:tcBorders>
            <w:vAlign w:val="center"/>
          </w:tcPr>
          <w:p w14:paraId="7A2C6260">
            <w:pPr>
              <w:pStyle w:val="39"/>
              <w:pageBreakBefore w:val="0"/>
              <w:wordWrap/>
              <w:bidi w:val="0"/>
              <w:adjustRightInd w:val="0"/>
              <w:snapToGrid w:val="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rPr>
              <w:t>COD</w:t>
            </w:r>
            <w:r>
              <w:rPr>
                <w:rFonts w:hint="default" w:ascii="Times New Roman" w:hAnsi="Times New Roman" w:eastAsia="宋体" w:cs="Times New Roman"/>
                <w:color w:val="auto"/>
                <w:sz w:val="21"/>
                <w:szCs w:val="21"/>
                <w:highlight w:val="none"/>
                <w:vertAlign w:val="subscript"/>
              </w:rPr>
              <w:t>Cr</w:t>
            </w:r>
          </w:p>
        </w:tc>
        <w:tc>
          <w:tcPr>
            <w:tcW w:w="682" w:type="pct"/>
            <w:tcBorders>
              <w:tl2br w:val="nil"/>
              <w:tr2bl w:val="nil"/>
            </w:tcBorders>
            <w:vAlign w:val="center"/>
          </w:tcPr>
          <w:p w14:paraId="659D00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3FA79A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16CE79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357EFC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0.0545</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516A758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01EA35F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0.0545</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5028413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0.0545</w:t>
            </w:r>
            <w:r>
              <w:rPr>
                <w:rFonts w:hint="default" w:ascii="Times New Roman" w:hAnsi="Times New Roman" w:eastAsia="宋体" w:cs="Times New Roman"/>
                <w:color w:val="auto"/>
                <w:sz w:val="21"/>
                <w:szCs w:val="21"/>
                <w:highlight w:val="none"/>
                <w:lang w:val="en-US" w:eastAsia="zh-CN"/>
              </w:rPr>
              <w:t>t/a</w:t>
            </w:r>
          </w:p>
        </w:tc>
      </w:tr>
      <w:tr w14:paraId="0D1A2D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op w:val="single" w:color="000000" w:sz="8" w:space="0"/>
              <w:bottom w:val="single" w:color="000000" w:sz="8" w:space="0"/>
              <w:tl2br w:val="nil"/>
              <w:tr2bl w:val="nil"/>
            </w:tcBorders>
            <w:vAlign w:val="center"/>
          </w:tcPr>
          <w:p w14:paraId="19C5E7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37B9EACB">
            <w:pPr>
              <w:pStyle w:val="39"/>
              <w:pageBreakBefore w:val="0"/>
              <w:wordWrap/>
              <w:bidi w:val="0"/>
              <w:adjustRightInd w:val="0"/>
              <w:snapToGrid w:val="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682" w:type="pct"/>
            <w:tcBorders>
              <w:tl2br w:val="nil"/>
              <w:tr2bl w:val="nil"/>
            </w:tcBorders>
            <w:vAlign w:val="center"/>
          </w:tcPr>
          <w:p w14:paraId="480135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58C2DF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5D285A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4E91EC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7EC193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575C021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0.039</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152F4C7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0.039</w:t>
            </w:r>
            <w:r>
              <w:rPr>
                <w:rFonts w:hint="default" w:ascii="Times New Roman" w:hAnsi="Times New Roman" w:eastAsia="宋体" w:cs="Times New Roman"/>
                <w:color w:val="auto"/>
                <w:sz w:val="21"/>
                <w:szCs w:val="21"/>
                <w:highlight w:val="none"/>
                <w:lang w:val="en-US" w:eastAsia="zh-CN"/>
              </w:rPr>
              <w:t>t/a</w:t>
            </w:r>
          </w:p>
        </w:tc>
      </w:tr>
      <w:tr w14:paraId="780A39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op w:val="single" w:color="000000" w:sz="8" w:space="0"/>
              <w:bottom w:val="single" w:color="000000" w:sz="8" w:space="0"/>
              <w:tl2br w:val="nil"/>
              <w:tr2bl w:val="nil"/>
            </w:tcBorders>
            <w:vAlign w:val="center"/>
          </w:tcPr>
          <w:p w14:paraId="4A6005E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69A9DBA4">
            <w:pPr>
              <w:pStyle w:val="39"/>
              <w:pageBreakBefore w:val="0"/>
              <w:wordWrap/>
              <w:bidi w:val="0"/>
              <w:adjustRightInd w:val="0"/>
              <w:snapToGrid w:val="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rPr>
              <w:t>SS</w:t>
            </w:r>
          </w:p>
        </w:tc>
        <w:tc>
          <w:tcPr>
            <w:tcW w:w="682" w:type="pct"/>
            <w:tcBorders>
              <w:tl2br w:val="nil"/>
              <w:tr2bl w:val="nil"/>
            </w:tcBorders>
            <w:vAlign w:val="center"/>
          </w:tcPr>
          <w:p w14:paraId="5332DF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480C92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390CCC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046FD1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0.0345</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466ED1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5A7F0DC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0.0345</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4C836B5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0.0345</w:t>
            </w:r>
            <w:r>
              <w:rPr>
                <w:rFonts w:hint="default" w:ascii="Times New Roman" w:hAnsi="Times New Roman" w:eastAsia="宋体" w:cs="Times New Roman"/>
                <w:color w:val="auto"/>
                <w:sz w:val="21"/>
                <w:szCs w:val="21"/>
                <w:highlight w:val="none"/>
                <w:lang w:val="en-US" w:eastAsia="zh-CN"/>
              </w:rPr>
              <w:t>t/a</w:t>
            </w:r>
          </w:p>
        </w:tc>
      </w:tr>
      <w:tr w14:paraId="0A46F0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op w:val="single" w:color="000000" w:sz="8" w:space="0"/>
              <w:bottom w:val="single" w:color="000000" w:sz="8" w:space="0"/>
              <w:tl2br w:val="nil"/>
              <w:tr2bl w:val="nil"/>
            </w:tcBorders>
            <w:vAlign w:val="center"/>
          </w:tcPr>
          <w:p w14:paraId="6D69464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5"/>
                <w:sz w:val="21"/>
                <w:szCs w:val="21"/>
                <w:highlight w:val="none"/>
              </w:rPr>
            </w:pPr>
          </w:p>
        </w:tc>
        <w:tc>
          <w:tcPr>
            <w:tcW w:w="675" w:type="pct"/>
            <w:tcBorders>
              <w:tl2br w:val="nil"/>
              <w:tr2bl w:val="nil"/>
            </w:tcBorders>
            <w:vAlign w:val="center"/>
          </w:tcPr>
          <w:p w14:paraId="403D324E">
            <w:pPr>
              <w:pStyle w:val="39"/>
              <w:pageBreakBefore w:val="0"/>
              <w:wordWrap/>
              <w:bidi w:val="0"/>
              <w:adjustRightInd w:val="0"/>
              <w:snapToGrid w:val="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682" w:type="pct"/>
            <w:tcBorders>
              <w:tl2br w:val="nil"/>
              <w:tr2bl w:val="nil"/>
            </w:tcBorders>
            <w:vAlign w:val="center"/>
          </w:tcPr>
          <w:p w14:paraId="516A60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1C3A4E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581" w:type="pct"/>
            <w:tcBorders>
              <w:tl2br w:val="nil"/>
              <w:tr2bl w:val="nil"/>
            </w:tcBorders>
            <w:vAlign w:val="center"/>
          </w:tcPr>
          <w:p w14:paraId="07F48C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2ADE3A6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30D391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54AC65C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0873932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0.0055</w:t>
            </w:r>
            <w:r>
              <w:rPr>
                <w:rFonts w:hint="default" w:ascii="Times New Roman" w:hAnsi="Times New Roman" w:eastAsia="宋体" w:cs="Times New Roman"/>
                <w:color w:val="auto"/>
                <w:sz w:val="21"/>
                <w:szCs w:val="21"/>
                <w:highlight w:val="none"/>
                <w:lang w:val="en-US" w:eastAsia="zh-CN"/>
              </w:rPr>
              <w:t>t/a</w:t>
            </w:r>
          </w:p>
        </w:tc>
      </w:tr>
      <w:tr w14:paraId="656C66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restart"/>
            <w:tcBorders>
              <w:tl2br w:val="nil"/>
              <w:tr2bl w:val="nil"/>
            </w:tcBorders>
            <w:vAlign w:val="center"/>
          </w:tcPr>
          <w:p w14:paraId="55837D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position w:val="4"/>
                <w:sz w:val="21"/>
                <w:szCs w:val="21"/>
                <w:highlight w:val="none"/>
              </w:rPr>
              <w:t>一</w:t>
            </w:r>
            <w:r>
              <w:rPr>
                <w:rFonts w:hint="default" w:ascii="Times New Roman" w:hAnsi="Times New Roman" w:eastAsia="宋体" w:cs="Times New Roman"/>
                <w:color w:val="auto"/>
                <w:spacing w:val="6"/>
                <w:position w:val="4"/>
                <w:sz w:val="21"/>
                <w:szCs w:val="21"/>
                <w:highlight w:val="none"/>
              </w:rPr>
              <w:t>般工业</w:t>
            </w:r>
          </w:p>
          <w:p w14:paraId="59F631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固体废</w:t>
            </w:r>
            <w:r>
              <w:rPr>
                <w:rFonts w:hint="default" w:ascii="Times New Roman" w:hAnsi="Times New Roman" w:eastAsia="宋体" w:cs="Times New Roman"/>
                <w:color w:val="auto"/>
                <w:spacing w:val="2"/>
                <w:sz w:val="21"/>
                <w:szCs w:val="21"/>
                <w:highlight w:val="none"/>
              </w:rPr>
              <w:t>物</w:t>
            </w:r>
          </w:p>
        </w:tc>
        <w:tc>
          <w:tcPr>
            <w:tcW w:w="675" w:type="pct"/>
            <w:tcBorders>
              <w:tl2br w:val="nil"/>
              <w:tr2bl w:val="nil"/>
            </w:tcBorders>
            <w:vAlign w:val="center"/>
          </w:tcPr>
          <w:p w14:paraId="5A16D8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废包装材料</w:t>
            </w:r>
          </w:p>
        </w:tc>
        <w:tc>
          <w:tcPr>
            <w:tcW w:w="682" w:type="pct"/>
            <w:tcBorders>
              <w:tl2br w:val="nil"/>
              <w:tr2bl w:val="nil"/>
            </w:tcBorders>
            <w:vAlign w:val="center"/>
          </w:tcPr>
          <w:p w14:paraId="7E072E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04C727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78CC76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7EA01EB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lang w:val="en-US" w:eastAsia="zh-CN"/>
              </w:rPr>
              <w:t>1.594</w:t>
            </w:r>
            <w:r>
              <w:rPr>
                <w:rFonts w:hint="default" w:ascii="Times New Roman" w:hAnsi="Times New Roman" w:eastAsia="宋体" w:cs="Times New Roman"/>
                <w:snapToGrid w:val="0"/>
                <w:color w:val="auto"/>
                <w:kern w:val="0"/>
                <w:sz w:val="21"/>
                <w:szCs w:val="21"/>
                <w:highlight w:val="none"/>
                <w:lang w:val="en-US" w:eastAsia="zh-CN"/>
              </w:rPr>
              <w:t>t/a</w:t>
            </w:r>
          </w:p>
        </w:tc>
        <w:tc>
          <w:tcPr>
            <w:tcW w:w="589" w:type="pct"/>
            <w:tcBorders>
              <w:tl2br w:val="nil"/>
              <w:tr2bl w:val="nil"/>
            </w:tcBorders>
            <w:vAlign w:val="center"/>
          </w:tcPr>
          <w:p w14:paraId="69817EE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2DF2ADB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lang w:val="en-US" w:eastAsia="zh-CN"/>
              </w:rPr>
              <w:t>1.594</w:t>
            </w:r>
            <w:r>
              <w:rPr>
                <w:rFonts w:hint="default" w:ascii="Times New Roman" w:hAnsi="Times New Roman" w:eastAsia="宋体" w:cs="Times New Roman"/>
                <w:snapToGrid w:val="0"/>
                <w:color w:val="auto"/>
                <w:kern w:val="0"/>
                <w:sz w:val="21"/>
                <w:szCs w:val="21"/>
                <w:highlight w:val="none"/>
                <w:lang w:val="en-US" w:eastAsia="zh-CN"/>
              </w:rPr>
              <w:t>t/a</w:t>
            </w:r>
          </w:p>
        </w:tc>
        <w:tc>
          <w:tcPr>
            <w:tcW w:w="442" w:type="pct"/>
            <w:tcBorders>
              <w:tl2br w:val="nil"/>
              <w:tr2bl w:val="nil"/>
            </w:tcBorders>
            <w:vAlign w:val="center"/>
          </w:tcPr>
          <w:p w14:paraId="0B73C8B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w:t>
            </w:r>
            <w:r>
              <w:rPr>
                <w:rFonts w:hint="eastAsia" w:ascii="Times New Roman" w:hAnsi="Times New Roman" w:eastAsia="宋体" w:cs="Times New Roman"/>
                <w:snapToGrid w:val="0"/>
                <w:color w:val="auto"/>
                <w:kern w:val="0"/>
                <w:sz w:val="21"/>
                <w:szCs w:val="21"/>
                <w:highlight w:val="none"/>
                <w:lang w:val="en-US" w:eastAsia="zh-CN"/>
              </w:rPr>
              <w:t>1.594</w:t>
            </w:r>
            <w:r>
              <w:rPr>
                <w:rFonts w:hint="default" w:ascii="Times New Roman" w:hAnsi="Times New Roman" w:eastAsia="宋体" w:cs="Times New Roman"/>
                <w:snapToGrid w:val="0"/>
                <w:color w:val="auto"/>
                <w:kern w:val="0"/>
                <w:sz w:val="21"/>
                <w:szCs w:val="21"/>
                <w:highlight w:val="none"/>
                <w:lang w:val="en-US" w:eastAsia="zh-CN"/>
              </w:rPr>
              <w:t>t/a</w:t>
            </w:r>
          </w:p>
        </w:tc>
      </w:tr>
      <w:tr w14:paraId="2D5D94A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279408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p>
        </w:tc>
        <w:tc>
          <w:tcPr>
            <w:tcW w:w="675" w:type="pct"/>
            <w:tcBorders>
              <w:tl2br w:val="nil"/>
              <w:tr2bl w:val="nil"/>
            </w:tcBorders>
            <w:vAlign w:val="center"/>
          </w:tcPr>
          <w:p w14:paraId="1D026A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金属边角料</w:t>
            </w:r>
          </w:p>
        </w:tc>
        <w:tc>
          <w:tcPr>
            <w:tcW w:w="682" w:type="pct"/>
            <w:tcBorders>
              <w:tl2br w:val="nil"/>
              <w:tr2bl w:val="nil"/>
            </w:tcBorders>
            <w:vAlign w:val="center"/>
          </w:tcPr>
          <w:p w14:paraId="34A967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0B8CE0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4BF636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240805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49EF43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73DD13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3BD5BE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t/a</w:t>
            </w:r>
          </w:p>
        </w:tc>
      </w:tr>
      <w:tr w14:paraId="4A293C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205BD7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p>
        </w:tc>
        <w:tc>
          <w:tcPr>
            <w:tcW w:w="675" w:type="pct"/>
            <w:tcBorders>
              <w:tl2br w:val="nil"/>
              <w:tr2bl w:val="nil"/>
            </w:tcBorders>
            <w:vAlign w:val="center"/>
          </w:tcPr>
          <w:p w14:paraId="53F37C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除尘灰</w:t>
            </w:r>
          </w:p>
        </w:tc>
        <w:tc>
          <w:tcPr>
            <w:tcW w:w="682" w:type="pct"/>
            <w:tcBorders>
              <w:tl2br w:val="nil"/>
              <w:tr2bl w:val="nil"/>
            </w:tcBorders>
            <w:shd w:val="clear" w:color="auto" w:fill="auto"/>
            <w:vAlign w:val="center"/>
          </w:tcPr>
          <w:p w14:paraId="7E8576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shd w:val="clear" w:color="auto" w:fill="auto"/>
            <w:vAlign w:val="center"/>
          </w:tcPr>
          <w:p w14:paraId="33768C6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shd w:val="clear" w:color="auto" w:fill="auto"/>
            <w:vAlign w:val="center"/>
          </w:tcPr>
          <w:p w14:paraId="755934C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shd w:val="clear" w:color="auto" w:fill="auto"/>
            <w:vAlign w:val="center"/>
          </w:tcPr>
          <w:p w14:paraId="6AC209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10.538</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shd w:val="clear" w:color="auto" w:fill="auto"/>
            <w:vAlign w:val="center"/>
          </w:tcPr>
          <w:p w14:paraId="45930B2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shd w:val="clear" w:color="auto" w:fill="auto"/>
            <w:vAlign w:val="center"/>
          </w:tcPr>
          <w:p w14:paraId="0233627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10.538</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shd w:val="clear" w:color="auto" w:fill="auto"/>
            <w:vAlign w:val="center"/>
          </w:tcPr>
          <w:p w14:paraId="69A5640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10.538</w:t>
            </w:r>
            <w:r>
              <w:rPr>
                <w:rFonts w:hint="default" w:ascii="Times New Roman" w:hAnsi="Times New Roman" w:eastAsia="宋体" w:cs="Times New Roman"/>
                <w:color w:val="auto"/>
                <w:sz w:val="21"/>
                <w:szCs w:val="21"/>
                <w:highlight w:val="none"/>
                <w:lang w:val="en-US" w:eastAsia="zh-CN"/>
              </w:rPr>
              <w:t>t/a</w:t>
            </w:r>
          </w:p>
        </w:tc>
      </w:tr>
      <w:tr w14:paraId="511257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restart"/>
            <w:tcBorders>
              <w:tl2br w:val="nil"/>
              <w:tr2bl w:val="nil"/>
            </w:tcBorders>
            <w:vAlign w:val="center"/>
          </w:tcPr>
          <w:p w14:paraId="1FB7EA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危</w:t>
            </w:r>
            <w:r>
              <w:rPr>
                <w:rFonts w:hint="default" w:ascii="Times New Roman" w:hAnsi="Times New Roman" w:eastAsia="宋体" w:cs="Times New Roman"/>
                <w:color w:val="auto"/>
                <w:spacing w:val="6"/>
                <w:sz w:val="21"/>
                <w:szCs w:val="21"/>
                <w:highlight w:val="none"/>
              </w:rPr>
              <w:t>险废物</w:t>
            </w:r>
          </w:p>
        </w:tc>
        <w:tc>
          <w:tcPr>
            <w:tcW w:w="675" w:type="pct"/>
            <w:tcBorders>
              <w:tl2br w:val="nil"/>
              <w:tr2bl w:val="nil"/>
            </w:tcBorders>
            <w:vAlign w:val="center"/>
          </w:tcPr>
          <w:p w14:paraId="561DD6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油漆桶</w:t>
            </w:r>
          </w:p>
        </w:tc>
        <w:tc>
          <w:tcPr>
            <w:tcW w:w="682" w:type="pct"/>
            <w:tcBorders>
              <w:tl2br w:val="nil"/>
              <w:tr2bl w:val="nil"/>
            </w:tcBorders>
            <w:vAlign w:val="center"/>
          </w:tcPr>
          <w:p w14:paraId="6CE333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426" w:type="pct"/>
            <w:tcBorders>
              <w:tl2br w:val="nil"/>
              <w:tr2bl w:val="nil"/>
            </w:tcBorders>
            <w:vAlign w:val="center"/>
          </w:tcPr>
          <w:p w14:paraId="24CE0E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581" w:type="pct"/>
            <w:tcBorders>
              <w:tl2br w:val="nil"/>
              <w:tr2bl w:val="nil"/>
            </w:tcBorders>
            <w:vAlign w:val="center"/>
          </w:tcPr>
          <w:p w14:paraId="026CB2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p>
        </w:tc>
        <w:tc>
          <w:tcPr>
            <w:tcW w:w="638" w:type="pct"/>
            <w:tcBorders>
              <w:tl2br w:val="nil"/>
              <w:tr2bl w:val="nil"/>
            </w:tcBorders>
            <w:vAlign w:val="center"/>
          </w:tcPr>
          <w:p w14:paraId="6ED349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0.05t/a</w:t>
            </w:r>
          </w:p>
        </w:tc>
        <w:tc>
          <w:tcPr>
            <w:tcW w:w="589" w:type="pct"/>
            <w:tcBorders>
              <w:tl2br w:val="nil"/>
              <w:tr2bl w:val="nil"/>
            </w:tcBorders>
            <w:vAlign w:val="center"/>
          </w:tcPr>
          <w:p w14:paraId="0AD465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38F0A54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0.05t/a</w:t>
            </w:r>
          </w:p>
        </w:tc>
        <w:tc>
          <w:tcPr>
            <w:tcW w:w="442" w:type="pct"/>
            <w:tcBorders>
              <w:tl2br w:val="nil"/>
              <w:tr2bl w:val="nil"/>
            </w:tcBorders>
            <w:vAlign w:val="center"/>
          </w:tcPr>
          <w:p w14:paraId="70CF46D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+0.05t/a</w:t>
            </w:r>
          </w:p>
        </w:tc>
      </w:tr>
      <w:tr w14:paraId="450018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5C00EC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p>
        </w:tc>
        <w:tc>
          <w:tcPr>
            <w:tcW w:w="675" w:type="pct"/>
            <w:tcBorders>
              <w:tl2br w:val="nil"/>
              <w:tr2bl w:val="nil"/>
            </w:tcBorders>
            <w:vAlign w:val="center"/>
          </w:tcPr>
          <w:p w14:paraId="311E5B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废活性炭</w:t>
            </w:r>
          </w:p>
        </w:tc>
        <w:tc>
          <w:tcPr>
            <w:tcW w:w="682" w:type="pct"/>
            <w:tcBorders>
              <w:tl2br w:val="nil"/>
              <w:tr2bl w:val="nil"/>
            </w:tcBorders>
            <w:vAlign w:val="center"/>
          </w:tcPr>
          <w:p w14:paraId="419452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3226FE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5AFB4B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3000F6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lang w:val="en-US" w:eastAsia="zh-CN"/>
              </w:rPr>
              <w:t>t/a</w:t>
            </w:r>
          </w:p>
        </w:tc>
        <w:tc>
          <w:tcPr>
            <w:tcW w:w="589" w:type="pct"/>
            <w:tcBorders>
              <w:tl2br w:val="nil"/>
              <w:tr2bl w:val="nil"/>
            </w:tcBorders>
            <w:vAlign w:val="center"/>
          </w:tcPr>
          <w:p w14:paraId="59AD14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60FC9AF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lang w:val="en-US" w:eastAsia="zh-CN"/>
              </w:rPr>
              <w:t>t/a</w:t>
            </w:r>
          </w:p>
        </w:tc>
        <w:tc>
          <w:tcPr>
            <w:tcW w:w="442" w:type="pct"/>
            <w:tcBorders>
              <w:tl2br w:val="nil"/>
              <w:tr2bl w:val="nil"/>
            </w:tcBorders>
            <w:vAlign w:val="center"/>
          </w:tcPr>
          <w:p w14:paraId="1CB19F1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lang w:val="en-US" w:eastAsia="zh-CN"/>
              </w:rPr>
              <w:t>t/a</w:t>
            </w:r>
          </w:p>
        </w:tc>
      </w:tr>
      <w:tr w14:paraId="46D919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0" w:type="pct"/>
            <w:vMerge w:val="continue"/>
            <w:tcBorders>
              <w:tl2br w:val="nil"/>
              <w:tr2bl w:val="nil"/>
            </w:tcBorders>
            <w:vAlign w:val="center"/>
          </w:tcPr>
          <w:p w14:paraId="555F30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Times New Roman" w:hAnsi="Times New Roman" w:eastAsia="宋体" w:cs="Times New Roman"/>
                <w:color w:val="auto"/>
                <w:sz w:val="21"/>
                <w:szCs w:val="21"/>
                <w:highlight w:val="none"/>
              </w:rPr>
            </w:pPr>
          </w:p>
        </w:tc>
        <w:tc>
          <w:tcPr>
            <w:tcW w:w="675" w:type="pct"/>
            <w:tcBorders>
              <w:tl2br w:val="nil"/>
              <w:tr2bl w:val="nil"/>
            </w:tcBorders>
            <w:vAlign w:val="center"/>
          </w:tcPr>
          <w:p w14:paraId="746FF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废漆渣</w:t>
            </w:r>
          </w:p>
        </w:tc>
        <w:tc>
          <w:tcPr>
            <w:tcW w:w="682" w:type="pct"/>
            <w:tcBorders>
              <w:tl2br w:val="nil"/>
              <w:tr2bl w:val="nil"/>
            </w:tcBorders>
            <w:vAlign w:val="center"/>
          </w:tcPr>
          <w:p w14:paraId="087083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426" w:type="pct"/>
            <w:tcBorders>
              <w:tl2br w:val="nil"/>
              <w:tr2bl w:val="nil"/>
            </w:tcBorders>
            <w:vAlign w:val="center"/>
          </w:tcPr>
          <w:p w14:paraId="52FCC5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1" w:type="pct"/>
            <w:tcBorders>
              <w:tl2br w:val="nil"/>
              <w:tr2bl w:val="nil"/>
            </w:tcBorders>
            <w:vAlign w:val="center"/>
          </w:tcPr>
          <w:p w14:paraId="68B546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8" w:type="pct"/>
            <w:tcBorders>
              <w:tl2br w:val="nil"/>
              <w:tr2bl w:val="nil"/>
            </w:tcBorders>
            <w:vAlign w:val="center"/>
          </w:tcPr>
          <w:p w14:paraId="5BCD07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0.03t/a</w:t>
            </w:r>
          </w:p>
        </w:tc>
        <w:tc>
          <w:tcPr>
            <w:tcW w:w="589" w:type="pct"/>
            <w:tcBorders>
              <w:tl2br w:val="nil"/>
              <w:tr2bl w:val="nil"/>
            </w:tcBorders>
            <w:vAlign w:val="center"/>
          </w:tcPr>
          <w:p w14:paraId="13FD97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62" w:type="pct"/>
            <w:tcBorders>
              <w:tl2br w:val="nil"/>
              <w:tr2bl w:val="nil"/>
            </w:tcBorders>
            <w:vAlign w:val="center"/>
          </w:tcPr>
          <w:p w14:paraId="18F584C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0.03t/a</w:t>
            </w:r>
          </w:p>
        </w:tc>
        <w:tc>
          <w:tcPr>
            <w:tcW w:w="442" w:type="pct"/>
            <w:tcBorders>
              <w:tl2br w:val="nil"/>
              <w:tr2bl w:val="nil"/>
            </w:tcBorders>
            <w:vAlign w:val="center"/>
          </w:tcPr>
          <w:p w14:paraId="4CE38F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+0.03t/a</w:t>
            </w:r>
          </w:p>
        </w:tc>
      </w:tr>
    </w:tbl>
    <w:p w14:paraId="24FE7A69">
      <w:pPr>
        <w:keepNext w:val="0"/>
        <w:keepLines w:val="0"/>
        <w:pageBreakBefore w:val="0"/>
        <w:wordWrap/>
        <w:bidi w:val="0"/>
        <w:adjustRightInd w:val="0"/>
        <w:snapToGrid w:val="0"/>
        <w:spacing w:before="222" w:line="233" w:lineRule="auto"/>
        <w:ind w:left="45"/>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pacing w:val="3"/>
          <w:sz w:val="20"/>
          <w:szCs w:val="20"/>
          <w:highlight w:val="none"/>
        </w:rPr>
        <w:t>注：⑥=①+③+④-⑤；⑦=⑥-</w:t>
      </w:r>
      <w:r>
        <w:rPr>
          <w:rFonts w:hint="default" w:ascii="Times New Roman" w:hAnsi="Times New Roman" w:eastAsia="宋体" w:cs="Times New Roman"/>
          <w:color w:val="auto"/>
          <w:spacing w:val="1"/>
          <w:sz w:val="20"/>
          <w:szCs w:val="20"/>
          <w:highlight w:val="none"/>
        </w:rPr>
        <w:t>①</w:t>
      </w:r>
    </w:p>
    <w:p w14:paraId="0BB82523">
      <w:pPr>
        <w:pStyle w:val="22"/>
        <w:keepNext w:val="0"/>
        <w:keepLines w:val="0"/>
        <w:pageBreakBefore w:val="0"/>
        <w:widowControl/>
        <w:kinsoku w:val="0"/>
        <w:wordWrap/>
        <w:overflowPunct/>
        <w:topLinePunct w:val="0"/>
        <w:autoSpaceDE w:val="0"/>
        <w:autoSpaceDN w:val="0"/>
        <w:bidi w:val="0"/>
        <w:adjustRightInd w:val="0"/>
        <w:snapToGrid w:val="0"/>
        <w:spacing w:after="0"/>
        <w:ind w:left="0" w:leftChars="0" w:firstLine="0" w:firstLineChars="0"/>
        <w:jc w:val="center"/>
        <w:textAlignment w:val="baseline"/>
        <w:rPr>
          <w:rFonts w:hint="default" w:ascii="Times New Roman" w:hAnsi="Times New Roman" w:eastAsia="宋体" w:cs="Times New Roman"/>
          <w:b/>
          <w:bCs/>
          <w:color w:val="auto"/>
          <w:sz w:val="28"/>
          <w:szCs w:val="28"/>
          <w:highlight w:val="none"/>
          <w:lang w:val="en-US" w:eastAsia="zh-CN"/>
        </w:rPr>
      </w:pPr>
    </w:p>
    <w:sectPr>
      <w:footerReference r:id="rId11" w:type="default"/>
      <w:pgSz w:w="16838" w:h="11905" w:orient="landscape"/>
      <w:pgMar w:top="1531" w:right="1531" w:bottom="1531" w:left="1531" w:header="0" w:footer="91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D8C80">
    <w:pPr>
      <w:pStyle w:val="23"/>
    </w:pPr>
    <w:r>
      <w:rPr>
        <w:sz w:val="18"/>
      </w:rPr>
      <mc:AlternateContent>
        <mc:Choice Requires="wps">
          <w:drawing>
            <wp:anchor distT="0" distB="0" distL="114300" distR="114300" simplePos="0" relativeHeight="251661312" behindDoc="0" locked="0" layoutInCell="1" allowOverlap="1">
              <wp:simplePos x="0" y="0"/>
              <wp:positionH relativeFrom="margin">
                <wp:posOffset>-26035</wp:posOffset>
              </wp:positionH>
              <wp:positionV relativeFrom="paragraph">
                <wp:posOffset>0</wp:posOffset>
              </wp:positionV>
              <wp:extent cx="174625" cy="16764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74625" cy="167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FAF05">
                          <w:pPr>
                            <w:pStyle w:val="23"/>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fldChar w:fldCharType="begin"/>
                          </w:r>
                          <w:r>
                            <w:rPr>
                              <w:rFonts w:hint="default" w:ascii="Times New Roman" w:hAnsi="Times New Roman" w:cs="Times New Roman"/>
                              <w:b w:val="0"/>
                              <w:bCs w:val="0"/>
                              <w:sz w:val="21"/>
                              <w:szCs w:val="21"/>
                            </w:rPr>
                            <w:instrText xml:space="preserve"> PAGE  \* MERGEFORMAT </w:instrText>
                          </w:r>
                          <w:r>
                            <w:rPr>
                              <w:rFonts w:hint="default" w:ascii="Times New Roman" w:hAnsi="Times New Roman" w:cs="Times New Roman"/>
                              <w:b w:val="0"/>
                              <w:bCs w:val="0"/>
                              <w:sz w:val="21"/>
                              <w:szCs w:val="21"/>
                            </w:rPr>
                            <w:fldChar w:fldCharType="separate"/>
                          </w:r>
                          <w:r>
                            <w:rPr>
                              <w:rFonts w:hint="default" w:ascii="Times New Roman" w:hAnsi="Times New Roman" w:cs="Times New Roman"/>
                              <w:b w:val="0"/>
                              <w:bCs w:val="0"/>
                              <w:sz w:val="21"/>
                              <w:szCs w:val="21"/>
                            </w:rPr>
                            <w:t>1</w:t>
                          </w:r>
                          <w:r>
                            <w:rPr>
                              <w:rFonts w:hint="default" w:ascii="Times New Roman" w:hAnsi="Times New Roman" w:cs="Times New Roman"/>
                              <w:b w:val="0"/>
                              <w:bCs w:val="0"/>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pt;margin-top:0pt;height:13.2pt;width:13.75pt;mso-position-horizontal-relative:margin;z-index:251661312;mso-width-relative:page;mso-height-relative:page;" filled="f" stroked="f" coordsize="21600,21600" o:gfxdata="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8fErbVAAAABQEAAA8AAAAAAAAAAQAgAAAAIgAAAGRycy9kb3ducmV2&#10;LnhtbFBLAQIUABQAAAAIAIdO4kAIfIPfOAIAAGMEAAAOAAAAAAAAAAEAIAAAACQBAABkcnMvZTJv&#10;RG9jLnhtbFBLBQYAAAAABgAGAFkBAADOBQAAAAA=&#10;">
              <v:fill on="f" focussize="0,0"/>
              <v:stroke on="f" weight="0.5pt"/>
              <v:imagedata o:title=""/>
              <o:lock v:ext="edit" aspectratio="f"/>
              <v:textbox inset="0mm,0mm,0mm,0mm">
                <w:txbxContent>
                  <w:p w14:paraId="643FAF05">
                    <w:pPr>
                      <w:pStyle w:val="23"/>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fldChar w:fldCharType="begin"/>
                    </w:r>
                    <w:r>
                      <w:rPr>
                        <w:rFonts w:hint="default" w:ascii="Times New Roman" w:hAnsi="Times New Roman" w:cs="Times New Roman"/>
                        <w:b w:val="0"/>
                        <w:bCs w:val="0"/>
                        <w:sz w:val="21"/>
                        <w:szCs w:val="21"/>
                      </w:rPr>
                      <w:instrText xml:space="preserve"> PAGE  \* MERGEFORMAT </w:instrText>
                    </w:r>
                    <w:r>
                      <w:rPr>
                        <w:rFonts w:hint="default" w:ascii="Times New Roman" w:hAnsi="Times New Roman" w:cs="Times New Roman"/>
                        <w:b w:val="0"/>
                        <w:bCs w:val="0"/>
                        <w:sz w:val="21"/>
                        <w:szCs w:val="21"/>
                      </w:rPr>
                      <w:fldChar w:fldCharType="separate"/>
                    </w:r>
                    <w:r>
                      <w:rPr>
                        <w:rFonts w:hint="default" w:ascii="Times New Roman" w:hAnsi="Times New Roman" w:cs="Times New Roman"/>
                        <w:b w:val="0"/>
                        <w:bCs w:val="0"/>
                        <w:sz w:val="21"/>
                        <w:szCs w:val="21"/>
                      </w:rPr>
                      <w:t>1</w:t>
                    </w:r>
                    <w:r>
                      <w:rPr>
                        <w:rFonts w:hint="default" w:ascii="Times New Roman" w:hAnsi="Times New Roman" w:cs="Times New Roman"/>
                        <w:b w:val="0"/>
                        <w:bCs w:val="0"/>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2EC2A">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66B75">
                          <w:pPr>
                            <w:pStyle w:val="23"/>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3266B75">
                    <w:pPr>
                      <w:pStyle w:val="23"/>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DD57">
    <w:pPr>
      <w:pStyle w:val="23"/>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0225C">
                          <w:pPr>
                            <w:pStyle w:val="2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EE0225C">
                    <w:pPr>
                      <w:pStyle w:val="2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B7C4A">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EA073">
                          <w:pPr>
                            <w:pStyle w:val="2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E5EA073">
                    <w:pPr>
                      <w:pStyle w:val="2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FDF0D">
    <w:pPr>
      <w:pStyle w:val="2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09DB4">
                          <w:pPr>
                            <w:pStyle w:val="23"/>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2709DB4">
                    <w:pPr>
                      <w:pStyle w:val="2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A22D2">
    <w:pPr>
      <w:pStyle w:val="23"/>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ACCAA">
                          <w:pPr>
                            <w:pStyle w:val="2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5EACCAA">
                    <w:pPr>
                      <w:pStyle w:val="2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1B4CC">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B27AA0"/>
    <w:multiLevelType w:val="singleLevel"/>
    <w:tmpl w:val="B6B27AA0"/>
    <w:lvl w:ilvl="0" w:tentative="0">
      <w:start w:val="5"/>
      <w:numFmt w:val="chineseCounting"/>
      <w:suff w:val="nothing"/>
      <w:lvlText w:val="%1、"/>
      <w:lvlJc w:val="left"/>
      <w:rPr>
        <w:rFonts w:hint="eastAsia"/>
      </w:rPr>
    </w:lvl>
  </w:abstractNum>
  <w:abstractNum w:abstractNumId="1">
    <w:nsid w:val="05EFD440"/>
    <w:multiLevelType w:val="singleLevel"/>
    <w:tmpl w:val="05EFD440"/>
    <w:lvl w:ilvl="0" w:tentative="0">
      <w:start w:val="6"/>
      <w:numFmt w:val="chineseCounting"/>
      <w:suff w:val="nothing"/>
      <w:lvlText w:val="%1、"/>
      <w:lvlJc w:val="left"/>
      <w:rPr>
        <w:rFonts w:hint="eastAsia"/>
      </w:rPr>
    </w:lvl>
  </w:abstractNum>
  <w:abstractNum w:abstractNumId="2">
    <w:nsid w:val="130A1D2B"/>
    <w:multiLevelType w:val="singleLevel"/>
    <w:tmpl w:val="130A1D2B"/>
    <w:lvl w:ilvl="0" w:tentative="0">
      <w:start w:val="3"/>
      <w:numFmt w:val="chineseCounting"/>
      <w:suff w:val="nothing"/>
      <w:lvlText w:val="（%1）"/>
      <w:lvlJc w:val="left"/>
      <w:rPr>
        <w:rFonts w:hint="eastAsia"/>
      </w:rPr>
    </w:lvl>
  </w:abstractNum>
  <w:abstractNum w:abstractNumId="3">
    <w:nsid w:val="2C6A4A16"/>
    <w:multiLevelType w:val="singleLevel"/>
    <w:tmpl w:val="2C6A4A16"/>
    <w:lvl w:ilvl="0" w:tentative="0">
      <w:start w:val="1"/>
      <w:numFmt w:val="chineseCounting"/>
      <w:suff w:val="nothing"/>
      <w:lvlText w:val="%1、"/>
      <w:lvlJc w:val="left"/>
      <w:rPr>
        <w:rFonts w:hint="eastAsia"/>
      </w:rPr>
    </w:lvl>
  </w:abstractNum>
  <w:abstractNum w:abstractNumId="4">
    <w:nsid w:val="339A35C7"/>
    <w:multiLevelType w:val="singleLevel"/>
    <w:tmpl w:val="339A35C7"/>
    <w:lvl w:ilvl="0" w:tentative="0">
      <w:start w:val="1"/>
      <w:numFmt w:val="bullet"/>
      <w:pStyle w:val="20"/>
      <w:lvlText w:val=""/>
      <w:lvlJc w:val="left"/>
      <w:pPr>
        <w:tabs>
          <w:tab w:val="left" w:pos="2040"/>
        </w:tabs>
        <w:ind w:left="2040" w:hanging="360"/>
      </w:pPr>
      <w:rPr>
        <w:rFonts w:hint="default" w:ascii="Wingdings" w:hAnsi="Wingdings"/>
      </w:rPr>
    </w:lvl>
  </w:abstractNum>
  <w:abstractNum w:abstractNumId="5">
    <w:nsid w:val="764765B4"/>
    <w:multiLevelType w:val="multilevel"/>
    <w:tmpl w:val="764765B4"/>
    <w:lvl w:ilvl="0" w:tentative="0">
      <w:start w:val="1"/>
      <w:numFmt w:val="decimal"/>
      <w:lvlText w:val="%1."/>
      <w:lvlJc w:val="left"/>
      <w:pPr>
        <w:tabs>
          <w:tab w:val="left" w:pos="360"/>
        </w:tabs>
        <w:ind w:left="0" w:firstLine="0"/>
      </w:pPr>
      <w:rPr>
        <w:rFonts w:hint="default" w:ascii="Times New Roman" w:hAnsi="Times New Roman" w:eastAsia="黑体" w:cs="Times New Roman"/>
        <w:b w:val="0"/>
        <w:i w:val="0"/>
        <w:sz w:val="28"/>
        <w:szCs w:val="28"/>
      </w:rPr>
    </w:lvl>
    <w:lvl w:ilvl="1" w:tentative="0">
      <w:start w:val="1"/>
      <w:numFmt w:val="decimal"/>
      <w:lvlText w:val="%1.%2"/>
      <w:lvlJc w:val="left"/>
      <w:pPr>
        <w:tabs>
          <w:tab w:val="left" w:pos="720"/>
        </w:tabs>
        <w:ind w:left="0" w:firstLine="0"/>
      </w:pPr>
      <w:rPr>
        <w:rFonts w:hint="eastAsia" w:ascii="宋体" w:eastAsia="宋体"/>
        <w:b w:val="0"/>
        <w:i w:val="0"/>
        <w:kern w:val="16"/>
        <w:sz w:val="28"/>
      </w:rPr>
    </w:lvl>
    <w:lvl w:ilvl="2" w:tentative="0">
      <w:start w:val="1"/>
      <w:numFmt w:val="decimal"/>
      <w:pStyle w:val="5"/>
      <w:lvlText w:val="%1.%2.%3"/>
      <w:lvlJc w:val="left"/>
      <w:pPr>
        <w:tabs>
          <w:tab w:val="left" w:pos="720"/>
        </w:tabs>
        <w:ind w:left="0" w:firstLine="0"/>
      </w:pPr>
      <w:rPr>
        <w:rFonts w:hint="eastAsia" w:ascii="宋体" w:eastAsia="宋体"/>
        <w:b w:val="0"/>
        <w:i w:val="0"/>
        <w:sz w:val="28"/>
      </w:rPr>
    </w:lvl>
    <w:lvl w:ilvl="3" w:tentative="0">
      <w:start w:val="1"/>
      <w:numFmt w:val="decimal"/>
      <w:lvlText w:val="%1.%2.%3.%4"/>
      <w:lvlJc w:val="left"/>
      <w:pPr>
        <w:tabs>
          <w:tab w:val="left" w:pos="1080"/>
        </w:tabs>
        <w:ind w:left="0" w:firstLine="0"/>
      </w:pPr>
      <w:rPr>
        <w:rFonts w:hint="eastAsia"/>
      </w:rPr>
    </w:lvl>
    <w:lvl w:ilvl="4" w:tentative="0">
      <w:start w:val="1"/>
      <w:numFmt w:val="decimal"/>
      <w:lvlText w:val="(%5) "/>
      <w:lvlJc w:val="left"/>
      <w:pPr>
        <w:tabs>
          <w:tab w:val="left" w:pos="567"/>
        </w:tabs>
        <w:ind w:left="567" w:hanging="567"/>
      </w:pPr>
      <w:rPr>
        <w:rFonts w:hint="eastAsia" w:ascii="宋体" w:eastAsia="宋体"/>
        <w:b w:val="0"/>
        <w:i w:val="0"/>
        <w:sz w:val="28"/>
      </w:rPr>
    </w:lvl>
    <w:lvl w:ilvl="5" w:tentative="0">
      <w:start w:val="1"/>
      <w:numFmt w:val="decimal"/>
      <w:lvlText w:val="%1.%2.%3.%4.%5.%6"/>
      <w:lvlJc w:val="left"/>
      <w:pPr>
        <w:tabs>
          <w:tab w:val="left" w:pos="1800"/>
        </w:tabs>
        <w:ind w:left="1152" w:hanging="1152"/>
      </w:pPr>
      <w:rPr>
        <w:rFonts w:hint="eastAsia"/>
      </w:rPr>
    </w:lvl>
    <w:lvl w:ilvl="6" w:tentative="0">
      <w:start w:val="1"/>
      <w:numFmt w:val="decimal"/>
      <w:lvlText w:val="%1.%2.%3.%4.%5.%6.%7"/>
      <w:lvlJc w:val="left"/>
      <w:pPr>
        <w:tabs>
          <w:tab w:val="left" w:pos="1800"/>
        </w:tabs>
        <w:ind w:left="1296" w:hanging="1296"/>
      </w:pPr>
      <w:rPr>
        <w:rFonts w:hint="eastAsia"/>
      </w:rPr>
    </w:lvl>
    <w:lvl w:ilvl="7" w:tentative="0">
      <w:start w:val="1"/>
      <w:numFmt w:val="decimal"/>
      <w:lvlText w:val="%1.%2.%3.%4.%5.%6.%7.%8"/>
      <w:lvlJc w:val="left"/>
      <w:pPr>
        <w:tabs>
          <w:tab w:val="left" w:pos="2160"/>
        </w:tabs>
        <w:ind w:left="1440" w:hanging="1440"/>
      </w:pPr>
      <w:rPr>
        <w:rFonts w:hint="eastAsia"/>
      </w:rPr>
    </w:lvl>
    <w:lvl w:ilvl="8" w:tentative="0">
      <w:start w:val="1"/>
      <w:numFmt w:val="decimal"/>
      <w:lvlText w:val="表1-%9"/>
      <w:lvlJc w:val="left"/>
      <w:pPr>
        <w:tabs>
          <w:tab w:val="left" w:pos="1534"/>
        </w:tabs>
        <w:ind w:left="284" w:firstLine="170"/>
      </w:pPr>
      <w:rPr>
        <w:rFonts w:hint="eastAsia"/>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Q0ZGMxZGQyMmQzNmZjMjJiZmE3NTk1ZDhlOWJiZDEifQ=="/>
  </w:docVars>
  <w:rsids>
    <w:rsidRoot w:val="00000000"/>
    <w:rsid w:val="004B1133"/>
    <w:rsid w:val="008C6C96"/>
    <w:rsid w:val="00C16E3D"/>
    <w:rsid w:val="00DF14BB"/>
    <w:rsid w:val="00E46AD2"/>
    <w:rsid w:val="00E601CB"/>
    <w:rsid w:val="01A71FD9"/>
    <w:rsid w:val="01D578F1"/>
    <w:rsid w:val="01F84F8C"/>
    <w:rsid w:val="0203300D"/>
    <w:rsid w:val="0291080F"/>
    <w:rsid w:val="034554D9"/>
    <w:rsid w:val="035E0973"/>
    <w:rsid w:val="0360556D"/>
    <w:rsid w:val="03AC7D7B"/>
    <w:rsid w:val="03EE372A"/>
    <w:rsid w:val="04015CCF"/>
    <w:rsid w:val="04271CA1"/>
    <w:rsid w:val="042C1FFB"/>
    <w:rsid w:val="046D3B13"/>
    <w:rsid w:val="04836AE8"/>
    <w:rsid w:val="04BF342B"/>
    <w:rsid w:val="04BF6671"/>
    <w:rsid w:val="04D537AB"/>
    <w:rsid w:val="06181BA6"/>
    <w:rsid w:val="064E29EE"/>
    <w:rsid w:val="065169B7"/>
    <w:rsid w:val="06693130"/>
    <w:rsid w:val="067816BC"/>
    <w:rsid w:val="068C0CCB"/>
    <w:rsid w:val="0754675F"/>
    <w:rsid w:val="07D85D19"/>
    <w:rsid w:val="07FB2FA8"/>
    <w:rsid w:val="083219AC"/>
    <w:rsid w:val="088017D6"/>
    <w:rsid w:val="08B03E69"/>
    <w:rsid w:val="08C06A03"/>
    <w:rsid w:val="090159C2"/>
    <w:rsid w:val="092669FE"/>
    <w:rsid w:val="092803F3"/>
    <w:rsid w:val="092D1A36"/>
    <w:rsid w:val="09433D4F"/>
    <w:rsid w:val="097F383C"/>
    <w:rsid w:val="09C47516"/>
    <w:rsid w:val="09C70C10"/>
    <w:rsid w:val="0A0C5185"/>
    <w:rsid w:val="0A1F226A"/>
    <w:rsid w:val="0A945C31"/>
    <w:rsid w:val="0AAB4D4A"/>
    <w:rsid w:val="0ABA6C14"/>
    <w:rsid w:val="0ABC3700"/>
    <w:rsid w:val="0AFD44E7"/>
    <w:rsid w:val="0B336AEC"/>
    <w:rsid w:val="0B8B09BE"/>
    <w:rsid w:val="0B984962"/>
    <w:rsid w:val="0BA650B0"/>
    <w:rsid w:val="0BB27EF8"/>
    <w:rsid w:val="0BE70273"/>
    <w:rsid w:val="0BEF3613"/>
    <w:rsid w:val="0C902D40"/>
    <w:rsid w:val="0CF57CE6"/>
    <w:rsid w:val="0D4C0113"/>
    <w:rsid w:val="0D7613D0"/>
    <w:rsid w:val="0DCF6022"/>
    <w:rsid w:val="0DE97FB1"/>
    <w:rsid w:val="0ECF5C63"/>
    <w:rsid w:val="0FE20B82"/>
    <w:rsid w:val="0FFA3C1C"/>
    <w:rsid w:val="10DD77C5"/>
    <w:rsid w:val="111B4434"/>
    <w:rsid w:val="1153060E"/>
    <w:rsid w:val="116514F0"/>
    <w:rsid w:val="118B1F4A"/>
    <w:rsid w:val="119458C6"/>
    <w:rsid w:val="126C1802"/>
    <w:rsid w:val="12882D71"/>
    <w:rsid w:val="13143247"/>
    <w:rsid w:val="13651CF4"/>
    <w:rsid w:val="13EE1CEA"/>
    <w:rsid w:val="154D1B14"/>
    <w:rsid w:val="15A06B5F"/>
    <w:rsid w:val="16032ECF"/>
    <w:rsid w:val="16567983"/>
    <w:rsid w:val="16571E05"/>
    <w:rsid w:val="16573F33"/>
    <w:rsid w:val="16A37A15"/>
    <w:rsid w:val="16B56D0F"/>
    <w:rsid w:val="16D43419"/>
    <w:rsid w:val="17316B01"/>
    <w:rsid w:val="174F4E49"/>
    <w:rsid w:val="17606E66"/>
    <w:rsid w:val="17893B6A"/>
    <w:rsid w:val="17CD1C16"/>
    <w:rsid w:val="17F3167D"/>
    <w:rsid w:val="189A1A6C"/>
    <w:rsid w:val="19680245"/>
    <w:rsid w:val="19694E3E"/>
    <w:rsid w:val="199D3F96"/>
    <w:rsid w:val="19D67069"/>
    <w:rsid w:val="1A313997"/>
    <w:rsid w:val="1A5D0570"/>
    <w:rsid w:val="1A5E644A"/>
    <w:rsid w:val="1A68518D"/>
    <w:rsid w:val="1A89451A"/>
    <w:rsid w:val="1A965404"/>
    <w:rsid w:val="1AA27273"/>
    <w:rsid w:val="1ACB038F"/>
    <w:rsid w:val="1B043BA1"/>
    <w:rsid w:val="1B4F1D5A"/>
    <w:rsid w:val="1C93139E"/>
    <w:rsid w:val="1CFE3A47"/>
    <w:rsid w:val="1D85546D"/>
    <w:rsid w:val="1DA3336E"/>
    <w:rsid w:val="1E6F1C79"/>
    <w:rsid w:val="1ECD4D47"/>
    <w:rsid w:val="1EFD6D2B"/>
    <w:rsid w:val="1F730567"/>
    <w:rsid w:val="1F782608"/>
    <w:rsid w:val="1F7A1770"/>
    <w:rsid w:val="1F8C1CEA"/>
    <w:rsid w:val="204A02A8"/>
    <w:rsid w:val="20B70D36"/>
    <w:rsid w:val="21590BA1"/>
    <w:rsid w:val="218A38D3"/>
    <w:rsid w:val="21CA73D6"/>
    <w:rsid w:val="224C531A"/>
    <w:rsid w:val="2267734F"/>
    <w:rsid w:val="229968F8"/>
    <w:rsid w:val="22B12860"/>
    <w:rsid w:val="22B95891"/>
    <w:rsid w:val="22C542E0"/>
    <w:rsid w:val="22D45E02"/>
    <w:rsid w:val="235749D1"/>
    <w:rsid w:val="23C15CB0"/>
    <w:rsid w:val="23E97DD8"/>
    <w:rsid w:val="242731EE"/>
    <w:rsid w:val="253A0459"/>
    <w:rsid w:val="254B33D7"/>
    <w:rsid w:val="258377DD"/>
    <w:rsid w:val="25946D3B"/>
    <w:rsid w:val="262065B5"/>
    <w:rsid w:val="26946E78"/>
    <w:rsid w:val="26995AE5"/>
    <w:rsid w:val="26BE72FA"/>
    <w:rsid w:val="26D46B1D"/>
    <w:rsid w:val="26F90B93"/>
    <w:rsid w:val="27F07C11"/>
    <w:rsid w:val="286345FC"/>
    <w:rsid w:val="289A5B44"/>
    <w:rsid w:val="28B4406A"/>
    <w:rsid w:val="28DA200E"/>
    <w:rsid w:val="292C3F1F"/>
    <w:rsid w:val="295763DE"/>
    <w:rsid w:val="295D6D41"/>
    <w:rsid w:val="29C1661C"/>
    <w:rsid w:val="29C6628C"/>
    <w:rsid w:val="2A5B036F"/>
    <w:rsid w:val="2A91145B"/>
    <w:rsid w:val="2ACE130E"/>
    <w:rsid w:val="2AD268A6"/>
    <w:rsid w:val="2AE80DE9"/>
    <w:rsid w:val="2AF05EF0"/>
    <w:rsid w:val="2B0B4AD7"/>
    <w:rsid w:val="2B5524B6"/>
    <w:rsid w:val="2B616D3A"/>
    <w:rsid w:val="2BE23A8A"/>
    <w:rsid w:val="2C274349"/>
    <w:rsid w:val="2C7C48C1"/>
    <w:rsid w:val="2CFA4E04"/>
    <w:rsid w:val="2D5A377F"/>
    <w:rsid w:val="2D8958AB"/>
    <w:rsid w:val="2E332DF5"/>
    <w:rsid w:val="2E500215"/>
    <w:rsid w:val="2F1F0B51"/>
    <w:rsid w:val="2F2E0F08"/>
    <w:rsid w:val="2F756BF6"/>
    <w:rsid w:val="2F8270E8"/>
    <w:rsid w:val="2F837332"/>
    <w:rsid w:val="2FAD0853"/>
    <w:rsid w:val="2FEF3374"/>
    <w:rsid w:val="30012846"/>
    <w:rsid w:val="3019704D"/>
    <w:rsid w:val="306D11C7"/>
    <w:rsid w:val="30CE077C"/>
    <w:rsid w:val="31EC53AE"/>
    <w:rsid w:val="329F18B1"/>
    <w:rsid w:val="32A71562"/>
    <w:rsid w:val="32AC3044"/>
    <w:rsid w:val="33B26438"/>
    <w:rsid w:val="341113B0"/>
    <w:rsid w:val="34335E2C"/>
    <w:rsid w:val="355A71FA"/>
    <w:rsid w:val="35A2711C"/>
    <w:rsid w:val="35B37413"/>
    <w:rsid w:val="35B470BD"/>
    <w:rsid w:val="36197216"/>
    <w:rsid w:val="362F1FC2"/>
    <w:rsid w:val="36301C5C"/>
    <w:rsid w:val="366964CE"/>
    <w:rsid w:val="369073E5"/>
    <w:rsid w:val="36C86CB1"/>
    <w:rsid w:val="37065166"/>
    <w:rsid w:val="371145C5"/>
    <w:rsid w:val="374C6D31"/>
    <w:rsid w:val="37D50947"/>
    <w:rsid w:val="38441F54"/>
    <w:rsid w:val="3852626E"/>
    <w:rsid w:val="388D4D7E"/>
    <w:rsid w:val="39286549"/>
    <w:rsid w:val="39C72E22"/>
    <w:rsid w:val="3ABA038B"/>
    <w:rsid w:val="3B36794F"/>
    <w:rsid w:val="3C076D0B"/>
    <w:rsid w:val="3C666012"/>
    <w:rsid w:val="3CAF1046"/>
    <w:rsid w:val="3CE02A84"/>
    <w:rsid w:val="3D11205A"/>
    <w:rsid w:val="3D5F6F7E"/>
    <w:rsid w:val="3D777E8C"/>
    <w:rsid w:val="3DED6027"/>
    <w:rsid w:val="3E4573F0"/>
    <w:rsid w:val="3E4E61E9"/>
    <w:rsid w:val="3E5F5D41"/>
    <w:rsid w:val="3E7E5894"/>
    <w:rsid w:val="3E984202"/>
    <w:rsid w:val="3EE940DA"/>
    <w:rsid w:val="3EEA46B0"/>
    <w:rsid w:val="3F006C62"/>
    <w:rsid w:val="3F660736"/>
    <w:rsid w:val="3FB329A2"/>
    <w:rsid w:val="401F097C"/>
    <w:rsid w:val="403D1C66"/>
    <w:rsid w:val="405705D2"/>
    <w:rsid w:val="405E35F9"/>
    <w:rsid w:val="40A271FE"/>
    <w:rsid w:val="40BD62C9"/>
    <w:rsid w:val="40D4456C"/>
    <w:rsid w:val="40E550B4"/>
    <w:rsid w:val="40F0234E"/>
    <w:rsid w:val="41354490"/>
    <w:rsid w:val="41F654C8"/>
    <w:rsid w:val="42205F7A"/>
    <w:rsid w:val="42AE0712"/>
    <w:rsid w:val="43346AC2"/>
    <w:rsid w:val="43727992"/>
    <w:rsid w:val="43757011"/>
    <w:rsid w:val="440E12B2"/>
    <w:rsid w:val="4449704B"/>
    <w:rsid w:val="44784B34"/>
    <w:rsid w:val="44B50365"/>
    <w:rsid w:val="44D30B0A"/>
    <w:rsid w:val="44D5300D"/>
    <w:rsid w:val="44ED5522"/>
    <w:rsid w:val="44F87A23"/>
    <w:rsid w:val="45056E81"/>
    <w:rsid w:val="450B3BFA"/>
    <w:rsid w:val="45210E4A"/>
    <w:rsid w:val="45350027"/>
    <w:rsid w:val="45716042"/>
    <w:rsid w:val="45A04342"/>
    <w:rsid w:val="45A67D4B"/>
    <w:rsid w:val="461841D2"/>
    <w:rsid w:val="46DF533E"/>
    <w:rsid w:val="47190850"/>
    <w:rsid w:val="47395E3D"/>
    <w:rsid w:val="475445A4"/>
    <w:rsid w:val="483B0CB8"/>
    <w:rsid w:val="48484E0B"/>
    <w:rsid w:val="4920314E"/>
    <w:rsid w:val="49444634"/>
    <w:rsid w:val="497C1056"/>
    <w:rsid w:val="49815F89"/>
    <w:rsid w:val="498911C7"/>
    <w:rsid w:val="49A563CB"/>
    <w:rsid w:val="49B44860"/>
    <w:rsid w:val="4A5E5ECC"/>
    <w:rsid w:val="4A656994"/>
    <w:rsid w:val="4A7C3523"/>
    <w:rsid w:val="4AB14214"/>
    <w:rsid w:val="4ACE5F68"/>
    <w:rsid w:val="4B11183E"/>
    <w:rsid w:val="4B2C3E54"/>
    <w:rsid w:val="4BC51C34"/>
    <w:rsid w:val="4BC96D78"/>
    <w:rsid w:val="4C33502F"/>
    <w:rsid w:val="4C3A59C3"/>
    <w:rsid w:val="4C9F035E"/>
    <w:rsid w:val="4D45728F"/>
    <w:rsid w:val="4D491763"/>
    <w:rsid w:val="4D917A77"/>
    <w:rsid w:val="4DD65F7E"/>
    <w:rsid w:val="4DDB60C8"/>
    <w:rsid w:val="4E197BE9"/>
    <w:rsid w:val="4E855D19"/>
    <w:rsid w:val="4ECD72A6"/>
    <w:rsid w:val="4F013BB7"/>
    <w:rsid w:val="4F5F4B9A"/>
    <w:rsid w:val="50577CF3"/>
    <w:rsid w:val="50A20336"/>
    <w:rsid w:val="50AF1DB4"/>
    <w:rsid w:val="50BC5157"/>
    <w:rsid w:val="50BC79C5"/>
    <w:rsid w:val="50DD51C1"/>
    <w:rsid w:val="50F12E93"/>
    <w:rsid w:val="515005C0"/>
    <w:rsid w:val="515B15DC"/>
    <w:rsid w:val="521262B4"/>
    <w:rsid w:val="52550D5F"/>
    <w:rsid w:val="52595FA5"/>
    <w:rsid w:val="52BD6D26"/>
    <w:rsid w:val="5305612D"/>
    <w:rsid w:val="534F0AA1"/>
    <w:rsid w:val="53DA4EC3"/>
    <w:rsid w:val="54224844"/>
    <w:rsid w:val="546832F9"/>
    <w:rsid w:val="548C1F50"/>
    <w:rsid w:val="54933CCD"/>
    <w:rsid w:val="54A1634D"/>
    <w:rsid w:val="54E17537"/>
    <w:rsid w:val="54ED6D70"/>
    <w:rsid w:val="55203823"/>
    <w:rsid w:val="554177EE"/>
    <w:rsid w:val="5567545E"/>
    <w:rsid w:val="55F26DAE"/>
    <w:rsid w:val="560D10B7"/>
    <w:rsid w:val="5619739D"/>
    <w:rsid w:val="562E0D2C"/>
    <w:rsid w:val="5638387D"/>
    <w:rsid w:val="56567066"/>
    <w:rsid w:val="56A24097"/>
    <w:rsid w:val="573E7E5F"/>
    <w:rsid w:val="57B63B02"/>
    <w:rsid w:val="57D23646"/>
    <w:rsid w:val="580A7D41"/>
    <w:rsid w:val="58276486"/>
    <w:rsid w:val="5845737C"/>
    <w:rsid w:val="585C4CB9"/>
    <w:rsid w:val="5860709C"/>
    <w:rsid w:val="59610019"/>
    <w:rsid w:val="596518D6"/>
    <w:rsid w:val="598D3355"/>
    <w:rsid w:val="59C00811"/>
    <w:rsid w:val="59E7658C"/>
    <w:rsid w:val="5A4C6DC7"/>
    <w:rsid w:val="5A5534F6"/>
    <w:rsid w:val="5A8A6BFF"/>
    <w:rsid w:val="5AEF4104"/>
    <w:rsid w:val="5B022F52"/>
    <w:rsid w:val="5B8C3B86"/>
    <w:rsid w:val="5BAF225C"/>
    <w:rsid w:val="5BF30399"/>
    <w:rsid w:val="5C4750C0"/>
    <w:rsid w:val="5C9267A1"/>
    <w:rsid w:val="5D0864AF"/>
    <w:rsid w:val="5D0D26B7"/>
    <w:rsid w:val="5D2C4507"/>
    <w:rsid w:val="5D783542"/>
    <w:rsid w:val="5DA00649"/>
    <w:rsid w:val="5DA92E94"/>
    <w:rsid w:val="5DEF2B3B"/>
    <w:rsid w:val="5E483371"/>
    <w:rsid w:val="5EA05D0C"/>
    <w:rsid w:val="5EA83642"/>
    <w:rsid w:val="5EB80BC2"/>
    <w:rsid w:val="5F553F98"/>
    <w:rsid w:val="5F5A7411"/>
    <w:rsid w:val="5FB62311"/>
    <w:rsid w:val="5FBB4655"/>
    <w:rsid w:val="5FC973D5"/>
    <w:rsid w:val="5FD537AD"/>
    <w:rsid w:val="5FF2037B"/>
    <w:rsid w:val="60190635"/>
    <w:rsid w:val="602B5D43"/>
    <w:rsid w:val="603117D3"/>
    <w:rsid w:val="606E5937"/>
    <w:rsid w:val="60712E2E"/>
    <w:rsid w:val="60766751"/>
    <w:rsid w:val="609A7932"/>
    <w:rsid w:val="60C2565D"/>
    <w:rsid w:val="60E6741D"/>
    <w:rsid w:val="61025D20"/>
    <w:rsid w:val="61075712"/>
    <w:rsid w:val="611C2181"/>
    <w:rsid w:val="611E28D0"/>
    <w:rsid w:val="61357BDD"/>
    <w:rsid w:val="61994610"/>
    <w:rsid w:val="61A66D2D"/>
    <w:rsid w:val="61C176C2"/>
    <w:rsid w:val="624B1F24"/>
    <w:rsid w:val="626E50AF"/>
    <w:rsid w:val="629B0809"/>
    <w:rsid w:val="62F2381F"/>
    <w:rsid w:val="630F3EA7"/>
    <w:rsid w:val="63881DE9"/>
    <w:rsid w:val="638C7AC1"/>
    <w:rsid w:val="639D5148"/>
    <w:rsid w:val="640E03EB"/>
    <w:rsid w:val="64222147"/>
    <w:rsid w:val="6459725F"/>
    <w:rsid w:val="64740F4E"/>
    <w:rsid w:val="64B16493"/>
    <w:rsid w:val="64EA5182"/>
    <w:rsid w:val="653F7EA8"/>
    <w:rsid w:val="65B80C70"/>
    <w:rsid w:val="65E210B0"/>
    <w:rsid w:val="660F30F2"/>
    <w:rsid w:val="6615622F"/>
    <w:rsid w:val="66AB7DA9"/>
    <w:rsid w:val="66C51A03"/>
    <w:rsid w:val="66EB55C7"/>
    <w:rsid w:val="66F0714B"/>
    <w:rsid w:val="67054A6C"/>
    <w:rsid w:val="672C7F0A"/>
    <w:rsid w:val="67413836"/>
    <w:rsid w:val="67816B4E"/>
    <w:rsid w:val="67852007"/>
    <w:rsid w:val="67D94EA9"/>
    <w:rsid w:val="67FF7197"/>
    <w:rsid w:val="68422C48"/>
    <w:rsid w:val="689D0269"/>
    <w:rsid w:val="68F00E36"/>
    <w:rsid w:val="68F605DC"/>
    <w:rsid w:val="698750FC"/>
    <w:rsid w:val="69956009"/>
    <w:rsid w:val="69A24664"/>
    <w:rsid w:val="6A1F58CE"/>
    <w:rsid w:val="6A995F75"/>
    <w:rsid w:val="6AB7575C"/>
    <w:rsid w:val="6AF40B09"/>
    <w:rsid w:val="6B314400"/>
    <w:rsid w:val="6BEB2BC4"/>
    <w:rsid w:val="6BED34E7"/>
    <w:rsid w:val="6C1C3258"/>
    <w:rsid w:val="6C4A0999"/>
    <w:rsid w:val="6C5630FD"/>
    <w:rsid w:val="6CB41F7C"/>
    <w:rsid w:val="6CE36A87"/>
    <w:rsid w:val="6CEF6A8C"/>
    <w:rsid w:val="6D065281"/>
    <w:rsid w:val="6D4F0278"/>
    <w:rsid w:val="6D523915"/>
    <w:rsid w:val="6D675D52"/>
    <w:rsid w:val="6DFC778A"/>
    <w:rsid w:val="6E2430F9"/>
    <w:rsid w:val="6E2D39D8"/>
    <w:rsid w:val="6E3B680F"/>
    <w:rsid w:val="6ECB75D8"/>
    <w:rsid w:val="6ED36C87"/>
    <w:rsid w:val="6ED72206"/>
    <w:rsid w:val="6F410ECA"/>
    <w:rsid w:val="6F4C030E"/>
    <w:rsid w:val="704E0CBB"/>
    <w:rsid w:val="706E4EB9"/>
    <w:rsid w:val="70BD5152"/>
    <w:rsid w:val="71140EDA"/>
    <w:rsid w:val="711E7175"/>
    <w:rsid w:val="714E7C4B"/>
    <w:rsid w:val="71643C21"/>
    <w:rsid w:val="7167340A"/>
    <w:rsid w:val="716B1D9A"/>
    <w:rsid w:val="72497AC3"/>
    <w:rsid w:val="72DF6254"/>
    <w:rsid w:val="730476A7"/>
    <w:rsid w:val="73153D21"/>
    <w:rsid w:val="732E1A22"/>
    <w:rsid w:val="738308C8"/>
    <w:rsid w:val="73B659D0"/>
    <w:rsid w:val="73E143A2"/>
    <w:rsid w:val="73F955A5"/>
    <w:rsid w:val="74B22615"/>
    <w:rsid w:val="752A42E0"/>
    <w:rsid w:val="75703777"/>
    <w:rsid w:val="764F015F"/>
    <w:rsid w:val="768218AF"/>
    <w:rsid w:val="76B4739E"/>
    <w:rsid w:val="77195785"/>
    <w:rsid w:val="7734647C"/>
    <w:rsid w:val="774B1EEF"/>
    <w:rsid w:val="77AD70B0"/>
    <w:rsid w:val="78075F41"/>
    <w:rsid w:val="780B1240"/>
    <w:rsid w:val="78154687"/>
    <w:rsid w:val="783950EC"/>
    <w:rsid w:val="783C59EE"/>
    <w:rsid w:val="783C64C3"/>
    <w:rsid w:val="78B33DB1"/>
    <w:rsid w:val="792C515A"/>
    <w:rsid w:val="79387152"/>
    <w:rsid w:val="793A4340"/>
    <w:rsid w:val="797E1031"/>
    <w:rsid w:val="798B6972"/>
    <w:rsid w:val="79A046E9"/>
    <w:rsid w:val="79AE6F6B"/>
    <w:rsid w:val="7A813A3B"/>
    <w:rsid w:val="7B28329B"/>
    <w:rsid w:val="7B415E34"/>
    <w:rsid w:val="7B5C7D28"/>
    <w:rsid w:val="7BC9569A"/>
    <w:rsid w:val="7BF50F78"/>
    <w:rsid w:val="7C48302E"/>
    <w:rsid w:val="7CBA603E"/>
    <w:rsid w:val="7CFC55FB"/>
    <w:rsid w:val="7D1B68FE"/>
    <w:rsid w:val="7D60281D"/>
    <w:rsid w:val="7DA7376B"/>
    <w:rsid w:val="7DAE69F2"/>
    <w:rsid w:val="7E8F4979"/>
    <w:rsid w:val="7E9A5B7C"/>
    <w:rsid w:val="7EC009C7"/>
    <w:rsid w:val="7ECE2E43"/>
    <w:rsid w:val="7F0003B2"/>
    <w:rsid w:val="7F594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3"/>
    <w:next w:val="1"/>
    <w:qFormat/>
    <w:uiPriority w:val="99"/>
    <w:pPr>
      <w:keepNext/>
      <w:overflowPunct w:val="0"/>
      <w:snapToGrid w:val="0"/>
      <w:spacing w:line="360" w:lineRule="auto"/>
      <w:ind w:left="0" w:firstLine="1440" w:firstLineChars="200"/>
      <w:jc w:val="left"/>
      <w:outlineLvl w:val="0"/>
    </w:pPr>
    <w:rPr>
      <w:rFonts w:ascii="Times New Roman" w:hAnsi="Times New Roman"/>
      <w:b/>
      <w:bCs/>
      <w:color w:val="000000"/>
      <w:kern w:val="44"/>
      <w:sz w:val="28"/>
      <w:szCs w:val="30"/>
    </w:rPr>
  </w:style>
  <w:style w:type="paragraph" w:styleId="4">
    <w:name w:val="heading 2"/>
    <w:basedOn w:val="1"/>
    <w:next w:val="1"/>
    <w:autoRedefine/>
    <w:qFormat/>
    <w:uiPriority w:val="0"/>
    <w:pPr>
      <w:keepNext/>
      <w:keepLines/>
      <w:spacing w:before="120" w:after="120" w:line="480" w:lineRule="exact"/>
      <w:ind w:firstLine="0" w:firstLineChars="0"/>
      <w:outlineLvl w:val="1"/>
    </w:pPr>
    <w:rPr>
      <w:rFonts w:ascii="Times New Roman" w:hAnsi="Times New Roman" w:cs="Times New Roman"/>
      <w:b/>
      <w:bCs/>
      <w:sz w:val="28"/>
      <w:szCs w:val="32"/>
    </w:rPr>
  </w:style>
  <w:style w:type="paragraph" w:styleId="5">
    <w:name w:val="heading 3"/>
    <w:basedOn w:val="1"/>
    <w:next w:val="1"/>
    <w:autoRedefine/>
    <w:qFormat/>
    <w:uiPriority w:val="0"/>
    <w:pPr>
      <w:keepLines/>
      <w:numPr>
        <w:ilvl w:val="2"/>
        <w:numId w:val="1"/>
      </w:numPr>
      <w:tabs>
        <w:tab w:val="left" w:pos="851"/>
      </w:tabs>
      <w:adjustRightInd w:val="0"/>
      <w:spacing w:line="360" w:lineRule="auto"/>
      <w:textAlignment w:val="bottom"/>
      <w:outlineLvl w:val="2"/>
    </w:pPr>
    <w:rPr>
      <w:kern w:val="0"/>
      <w:sz w:val="28"/>
      <w:szCs w:val="20"/>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qFormat/>
    <w:uiPriority w:val="0"/>
    <w:pPr>
      <w:keepNext/>
      <w:keepLines/>
      <w:spacing w:before="240" w:after="64" w:line="320" w:lineRule="auto"/>
      <w:outlineLvl w:val="5"/>
    </w:pPr>
    <w:rPr>
      <w:rFonts w:ascii="等线 Light" w:hAnsi="等线 Light" w:eastAsia="等线 Light" w:cs="楷体_GB2312"/>
      <w:b/>
      <w:bCs/>
      <w:sz w:val="24"/>
    </w:rPr>
  </w:style>
  <w:style w:type="character" w:default="1" w:styleId="31">
    <w:name w:val="Default Paragraph Font"/>
    <w:autoRedefine/>
    <w:semiHidden/>
    <w:qFormat/>
    <w:uiPriority w:val="0"/>
  </w:style>
  <w:style w:type="table" w:default="1" w:styleId="29">
    <w:name w:val="Normal Table"/>
    <w:autoRedefine/>
    <w:semiHidden/>
    <w:qFormat/>
    <w:uiPriority w:val="0"/>
    <w:tblPr>
      <w:tblCellMar>
        <w:top w:w="0" w:type="dxa"/>
        <w:left w:w="108" w:type="dxa"/>
        <w:bottom w:w="0" w:type="dxa"/>
        <w:right w:w="108" w:type="dxa"/>
      </w:tblCellMar>
    </w:tblPr>
  </w:style>
  <w:style w:type="paragraph" w:customStyle="1" w:styleId="3">
    <w:name w:val="1正文段落"/>
    <w:basedOn w:val="1"/>
    <w:qFormat/>
    <w:uiPriority w:val="0"/>
    <w:pPr>
      <w:widowControl/>
      <w:wordWrap w:val="0"/>
      <w:spacing w:line="360" w:lineRule="auto"/>
      <w:ind w:firstLine="480"/>
      <w:jc w:val="left"/>
    </w:pPr>
    <w:rPr>
      <w:rFonts w:ascii="Calibri" w:hAnsi="Calibri" w:eastAsia="宋体" w:cs="Times New Roman"/>
      <w:sz w:val="24"/>
    </w:rPr>
  </w:style>
  <w:style w:type="paragraph" w:styleId="8">
    <w:name w:val="Normal Indent"/>
    <w:basedOn w:val="1"/>
    <w:autoRedefine/>
    <w:qFormat/>
    <w:uiPriority w:val="0"/>
    <w:pPr>
      <w:spacing w:line="600" w:lineRule="exact"/>
      <w:ind w:firstLine="420"/>
    </w:pPr>
    <w:rPr>
      <w:rFonts w:ascii="宋体"/>
      <w:sz w:val="32"/>
    </w:rPr>
  </w:style>
  <w:style w:type="paragraph" w:styleId="9">
    <w:name w:val="caption"/>
    <w:basedOn w:val="1"/>
    <w:next w:val="1"/>
    <w:qFormat/>
    <w:uiPriority w:val="0"/>
    <w:pPr>
      <w:adjustRightInd w:val="0"/>
      <w:ind w:firstLine="0" w:firstLineChars="0"/>
      <w:jc w:val="center"/>
      <w:textAlignment w:val="baseline"/>
    </w:pPr>
    <w:rPr>
      <w:rFonts w:ascii="Times New Roman" w:hAnsi="Times New Roman"/>
      <w:b/>
      <w:sz w:val="21"/>
      <w:szCs w:val="20"/>
    </w:rPr>
  </w:style>
  <w:style w:type="paragraph" w:styleId="10">
    <w:name w:val="toa heading"/>
    <w:basedOn w:val="1"/>
    <w:next w:val="1"/>
    <w:autoRedefine/>
    <w:semiHidden/>
    <w:qFormat/>
    <w:uiPriority w:val="0"/>
    <w:pPr>
      <w:spacing w:before="120"/>
    </w:pPr>
    <w:rPr>
      <w:rFonts w:ascii="Arial" w:hAnsi="Arial" w:cs="Arial"/>
      <w:sz w:val="24"/>
    </w:rPr>
  </w:style>
  <w:style w:type="paragraph" w:styleId="11">
    <w:name w:val="annotation text"/>
    <w:basedOn w:val="1"/>
    <w:autoRedefine/>
    <w:qFormat/>
    <w:uiPriority w:val="0"/>
    <w:pPr>
      <w:jc w:val="left"/>
    </w:pPr>
  </w:style>
  <w:style w:type="paragraph" w:styleId="12">
    <w:name w:val="Body Text"/>
    <w:basedOn w:val="1"/>
    <w:next w:val="1"/>
    <w:autoRedefine/>
    <w:qFormat/>
    <w:uiPriority w:val="0"/>
    <w:pPr>
      <w:widowControl/>
      <w:snapToGrid w:val="0"/>
      <w:spacing w:before="60" w:after="160" w:line="259" w:lineRule="auto"/>
      <w:ind w:right="113"/>
    </w:pPr>
    <w:rPr>
      <w:kern w:val="0"/>
      <w:sz w:val="18"/>
      <w:szCs w:val="20"/>
    </w:rPr>
  </w:style>
  <w:style w:type="paragraph" w:styleId="13">
    <w:name w:val="Body Text Indent"/>
    <w:basedOn w:val="1"/>
    <w:next w:val="14"/>
    <w:autoRedefine/>
    <w:qFormat/>
    <w:uiPriority w:val="0"/>
    <w:pPr>
      <w:spacing w:after="120" w:afterLines="0" w:afterAutospacing="0"/>
      <w:ind w:left="420" w:leftChars="200"/>
    </w:pPr>
  </w:style>
  <w:style w:type="paragraph" w:customStyle="1" w:styleId="1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5">
    <w:name w:val="Block Text"/>
    <w:basedOn w:val="1"/>
    <w:autoRedefine/>
    <w:qFormat/>
    <w:uiPriority w:val="0"/>
    <w:pPr>
      <w:snapToGrid w:val="0"/>
      <w:spacing w:line="440" w:lineRule="exact"/>
      <w:ind w:left="210" w:leftChars="100" w:right="210" w:rightChars="100" w:firstLine="573"/>
    </w:pPr>
    <w:rPr>
      <w:rFonts w:ascii="宋体" w:hAnsi="宋体"/>
      <w:sz w:val="28"/>
    </w:rPr>
  </w:style>
  <w:style w:type="paragraph" w:styleId="16">
    <w:name w:val="Plain Text"/>
    <w:basedOn w:val="1"/>
    <w:next w:val="17"/>
    <w:autoRedefine/>
    <w:qFormat/>
    <w:uiPriority w:val="0"/>
    <w:rPr>
      <w:rFonts w:ascii="宋体" w:hAnsi="Courier New"/>
      <w:szCs w:val="20"/>
    </w:rPr>
  </w:style>
  <w:style w:type="paragraph" w:customStyle="1" w:styleId="17">
    <w:name w:val="Default"/>
    <w:basedOn w:val="18"/>
    <w:next w:val="1"/>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表头"/>
    <w:basedOn w:val="19"/>
    <w:next w:val="1"/>
    <w:autoRedefine/>
    <w:qFormat/>
    <w:uiPriority w:val="0"/>
    <w:pPr>
      <w:jc w:val="center"/>
    </w:pPr>
    <w:rPr>
      <w:rFonts w:hint="eastAsia"/>
      <w:bCs/>
      <w:szCs w:val="21"/>
    </w:rPr>
  </w:style>
  <w:style w:type="paragraph" w:customStyle="1" w:styleId="19">
    <w:name w:val="表标题"/>
    <w:basedOn w:val="12"/>
    <w:next w:val="12"/>
    <w:autoRedefine/>
    <w:qFormat/>
    <w:uiPriority w:val="0"/>
    <w:pPr>
      <w:spacing w:line="500" w:lineRule="exact"/>
      <w:ind w:firstLine="482" w:firstLineChars="200"/>
      <w:jc w:val="center"/>
    </w:pPr>
    <w:rPr>
      <w:rFonts w:ascii="仿宋_GB2312" w:eastAsia="仿宋_GB2312"/>
      <w:b/>
      <w:sz w:val="24"/>
      <w:szCs w:val="20"/>
    </w:rPr>
  </w:style>
  <w:style w:type="paragraph" w:styleId="20">
    <w:name w:val="List Bullet 5"/>
    <w:basedOn w:val="1"/>
    <w:autoRedefine/>
    <w:qFormat/>
    <w:uiPriority w:val="0"/>
    <w:pPr>
      <w:numPr>
        <w:ilvl w:val="0"/>
        <w:numId w:val="2"/>
      </w:numPr>
    </w:pPr>
  </w:style>
  <w:style w:type="paragraph" w:styleId="21">
    <w:name w:val="Body Text Indent 2"/>
    <w:basedOn w:val="1"/>
    <w:next w:val="22"/>
    <w:autoRedefine/>
    <w:qFormat/>
    <w:uiPriority w:val="99"/>
    <w:pPr>
      <w:spacing w:line="480" w:lineRule="exact"/>
      <w:ind w:firstLine="476" w:firstLineChars="252"/>
    </w:pPr>
    <w:rPr>
      <w:rFonts w:ascii="宋体"/>
    </w:rPr>
  </w:style>
  <w:style w:type="paragraph" w:styleId="22">
    <w:name w:val="Body Text First Indent 2"/>
    <w:basedOn w:val="13"/>
    <w:next w:val="1"/>
    <w:autoRedefine/>
    <w:qFormat/>
    <w:uiPriority w:val="0"/>
    <w:pPr>
      <w:ind w:firstLine="420" w:firstLineChars="200"/>
    </w:pPr>
  </w:style>
  <w:style w:type="paragraph" w:styleId="23">
    <w:name w:val="footer"/>
    <w:basedOn w:val="1"/>
    <w:autoRedefine/>
    <w:qFormat/>
    <w:uiPriority w:val="0"/>
    <w:pPr>
      <w:tabs>
        <w:tab w:val="center" w:pos="4153"/>
        <w:tab w:val="right" w:pos="8306"/>
      </w:tabs>
      <w:snapToGrid w:val="0"/>
      <w:jc w:val="left"/>
    </w:pPr>
    <w:rPr>
      <w:sz w:val="18"/>
    </w:rPr>
  </w:style>
  <w:style w:type="paragraph" w:styleId="2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5">
    <w:name w:val="toc 1"/>
    <w:basedOn w:val="1"/>
    <w:next w:val="1"/>
    <w:autoRedefine/>
    <w:unhideWhenUsed/>
    <w:qFormat/>
    <w:uiPriority w:val="39"/>
  </w:style>
  <w:style w:type="paragraph" w:styleId="26">
    <w:name w:val="List"/>
    <w:basedOn w:val="1"/>
    <w:next w:val="1"/>
    <w:qFormat/>
    <w:uiPriority w:val="0"/>
    <w:pPr>
      <w:adjustRightInd w:val="0"/>
      <w:snapToGrid w:val="0"/>
      <w:jc w:val="center"/>
      <w:textAlignment w:val="baseline"/>
    </w:pPr>
    <w:rPr>
      <w:rFonts w:ascii="Times New Roman" w:hAnsi="Times New Roman" w:eastAsia="仿宋_GB2312"/>
      <w:snapToGrid w:val="0"/>
      <w:kern w:val="21"/>
      <w:szCs w:val="20"/>
    </w:rPr>
  </w:style>
  <w:style w:type="paragraph" w:styleId="27">
    <w:name w:val="Body Text 2"/>
    <w:basedOn w:val="1"/>
    <w:autoRedefine/>
    <w:qFormat/>
    <w:uiPriority w:val="0"/>
    <w:pPr>
      <w:spacing w:after="120" w:afterLines="0" w:line="480" w:lineRule="auto"/>
    </w:pPr>
    <w:rPr>
      <w:szCs w:val="24"/>
    </w:rPr>
  </w:style>
  <w:style w:type="paragraph" w:styleId="2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rPr>
  </w:style>
  <w:style w:type="character" w:styleId="33">
    <w:name w:val="page number"/>
    <w:basedOn w:val="31"/>
    <w:autoRedefine/>
    <w:qFormat/>
    <w:uiPriority w:val="0"/>
  </w:style>
  <w:style w:type="character" w:styleId="34">
    <w:name w:val="Emphasis"/>
    <w:basedOn w:val="31"/>
    <w:autoRedefine/>
    <w:qFormat/>
    <w:uiPriority w:val="0"/>
    <w:rPr>
      <w:i/>
    </w:rPr>
  </w:style>
  <w:style w:type="character" w:styleId="35">
    <w:name w:val="Hyperlink"/>
    <w:basedOn w:val="31"/>
    <w:autoRedefine/>
    <w:qFormat/>
    <w:uiPriority w:val="0"/>
    <w:rPr>
      <w:color w:val="0000FF"/>
      <w:u w:val="single"/>
    </w:rPr>
  </w:style>
  <w:style w:type="paragraph" w:customStyle="1" w:styleId="36">
    <w:name w:val="样式 正文缩进正文缩进2正文缩进 Char Char正文缩进 Char Char Char Char正文缩进 Char ..."/>
    <w:basedOn w:val="8"/>
    <w:autoRedefine/>
    <w:qFormat/>
    <w:uiPriority w:val="99"/>
    <w:pPr>
      <w:ind w:firstLine="200"/>
    </w:pPr>
    <w:rPr>
      <w:rFonts w:cs="宋体"/>
    </w:rPr>
  </w:style>
  <w:style w:type="paragraph" w:customStyle="1" w:styleId="37">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38">
    <w:name w:val="样式 首行缩进:  2 字符1"/>
    <w:basedOn w:val="1"/>
    <w:autoRedefine/>
    <w:qFormat/>
    <w:uiPriority w:val="0"/>
    <w:pPr>
      <w:spacing w:before="120" w:beforeLines="0" w:line="400" w:lineRule="exact"/>
      <w:ind w:firstLine="200" w:firstLineChars="200"/>
    </w:pPr>
    <w:rPr>
      <w:rFonts w:ascii="宋体"/>
      <w:sz w:val="24"/>
      <w:szCs w:val="20"/>
    </w:rPr>
  </w:style>
  <w:style w:type="paragraph" w:customStyle="1" w:styleId="39">
    <w:name w:val="表格"/>
    <w:basedOn w:val="26"/>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40">
    <w:name w:val="正文(首行缩进)"/>
    <w:basedOn w:val="1"/>
    <w:next w:val="1"/>
    <w:autoRedefine/>
    <w:qFormat/>
    <w:uiPriority w:val="0"/>
    <w:pPr>
      <w:spacing w:line="360" w:lineRule="auto"/>
      <w:ind w:firstLine="540" w:firstLineChars="225"/>
    </w:pPr>
    <w:rPr>
      <w:snapToGrid w:val="0"/>
      <w:color w:val="000000"/>
      <w:kern w:val="0"/>
      <w:sz w:val="24"/>
      <w:szCs w:val="24"/>
    </w:rPr>
  </w:style>
  <w:style w:type="table" w:customStyle="1" w:styleId="41">
    <w:name w:val="Table Normal"/>
    <w:autoRedefine/>
    <w:semiHidden/>
    <w:unhideWhenUsed/>
    <w:qFormat/>
    <w:uiPriority w:val="0"/>
    <w:tblPr>
      <w:tblCellMar>
        <w:top w:w="0" w:type="dxa"/>
        <w:left w:w="0" w:type="dxa"/>
        <w:bottom w:w="0" w:type="dxa"/>
        <w:right w:w="0" w:type="dxa"/>
      </w:tblCellMar>
    </w:tblPr>
  </w:style>
  <w:style w:type="paragraph" w:customStyle="1" w:styleId="42">
    <w:name w:val="表格1"/>
    <w:basedOn w:val="1"/>
    <w:autoRedefine/>
    <w:qFormat/>
    <w:uiPriority w:val="0"/>
    <w:pPr>
      <w:adjustRightInd w:val="0"/>
      <w:snapToGrid w:val="0"/>
      <w:jc w:val="center"/>
    </w:pPr>
    <w:rPr>
      <w:rFonts w:ascii="Times New Roman" w:hAnsi="Times New Roman" w:eastAsia="方正仿宋_GBK"/>
      <w:color w:val="000000"/>
      <w:kern w:val="0"/>
      <w:szCs w:val="24"/>
    </w:rPr>
  </w:style>
  <w:style w:type="paragraph" w:customStyle="1" w:styleId="43">
    <w:name w:val="Char Char Char Char Char Char Char Char Char"/>
    <w:basedOn w:val="1"/>
    <w:autoRedefine/>
    <w:qFormat/>
    <w:uiPriority w:val="99"/>
    <w:rPr>
      <w:rFonts w:ascii="Times New Roman" w:hAnsi="Times New Roman" w:eastAsia="宋体" w:cs="Times New Roman"/>
      <w:sz w:val="24"/>
      <w:szCs w:val="24"/>
    </w:rPr>
  </w:style>
  <w:style w:type="paragraph" w:customStyle="1" w:styleId="44">
    <w:name w:val="表格内文字"/>
    <w:basedOn w:val="45"/>
    <w:autoRedefine/>
    <w:qFormat/>
    <w:uiPriority w:val="0"/>
    <w:pPr>
      <w:tabs>
        <w:tab w:val="left" w:pos="0"/>
      </w:tabs>
      <w:adjustRightInd w:val="0"/>
      <w:snapToGrid w:val="0"/>
      <w:jc w:val="center"/>
    </w:pPr>
    <w:rPr>
      <w:rFonts w:ascii="宋体" w:hAnsi="宋体"/>
      <w:szCs w:val="21"/>
    </w:rPr>
  </w:style>
  <w:style w:type="paragraph" w:customStyle="1" w:styleId="45">
    <w:name w:val="_Style 4"/>
    <w:basedOn w:val="1"/>
    <w:autoRedefine/>
    <w:qFormat/>
    <w:uiPriority w:val="0"/>
    <w:rPr>
      <w:szCs w:val="20"/>
    </w:rPr>
  </w:style>
  <w:style w:type="paragraph" w:customStyle="1" w:styleId="46">
    <w:name w:val="默认段落字体 Para Char"/>
    <w:basedOn w:val="1"/>
    <w:next w:val="1"/>
    <w:autoRedefine/>
    <w:qFormat/>
    <w:uiPriority w:val="0"/>
    <w:pPr>
      <w:spacing w:line="360" w:lineRule="auto"/>
      <w:ind w:firstLine="200" w:firstLineChars="200"/>
    </w:pPr>
    <w:rPr>
      <w:rFonts w:ascii="宋体" w:hAnsi="宋体" w:cs="宋体"/>
      <w:sz w:val="24"/>
      <w:szCs w:val="24"/>
    </w:rPr>
  </w:style>
  <w:style w:type="paragraph" w:customStyle="1" w:styleId="47">
    <w:name w:val="样式4"/>
    <w:basedOn w:val="1"/>
    <w:autoRedefine/>
    <w:qFormat/>
    <w:uiPriority w:val="0"/>
    <w:pPr>
      <w:tabs>
        <w:tab w:val="left" w:pos="9128"/>
      </w:tabs>
      <w:adjustRightInd w:val="0"/>
      <w:snapToGrid w:val="0"/>
      <w:spacing w:line="500" w:lineRule="exact"/>
      <w:jc w:val="center"/>
    </w:pPr>
  </w:style>
  <w:style w:type="character" w:customStyle="1" w:styleId="48">
    <w:name w:val="样式 四号"/>
    <w:autoRedefine/>
    <w:qFormat/>
    <w:uiPriority w:val="0"/>
    <w:rPr>
      <w:sz w:val="28"/>
    </w:rPr>
  </w:style>
  <w:style w:type="character" w:customStyle="1" w:styleId="49">
    <w:name w:val="font01"/>
    <w:basedOn w:val="31"/>
    <w:autoRedefine/>
    <w:qFormat/>
    <w:uiPriority w:val="0"/>
    <w:rPr>
      <w:rFonts w:hint="eastAsia" w:ascii="宋体" w:hAnsi="宋体" w:eastAsia="宋体" w:cs="宋体"/>
      <w:color w:val="000000"/>
      <w:sz w:val="28"/>
      <w:szCs w:val="28"/>
      <w:u w:val="none"/>
    </w:rPr>
  </w:style>
  <w:style w:type="paragraph" w:customStyle="1" w:styleId="50">
    <w:name w:val="纯文本1"/>
    <w:basedOn w:val="1"/>
    <w:autoRedefine/>
    <w:qFormat/>
    <w:uiPriority w:val="0"/>
    <w:pPr>
      <w:adjustRightInd w:val="0"/>
      <w:textAlignment w:val="baseline"/>
    </w:pPr>
    <w:rPr>
      <w:rFonts w:ascii="宋体" w:hAnsi="Courier New"/>
      <w:szCs w:val="20"/>
    </w:rPr>
  </w:style>
  <w:style w:type="paragraph" w:customStyle="1" w:styleId="51">
    <w:name w:val="我"/>
    <w:basedOn w:val="1"/>
    <w:autoRedefine/>
    <w:qFormat/>
    <w:uiPriority w:val="0"/>
    <w:pPr>
      <w:spacing w:line="360" w:lineRule="auto"/>
      <w:ind w:firstLine="640" w:firstLineChars="200"/>
    </w:pPr>
    <w:rPr>
      <w:kern w:val="0"/>
      <w:sz w:val="24"/>
      <w:szCs w:val="20"/>
    </w:rPr>
  </w:style>
  <w:style w:type="paragraph" w:customStyle="1" w:styleId="52">
    <w:name w:val="！正文"/>
    <w:basedOn w:val="1"/>
    <w:autoRedefine/>
    <w:qFormat/>
    <w:uiPriority w:val="0"/>
    <w:pPr>
      <w:adjustRightInd/>
      <w:snapToGrid/>
      <w:spacing w:line="360" w:lineRule="auto"/>
      <w:ind w:firstLine="480" w:firstLineChars="200"/>
    </w:pPr>
    <w:rPr>
      <w:rFonts w:ascii="Times New Roman" w:eastAsia="宋体"/>
      <w:sz w:val="24"/>
      <w:szCs w:val="20"/>
    </w:rPr>
  </w:style>
  <w:style w:type="paragraph" w:customStyle="1" w:styleId="53">
    <w:name w:val="表格标题"/>
    <w:basedOn w:val="18"/>
    <w:autoRedefine/>
    <w:qFormat/>
    <w:uiPriority w:val="0"/>
    <w:pPr>
      <w:spacing w:before="120"/>
      <w:jc w:val="center"/>
    </w:pPr>
    <w:rPr>
      <w:rFonts w:ascii="Calibri" w:hAnsi="Calibri" w:eastAsia="仿宋_GB2312"/>
      <w:sz w:val="24"/>
      <w:szCs w:val="20"/>
    </w:rPr>
  </w:style>
  <w:style w:type="character" w:customStyle="1" w:styleId="54">
    <w:name w:val="textbig1"/>
    <w:autoRedefine/>
    <w:qFormat/>
    <w:uiPriority w:val="0"/>
    <w:rPr>
      <w:rFonts w:ascii="宋体" w:hAnsi="宋体" w:cs="宋体"/>
      <w:sz w:val="18"/>
      <w:szCs w:val="18"/>
    </w:rPr>
  </w:style>
  <w:style w:type="paragraph" w:customStyle="1" w:styleId="55">
    <w:name w:val="表头标题格式"/>
    <w:basedOn w:val="1"/>
    <w:autoRedefine/>
    <w:qFormat/>
    <w:uiPriority w:val="0"/>
    <w:pPr>
      <w:widowControl/>
      <w:tabs>
        <w:tab w:val="left" w:pos="360"/>
        <w:tab w:val="left" w:pos="1620"/>
      </w:tabs>
      <w:spacing w:line="360" w:lineRule="auto"/>
      <w:jc w:val="center"/>
    </w:pPr>
    <w:rPr>
      <w:rFonts w:ascii="黑体" w:hAnsi="宋体" w:eastAsia="黑体"/>
      <w:b/>
      <w:bCs/>
      <w:spacing w:val="0"/>
      <w:kern w:val="0"/>
      <w:sz w:val="24"/>
      <w:szCs w:val="20"/>
    </w:rPr>
  </w:style>
  <w:style w:type="paragraph" w:customStyle="1" w:styleId="56">
    <w:name w:val="环评标题"/>
    <w:basedOn w:val="57"/>
    <w:autoRedefine/>
    <w:qFormat/>
    <w:uiPriority w:val="0"/>
    <w:pPr>
      <w:ind w:firstLine="0" w:firstLineChars="0"/>
    </w:pPr>
    <w:rPr>
      <w:b/>
    </w:rPr>
  </w:style>
  <w:style w:type="paragraph" w:customStyle="1" w:styleId="57">
    <w:name w:val="环评正文"/>
    <w:basedOn w:val="1"/>
    <w:autoRedefine/>
    <w:qFormat/>
    <w:uiPriority w:val="0"/>
    <w:pPr>
      <w:autoSpaceDE w:val="0"/>
      <w:autoSpaceDN w:val="0"/>
      <w:adjustRightInd w:val="0"/>
      <w:snapToGrid w:val="0"/>
      <w:spacing w:line="360" w:lineRule="auto"/>
      <w:ind w:firstLine="200" w:firstLineChars="200"/>
    </w:pPr>
    <w:rPr>
      <w:rFonts w:cs="宋体"/>
      <w:kern w:val="0"/>
      <w:sz w:val="24"/>
      <w:szCs w:val="21"/>
    </w:rPr>
  </w:style>
  <w:style w:type="paragraph" w:customStyle="1" w:styleId="58">
    <w:name w:val="表格正文"/>
    <w:basedOn w:val="53"/>
    <w:autoRedefine/>
    <w:qFormat/>
    <w:uiPriority w:val="0"/>
    <w:pPr>
      <w:ind w:firstLine="0"/>
    </w:pPr>
    <w:rPr>
      <w:b w:val="0"/>
    </w:rPr>
  </w:style>
  <w:style w:type="paragraph" w:customStyle="1" w:styleId="59">
    <w:name w:val="环5表格"/>
    <w:basedOn w:val="1"/>
    <w:autoRedefine/>
    <w:qFormat/>
    <w:uiPriority w:val="0"/>
    <w:pPr>
      <w:jc w:val="center"/>
    </w:pPr>
    <w:rPr>
      <w:rFonts w:eastAsia="黑体"/>
    </w:rPr>
  </w:style>
  <w:style w:type="paragraph" w:customStyle="1" w:styleId="60">
    <w:name w:val="1正文"/>
    <w:basedOn w:val="1"/>
    <w:autoRedefine/>
    <w:qFormat/>
    <w:uiPriority w:val="0"/>
    <w:pPr>
      <w:widowControl/>
      <w:spacing w:line="360" w:lineRule="auto"/>
      <w:ind w:firstLine="200" w:firstLineChars="200"/>
    </w:pPr>
    <w:rPr>
      <w:kern w:val="0"/>
      <w:sz w:val="24"/>
      <w:lang w:val="en-GB"/>
    </w:rPr>
  </w:style>
  <w:style w:type="paragraph" w:customStyle="1" w:styleId="61">
    <w:name w:val="表头字体"/>
    <w:basedOn w:val="1"/>
    <w:autoRedefine/>
    <w:qFormat/>
    <w:uiPriority w:val="0"/>
    <w:pPr>
      <w:spacing w:line="360" w:lineRule="auto"/>
      <w:ind w:firstLine="0" w:firstLineChars="0"/>
      <w:jc w:val="center"/>
    </w:pPr>
    <w:rPr>
      <w:rFonts w:ascii="Times New Roman" w:hAnsi="Times New Roman" w:eastAsia="宋体"/>
      <w:b/>
      <w:kern w:val="2"/>
      <w:sz w:val="24"/>
      <w:szCs w:val="24"/>
    </w:rPr>
  </w:style>
  <w:style w:type="paragraph" w:customStyle="1" w:styleId="62">
    <w:name w:val="表格内容"/>
    <w:next w:val="63"/>
    <w:autoRedefine/>
    <w:qFormat/>
    <w:uiPriority w:val="0"/>
    <w:pPr>
      <w:spacing w:line="240" w:lineRule="auto"/>
      <w:jc w:val="center"/>
    </w:pPr>
    <w:rPr>
      <w:rFonts w:ascii="Times New Roman" w:hAnsi="Times New Roman" w:eastAsia="宋体" w:cs="Times New Roman"/>
      <w:kern w:val="2"/>
      <w:sz w:val="21"/>
      <w:szCs w:val="24"/>
      <w:lang w:val="zh-TW" w:eastAsia="zh-TW" w:bidi="ar-SA"/>
    </w:rPr>
  </w:style>
  <w:style w:type="paragraph" w:customStyle="1" w:styleId="63">
    <w:name w:val="文本正文"/>
    <w:basedOn w:val="1"/>
    <w:autoRedefine/>
    <w:qFormat/>
    <w:uiPriority w:val="0"/>
    <w:pPr>
      <w:ind w:firstLine="480"/>
    </w:pPr>
  </w:style>
  <w:style w:type="paragraph" w:customStyle="1" w:styleId="64">
    <w:name w:val="Table Text"/>
    <w:basedOn w:val="1"/>
    <w:autoRedefine/>
    <w:semiHidden/>
    <w:qFormat/>
    <w:uiPriority w:val="0"/>
    <w:rPr>
      <w:rFonts w:ascii="宋体" w:hAnsi="宋体" w:eastAsia="宋体" w:cs="宋体"/>
      <w:sz w:val="20"/>
      <w:szCs w:val="20"/>
      <w:lang w:val="en-US" w:eastAsia="en-US" w:bidi="ar-SA"/>
    </w:rPr>
  </w:style>
  <w:style w:type="paragraph" w:customStyle="1" w:styleId="65">
    <w:name w:val="表内文字"/>
    <w:basedOn w:val="1"/>
    <w:autoRedefine/>
    <w:qFormat/>
    <w:uiPriority w:val="1"/>
    <w:pPr>
      <w:spacing w:line="240" w:lineRule="auto"/>
      <w:ind w:firstLine="0" w:firstLineChars="0"/>
      <w:jc w:val="center"/>
    </w:pPr>
    <w:rPr>
      <w:rFonts w:ascii="宋体" w:hAnsi="宋体" w:cs="宋体"/>
      <w:sz w:val="21"/>
      <w:szCs w:val="24"/>
      <w:lang w:val="zh-CN" w:bidi="zh-CN"/>
    </w:rPr>
  </w:style>
  <w:style w:type="paragraph" w:customStyle="1" w:styleId="66">
    <w:name w:val="样式 表、图名 + Times New Roman1"/>
    <w:basedOn w:val="67"/>
    <w:autoRedefine/>
    <w:qFormat/>
    <w:uiPriority w:val="0"/>
    <w:pPr>
      <w:snapToGrid/>
      <w:spacing w:before="31" w:beforeLines="10" w:after="31" w:afterLines="10" w:line="360" w:lineRule="auto"/>
      <w:ind w:firstLine="200" w:firstLineChars="200"/>
      <w:jc w:val="left"/>
    </w:pPr>
    <w:rPr>
      <w:rFonts w:cs="宋体"/>
      <w:color w:val="000000"/>
    </w:rPr>
  </w:style>
  <w:style w:type="paragraph" w:customStyle="1" w:styleId="67">
    <w:name w:val="表、图名"/>
    <w:basedOn w:val="1"/>
    <w:autoRedefine/>
    <w:qFormat/>
    <w:uiPriority w:val="0"/>
    <w:pPr>
      <w:adjustRightInd w:val="0"/>
      <w:snapToGrid w:val="0"/>
      <w:jc w:val="center"/>
    </w:pPr>
    <w:rPr>
      <w:rFonts w:ascii="黑体" w:hAnsi="宋体" w:eastAsia="黑体"/>
      <w:kern w:val="2"/>
      <w:szCs w:val="24"/>
      <w:lang w:eastAsia="zh-CN"/>
    </w:rPr>
  </w:style>
  <w:style w:type="paragraph" w:customStyle="1" w:styleId="68">
    <w:name w:val="Table Paragraph"/>
    <w:basedOn w:val="1"/>
    <w:autoRedefine/>
    <w:qFormat/>
    <w:uiPriority w:val="1"/>
    <w:rPr>
      <w:rFonts w:ascii="宋体" w:hAnsi="宋体" w:cs="宋体"/>
      <w:lang w:val="zh-CN" w:bidi="zh-CN"/>
    </w:rPr>
  </w:style>
  <w:style w:type="character" w:customStyle="1" w:styleId="69">
    <w:name w:val="font21"/>
    <w:basedOn w:val="31"/>
    <w:qFormat/>
    <w:uiPriority w:val="0"/>
    <w:rPr>
      <w:rFonts w:ascii="宋体" w:hAnsi="宋体" w:eastAsia="宋体" w:cs="宋体"/>
      <w:color w:val="000000"/>
      <w:sz w:val="44"/>
      <w:szCs w:val="44"/>
      <w:u w:val="none"/>
    </w:rPr>
  </w:style>
  <w:style w:type="character" w:customStyle="1" w:styleId="70">
    <w:name w:val="font31"/>
    <w:basedOn w:val="31"/>
    <w:qFormat/>
    <w:uiPriority w:val="0"/>
    <w:rPr>
      <w:rFonts w:ascii="宋体" w:hAnsi="宋体" w:eastAsia="宋体" w:cs="宋体"/>
      <w:color w:val="000000"/>
      <w:sz w:val="44"/>
      <w:szCs w:val="44"/>
      <w:u w:val="none"/>
    </w:rPr>
  </w:style>
  <w:style w:type="paragraph" w:customStyle="1" w:styleId="71">
    <w:name w:val="表格内容9999999999"/>
    <w:basedOn w:val="16"/>
    <w:qFormat/>
    <w:uiPriority w:val="0"/>
    <w:pPr>
      <w:autoSpaceDE w:val="0"/>
      <w:autoSpaceDN w:val="0"/>
      <w:adjustRightInd w:val="0"/>
      <w:snapToGrid w:val="0"/>
      <w:spacing w:line="240" w:lineRule="atLeast"/>
      <w:ind w:firstLine="0" w:firstLineChars="0"/>
      <w:jc w:val="left"/>
    </w:pPr>
    <w:rPr>
      <w:rFonts w:ascii="Times New Roman" w:hAnsi="Times New Roman" w:eastAsia="宋体"/>
      <w:color w:val="000000"/>
      <w:sz w:val="21"/>
      <w:szCs w:val="24"/>
      <w:lang w:bidi="en-US"/>
    </w:rPr>
  </w:style>
  <w:style w:type="character" w:customStyle="1" w:styleId="72">
    <w:name w:val="表名图名 Char"/>
    <w:link w:val="73"/>
    <w:qFormat/>
    <w:uiPriority w:val="0"/>
    <w:rPr>
      <w:rFonts w:ascii="Times New Roman" w:hAnsi="Times New Roman" w:eastAsia="宋体"/>
      <w:sz w:val="21"/>
    </w:rPr>
  </w:style>
  <w:style w:type="paragraph" w:customStyle="1" w:styleId="73">
    <w:name w:val="表名图名"/>
    <w:basedOn w:val="7"/>
    <w:link w:val="72"/>
    <w:qFormat/>
    <w:uiPriority w:val="0"/>
    <w:pPr>
      <w:keepNext w:val="0"/>
      <w:keepLines w:val="0"/>
      <w:spacing w:before="0" w:after="0" w:line="360" w:lineRule="auto"/>
      <w:ind w:firstLine="0" w:firstLineChars="0"/>
      <w:jc w:val="center"/>
    </w:pPr>
    <w:rPr>
      <w:rFonts w:ascii="Times New Roman" w:hAnsi="Times New Roman" w:eastAsia="宋体"/>
      <w:sz w:val="21"/>
    </w:rPr>
  </w:style>
  <w:style w:type="paragraph" w:customStyle="1" w:styleId="74">
    <w:name w:val="我的表格"/>
    <w:basedOn w:val="75"/>
    <w:qFormat/>
    <w:uiPriority w:val="0"/>
    <w:pPr>
      <w:adjustRightInd w:val="0"/>
      <w:spacing w:line="280" w:lineRule="exact"/>
      <w:ind w:firstLine="0" w:firstLineChars="0"/>
      <w:jc w:val="center"/>
      <w:textAlignment w:val="baseline"/>
    </w:pPr>
  </w:style>
  <w:style w:type="paragraph" w:customStyle="1" w:styleId="75">
    <w:name w:val="五号表内容"/>
    <w:basedOn w:val="1"/>
    <w:next w:val="1"/>
    <w:qFormat/>
    <w:uiPriority w:val="0"/>
    <w:pPr>
      <w:spacing w:line="240" w:lineRule="exact"/>
      <w:ind w:firstLine="0" w:firstLineChars="0"/>
      <w:jc w:val="center"/>
    </w:pPr>
    <w:rPr>
      <w:sz w:val="21"/>
    </w:rPr>
  </w:style>
  <w:style w:type="character" w:customStyle="1" w:styleId="76">
    <w:name w:val="font51"/>
    <w:basedOn w:val="31"/>
    <w:qFormat/>
    <w:uiPriority w:val="0"/>
    <w:rPr>
      <w:rFonts w:ascii="宋体" w:hAnsi="宋体" w:eastAsia="宋体" w:cs="宋体"/>
      <w:b/>
      <w:bCs/>
      <w:color w:val="000000"/>
      <w:sz w:val="26"/>
      <w:szCs w:val="26"/>
      <w:u w:val="none"/>
    </w:rPr>
  </w:style>
  <w:style w:type="character" w:customStyle="1" w:styleId="77">
    <w:name w:val="font41"/>
    <w:basedOn w:val="31"/>
    <w:qFormat/>
    <w:uiPriority w:val="0"/>
    <w:rPr>
      <w:rFonts w:ascii="宋体" w:hAnsi="宋体" w:eastAsia="宋体" w:cs="宋体"/>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5309c12f-768b-464c-8bfe-eaf274cfa2f2</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5BB05D3A</paraID>
      <start>26</start>
      <end>27</end>
      <status>modified</status>
      <modifiedWord>对</modifiedWord>
      <trackRevisions>false</trackRevisions>
    </reviewItem>
    <reviewItem>
      <errorID>7f5326b9-f9e5-4963-94d4-6ccd2e6df16e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2911A43F</paraID>
      <start>20</start>
      <end>21</end>
      <status>modified</status>
      <modifiedWord>—</modifiedWord>
      <trackRevisions>false</trackRevisions>
    </reviewItem>
    <reviewItem>
      <errorID>83baef6b-a7e2-4aef-bba0-1652633d9f65</errorID>
      <errorWord>料</errorWord>
      <group>L1_Word</group>
      <groupName>字词问题</groupName>
      <ability>L2_Typo</ability>
      <abilityName>字词错误</abilityName>
      <candidateList>
        <item>料和</item>
      </candidateList>
      <explain/>
      <paraID>1FBA3646</paraID>
      <start>127</start>
      <end>128</end>
      <status>ignored</status>
      <modifiedWord/>
      <trackRevisions>false</trackRevisions>
    </reviewItem>
    <reviewItem>
      <errorID>e0311931-980f-4a25-b497-3cbedca34c48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1F40AAF8</paraID>
      <start>20</start>
      <end>21</end>
      <status>modified</status>
      <modifiedWord>—</modifiedWord>
      <trackRevisions>false</trackRevisions>
    </reviewItem>
    <reviewItem>
      <errorID>31f4103a-ac7e-46ed-ad9b-1d93cb5a12e8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516CE17D</paraID>
      <start>19</start>
      <end>20</end>
      <status>modified</status>
      <modifiedWord>—</modifiedWord>
      <trackRevisions>false</trackRevisions>
    </reviewItem>
    <reviewItem>
      <errorID>dcf10d51-04f7-4c15-a229-7be5b907cff0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61DEF3F</paraID>
      <start>27</start>
      <end>28</end>
      <status>modified</status>
      <modifiedWord>—</modifiedWord>
      <trackRevisions>false</trackRevisions>
    </reviewItem>
    <reviewItem>
      <errorID>d3eb9790-9286-4ed6-adff-bf1bec59e0eb</errorID>
      <errorWord>《中共中央、国务院</errorWord>
      <group>L1_Political</group>
      <groupName>政治性问题</groupName>
      <ability>L2_Unpolitical</ability>
      <abilityName>政治敏感错误</abilityName>
      <candidateList>
        <item>《中共中央 国务院</item>
      </candidateList>
      <explain/>
      <paraID>32F373AA</paraID>
      <start>31</start>
      <end>40</end>
      <status>modified</status>
      <modifiedWord>《中共中央 国务院</modifiedWord>
      <trackRevisions>false</trackRevisions>
    </reviewItem>
    <reviewItem>
      <errorID>afe9ccbc-7d6f-4230-9eec-0aa2d41a2e12</errorID>
      <errorWord>,</errorWord>
      <group>L1_Format</group>
      <groupName>格式问题</groupName>
      <ability>L2_HalfPunc</ability>
      <abilityName>全半角检查</abilityName>
      <candidateList>
        <item>，</item>
      </candidateList>
      <explain>文本全半角错误。</explain>
      <paraID>32F373AA</paraID>
      <start>57</start>
      <end>58</end>
      <status>modified</status>
      <modifiedWord>，</modifiedWord>
      <trackRevisions>false</trackRevisions>
    </reviewItem>
    <reviewItem>
      <errorID>74258aa1-9756-4218-bc91-ed5636a17fee</errorID>
      <errorWord>排水水质</errorWord>
      <group>L1_Knowledge</group>
      <groupName>知识性问题</groupName>
      <ability>L2_Term</ability>
      <abilityName>专业术语</abilityName>
      <candidateList>
        <item>出水水质</item>
      </candidateList>
      <explain/>
      <paraID>3800AEDE</paraID>
      <start>68</start>
      <end>72</end>
      <status>ignored</status>
      <modifiedWord/>
      <trackRevisions>false</trackRevisions>
    </reviewItem>
    <reviewItem>
      <errorID>8d625b22-490e-4b8e-a34a-54bce0924e27</errorID>
      <errorWord>分批地</errorWord>
      <group>L1_Word</group>
      <groupName>字词问题</groupName>
      <ability>L2_Typo</ability>
      <abilityName>字词错误</abilityName>
      <candidateList>
        <item>分批</item>
      </candidateList>
      <explain/>
      <paraID>58399666</paraID>
      <start>76</start>
      <end>78</end>
      <status>modified</status>
      <modifiedWord>分批</modifiedWord>
      <trackRevisions>false</trackRevisions>
    </reviewItem>
    <reviewItem>
      <errorID>6aa1049c-03da-4bc8-bd8a-fa422adae5d7</errorID>
      <errorWord>)</errorWord>
      <group>L1_Format</group>
      <groupName>格式问题</groupName>
      <ability>L2_HalfPunc</ability>
      <abilityName>全半角检查</abilityName>
      <candidateList>
        <item>）</item>
      </candidateList>
      <explain>文本全半角错误。</explain>
      <paraID>24DB6C94</paraID>
      <start>115</start>
      <end>116</end>
      <status>modified</status>
      <modifiedWord>）</modifiedWord>
      <trackRevisions>false</trackRevisions>
    </reviewItem>
    <reviewItem>
      <errorID>8b57b7f2-01a0-4fa8-a620-8949c1cf8398</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b）用于机器或车辆：一～机器｜两～汽车。❽（Bù）〈名〉姓。</explain>
      <paraID>24DB6C94</paraID>
      <start>144</start>
      <end>146</end>
      <status>ignored</status>
      <modifiedWord/>
      <trackRevisions>false</trackRevisions>
    </reviewItem>
    <reviewItem>
      <errorID>c2f574f2-f226-41e5-9b7a-a8a3a101a646</errorID>
      <errorWord>)</errorWord>
      <group>L1_Format</group>
      <groupName>格式问题</groupName>
      <ability>L2_HalfPunc</ability>
      <abilityName>全半角检查</abilityName>
      <candidateList>
        <item>）</item>
      </candidateList>
      <explain>文本全半角错误。</explain>
      <paraID>24DB6C94</paraID>
      <start>151</start>
      <end>152</end>
      <status>modified</status>
      <modifiedWord>）</modifiedWord>
      <trackRevisions>false</trackRevisions>
    </reviewItem>
    <reviewItem>
      <errorID>c5f59f23-0c37-44b9-bd56-02ee50385f1c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66EA1BE9</paraID>
      <start>27</start>
      <end>28</end>
      <status>modified</status>
      <modifiedWord>—</modifiedWord>
      <trackRevisions>false</trackRevisions>
    </reviewItem>
    <reviewItem>
      <errorID>869f4ef8-a8a4-4588-9295-b968b8751604</errorID>
      <errorWord>上线</errorWord>
      <group>L1_Word</group>
      <groupName>字词问题</groupName>
      <ability>L2_Typo</ability>
      <abilityName>字词错误</abilityName>
      <candidateList>
        <item>上限</item>
      </candidateList>
      <explain/>
      <paraID>5E3C1744</paraID>
      <start>12</start>
      <end>14</end>
      <status>modified</status>
      <modifiedWord>上限</modifiedWord>
      <trackRevisions>false</trackRevisions>
    </reviewItem>
    <reviewItem>
      <errorID>617f6392-c230-43f6-a97b-d79c037ed065</errorID>
      <errorWord>有价</errorWord>
      <group>L1_Word</group>
      <groupName>字词问题</groupName>
      <ability>L2_Typo</ability>
      <abilityName>字词错误</abilityName>
      <candidateList>
        <item>有机</item>
      </candidateList>
      <explain/>
      <paraID> 3070C09</paraID>
      <start>127</start>
      <end>129</end>
      <status>ignored</status>
      <modifiedWord/>
      <trackRevisions>false</trackRevisions>
    </reviewItem>
    <reviewItem>
      <errorID>938937aa-8a4e-4cce-a56f-d5323548d637</errorID>
      <errorWord>三工三工</errorWord>
      <group>L1_Word</group>
      <groupName>字词问题</groupName>
      <ability>L2_Typo</ability>
      <abilityName>字词错误</abilityName>
      <candidateList>
        <item>三工</item>
      </candidateList>
      <explain/>
      <paraID>63218462</paraID>
      <start>49</start>
      <end>51</end>
      <status>modified</status>
      <modifiedWord>三工</modifiedWord>
      <trackRevisions>false</trackRevisions>
    </reviewItem>
    <reviewItem>
      <errorID>f415a99d-0337-47df-8bd8-5c8e6918d800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3F1328B2</paraID>
      <start>0</start>
      <end>2</end>
      <status>modified</status>
      <modifiedWord>1.</modifiedWord>
      <trackRevisions>false</trackRevisions>
    </reviewItem>
    <reviewItem>
      <errorID>7f460bfb-0470-4a52-9b98-204a1e0cd0b6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56A1B5C5</paraID>
      <start>0</start>
      <end>2</end>
      <status>modified</status>
      <modifiedWord>2.</modifiedWord>
      <trackRevisions>false</trackRevisions>
    </reviewItem>
    <reviewItem>
      <errorID>c16eacde-89b3-41f3-b37f-4535994bbb28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1FB33898</paraID>
      <start>0</start>
      <end>2</end>
      <status>modified</status>
      <modifiedWord>3.</modifiedWord>
      <trackRevisions>false</trackRevisions>
    </reviewItem>
    <reviewItem>
      <errorID>d591e2f6-a1ae-43b3-9beb-de680f67e4a8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20813912</paraID>
      <start>0</start>
      <end>2</end>
      <status>modified</status>
      <modifiedWord>4.</modifiedWord>
      <trackRevisions>false</trackRevisions>
    </reviewItem>
    <reviewItem>
      <errorID>f184db04-718e-4bc8-847f-f537c0941d21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51465D7E</paraID>
      <start>0</start>
      <end>2</end>
      <status>modified</status>
      <modifiedWord>5.</modifiedWord>
      <trackRevisions>false</trackRevisions>
    </reviewItem>
    <reviewItem>
      <errorID>7c4fd3e7-74d0-4b58-b953-bf471eba3949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53428A20</paraID>
      <start>0</start>
      <end>2</end>
      <status>modified</status>
      <modifiedWord>1.</modifiedWord>
      <trackRevisions>false</trackRevisions>
    </reviewItem>
    <reviewItem>
      <errorID>2e993bb7-745a-4299-ba8a-1893f149eac2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58B7935B</paraID>
      <start>0</start>
      <end>2</end>
      <status>modified</status>
      <modifiedWord>2.</modifiedWord>
      <trackRevisions>false</trackRevisions>
    </reviewItem>
    <reviewItem>
      <errorID>caa2e930-d5cd-46ad-9faa-910f0e78298f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721E0732</paraID>
      <start>0</start>
      <end>2</end>
      <status>modified</status>
      <modifiedWord>3.</modifiedWord>
      <trackRevisions>false</trackRevisions>
    </reviewItem>
    <reviewItem>
      <errorID>cea9398b-233f-4ba6-8de5-7a24fd7fd09d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6EAC7B4D</paraID>
      <start>0</start>
      <end>2</end>
      <status>modified</status>
      <modifiedWord>4.</modifiedWord>
      <trackRevisions>false</trackRevisions>
    </reviewItem>
    <reviewItem>
      <errorID>fec80256-f26b-415c-97d7-b2fce5e48bdc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92D0E68</paraID>
      <start>0</start>
      <end>2</end>
      <status>modified</status>
      <modifiedWord>1.</modifiedWord>
      <trackRevisions>false</trackRevisions>
    </reviewItem>
    <reviewItem>
      <errorID>70f821f7-6fa0-47f0-8367-0f59e8ee0bb5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31631F43</paraID>
      <start>0</start>
      <end>2</end>
      <status>modified</status>
      <modifiedWord>2.</modifiedWord>
      <trackRevisions>false</trackRevisions>
    </reviewItem>
    <reviewItem>
      <errorID>0b187d01-12a8-4391-bc3e-9e9de037aeba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5942DC10</paraID>
      <start>0</start>
      <end>2</end>
      <status>modified</status>
      <modifiedWord>3.</modifiedWord>
      <trackRevisions>false</trackRevisions>
    </reviewItem>
    <reviewItem>
      <errorID>cf9ab15a-295f-49a6-82de-9654626535d2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5E604D91</paraID>
      <start>0</start>
      <end>2</end>
      <status>modified</status>
      <modifiedWord>4.</modifiedWord>
      <trackRevisions>false</trackRevisions>
    </reviewItem>
    <reviewItem>
      <errorID>ca8c9c9d-e539-49fa-a3a0-49fa6d2ea96d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75CC709A</paraID>
      <start>0</start>
      <end>2</end>
      <status>modified</status>
      <modifiedWord>5.</modifiedWord>
      <trackRevisions>false</trackRevisions>
    </reviewItem>
    <reviewItem>
      <errorID>9a9e3eaa-b414-4381-8dcc-61f04ec35f0f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2CC6314D</paraID>
      <start>0</start>
      <end>2</end>
      <status>modified</status>
      <modifiedWord>1.</modifiedWord>
      <trackRevisions>false</trackRevisions>
    </reviewItem>
    <reviewItem>
      <errorID>4d8de40c-f74a-475c-9081-83d45a6647a9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317C6FEA</paraID>
      <start>0</start>
      <end>2</end>
      <status>modified</status>
      <modifiedWord>2.</modifiedWord>
      <trackRevisions>false</trackRevisions>
    </reviewItem>
    <reviewItem>
      <errorID>821a105e-c427-4b44-b08a-997b345e1fb0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5E4D02B3</paraID>
      <start>0</start>
      <end>2</end>
      <status>modified</status>
      <modifiedWord>3.</modifiedWord>
      <trackRevisions>false</trackRevisions>
    </reviewItem>
    <reviewItem>
      <errorID>62dd02c5-181d-449f-8d26-61e557276a5f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70BC3FF7</paraID>
      <start>0</start>
      <end>2</end>
      <status>modified</status>
      <modifiedWord>4.</modifiedWord>
      <trackRevisions>false</trackRevisions>
    </reviewItem>
    <reviewItem>
      <errorID>c1ca6953-1fb8-4d8a-92f1-a6c16e8aa969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448C94E7</paraID>
      <start>0</start>
      <end>2</end>
      <status>modified</status>
      <modifiedWord>5.</modifiedWord>
      <trackRevisions>false</trackRevisions>
    </reviewItem>
    <reviewItem>
      <errorID>48d3e9ee-82e3-4908-b84d-050a0d45da01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7F0E1E72</paraID>
      <start>0</start>
      <end>2</end>
      <status>modified</status>
      <modifiedWord>1.</modifiedWord>
      <trackRevisions>false</trackRevisions>
    </reviewItem>
    <reviewItem>
      <errorID>a1e4de03-d7dd-4a95-a2bf-70b93706a0fa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5C434321</paraID>
      <start>0</start>
      <end>2</end>
      <status>modified</status>
      <modifiedWord>2.</modifiedWord>
      <trackRevisions>false</trackRevisions>
    </reviewItem>
    <reviewItem>
      <errorID>6a9b6c01-b1c7-45eb-8436-e5a855f916ff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E593C1F</paraID>
      <start>0</start>
      <end>2</end>
      <status>modified</status>
      <modifiedWord>3.</modifiedWord>
      <trackRevisions>false</trackRevisions>
    </reviewItem>
    <reviewItem>
      <errorID>ed176178-2d2c-4e48-870f-d2cddf7f7a00</errorID>
      <errorWord>,</errorWord>
      <group>L1_Format</group>
      <groupName>格式问题</groupName>
      <ability>L2_HalfPunc</ability>
      <abilityName>全半角检查</abilityName>
      <candidateList>
        <item>，</item>
      </candidateList>
      <explain>文本全半角错误。</explain>
      <paraID>723E674E</paraID>
      <start>61</start>
      <end>62</end>
      <status>modified</status>
      <modifiedWord>，</modifiedWord>
      <trackRevisions>false</trackRevisions>
    </reviewItem>
    <reviewItem>
      <errorID>4152c5e3-7cb8-4c2a-9316-00715be71485</errorID>
      <errorWord>,</errorWord>
      <group>L1_Format</group>
      <groupName>格式问题</groupName>
      <ability>L2_HalfPunc</ability>
      <abilityName>全半角检查</abilityName>
      <candidateList>
        <item>，</item>
      </candidateList>
      <explain>文本全半角错误。</explain>
      <paraID>723E674E</paraID>
      <start>77</start>
      <end>78</end>
      <status>modified</status>
      <modifiedWord>，</modifiedWord>
      <trackRevisions>false</trackRevisions>
    </reviewItem>
    <reviewItem>
      <errorID>496f9770-463e-417f-ba04-b4cdf9784774</errorID>
      <errorWord>,</errorWord>
      <group>L1_Format</group>
      <groupName>格式问题</groupName>
      <ability>L2_HalfPunc</ability>
      <abilityName>全半角检查</abilityName>
      <candidateList>
        <item>，</item>
      </candidateList>
      <explain>文本全半角错误。</explain>
      <paraID>3F593727</paraID>
      <start>19</start>
      <end>20</end>
      <status>modified</status>
      <modifiedWord>，</modifiedWord>
      <trackRevisions>false</trackRevisions>
    </reviewItem>
    <reviewItem>
      <errorID>7e6da851-a371-405f-a665-e9d54aef6759</errorID>
      <errorWord>;</errorWord>
      <group>L1_Format</group>
      <groupName>格式问题</groupName>
      <ability>L2_HalfPunc</ability>
      <abilityName>全半角检查</abilityName>
      <candidateList>
        <item>；</item>
      </candidateList>
      <explain>文本全半角错误。</explain>
      <paraID>3F593727</paraID>
      <start>64</start>
      <end>65</end>
      <status>modified</status>
      <modifiedWord>；</modifiedWord>
      <trackRevisions>false</trackRevisions>
    </reviewItem>
    <reviewItem>
      <errorID>0c877842-ab29-4f44-ac89-ec612d34cd5e</errorID>
      <errorWord>)</errorWord>
      <group>L1_Format</group>
      <groupName>格式问题</groupName>
      <ability>L2_HalfPunc</ability>
      <abilityName>全半角检查</abilityName>
      <candidateList>
        <item>）</item>
      </candidateList>
      <explain>文本全半角错误。</explain>
      <paraID>538E1C91</paraID>
      <start>95</start>
      <end>96</end>
      <status>modified</status>
      <modifiedWord>）</modifiedWord>
      <trackRevisions>false</trackRevisions>
    </reviewItem>
    <reviewItem>
      <errorID>a592274f-ac39-46a1-b808-669056d7492a</errorID>
      <errorWord>,</errorWord>
      <group>L1_Format</group>
      <groupName>格式问题</groupName>
      <ability>L2_HalfPunc</ability>
      <abilityName>全半角检查</abilityName>
      <candidateList>
        <item>，</item>
      </candidateList>
      <explain>文本全半角错误。</explain>
      <paraID>538E1C91</paraID>
      <start>431</start>
      <end>432</end>
      <status>modified</status>
      <modifiedWord>，</modifiedWord>
      <trackRevisions>false</trackRevisions>
    </reviewItem>
    <reviewItem>
      <errorID>ca3b3668-5bf5-440e-a731-54681110d52e</errorID>
      <errorWord>[2019]53号</errorWord>
      <group>L1_Knowledge</group>
      <groupName>知识性问题</groupName>
      <ability>L2_Knowledge</ability>
      <abilityName>其他知识</abilityName>
      <candidateList>
        <item>〔2019〕53号</item>
      </candidateList>
      <explain>发文字号格式错误。</explain>
      <paraID>22D54F9F</paraID>
      <start>26</start>
      <end>35</end>
      <status>modified</status>
      <modifiedWord>〔2019〕53号</modifiedWord>
      <trackRevisions>false</trackRevisions>
    </reviewItem>
    <reviewItem>
      <errorID>8684a849-8911-4786-ade5-87275067d2d7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1473C96B</paraID>
      <start>115</start>
      <end>116</end>
      <status>modified</status>
      <modifiedWord>—</modifiedWord>
      <trackRevisions>false</trackRevisions>
    </reviewItem>
    <reviewItem>
      <errorID>b100c05d-3071-43f1-8c1f-0251f85b919d</errorID>
      <errorWord>热热</errorWord>
      <group>L1_Word</group>
      <groupName>字词问题</groupName>
      <ability>L2_Typo</ability>
      <abilityName>字词错误</abilityName>
      <candidateList>
        <item>热</item>
      </candidateList>
      <explain/>
      <paraID>50C397D5</paraID>
      <start>0</start>
      <end>1</end>
      <status>modified</status>
      <modifiedWord>热</modifiedWord>
      <trackRevisions>false</trackRevisions>
    </reviewItem>
    <reviewItem>
      <errorID>bbffe1f5-6e43-4426-81e8-bafada179ebe</errorID>
      <errorWord>饱和蒸汽</errorWord>
      <group>L1_Word</group>
      <groupName>字词问题</groupName>
      <ability>L2_Typo</ability>
      <abilityName>字词错误</abilityName>
      <candidateList>
        <item>饱和蒸气</item>
      </candidateList>
      <explain/>
      <paraID> 764FFAD</paraID>
      <start>0</start>
      <end>4</end>
      <status>modified</status>
      <modifiedWord>饱和蒸气</modifiedWord>
      <trackRevisions>false</trackRevisions>
    </reviewItem>
    <reviewItem>
      <errorID>38041b53-bee7-4fb4-a693-60dd2e7c1c00</errorID>
      <errorWord>不做声</errorWord>
      <group>L1_Word</group>
      <groupName>字词问题</groupName>
      <ability>L2_Alias</ability>
      <abilityName>也作/曾用词</abilityName>
      <candidateList>
        <item>不作声</item>
      </candidateList>
      <explain>词汇[不做声]为不规范表述或旧称，其规范书面表述为[不作声]。</explain>
      <paraID>4EBB8D9F</paraID>
      <start>101</start>
      <end>104</end>
      <status>modified</status>
      <modifiedWord>不作声</modifiedWord>
      <trackRevisions>false</trackRevisions>
    </reviewItem>
    <reviewItem>
      <errorID>759ca527-7b27-40aa-a788-307080763149</errorID>
      <errorWord>限制</errorWord>
      <group>L1_Word</group>
      <groupName>字词问题</groupName>
      <ability>L2_Typo</ability>
      <abilityName>字词错误</abilityName>
      <candidateList>
        <item>限值</item>
      </candidateList>
      <explain/>
      <paraID>1C8F3496</paraID>
      <start>31</start>
      <end>33</end>
      <status>modified</status>
      <modifiedWord>限值</modifiedWord>
      <trackRevisions>false</trackRevisions>
    </reviewItem>
    <reviewItem>
      <errorID>4fea4f9b-c437-41db-9937-b0b90995c10e</errorID>
      <errorWord>期仅</errorWord>
      <group>L1_Word</group>
      <groupName>字词问题</groupName>
      <ability>L2_Typo</ability>
      <abilityName>字词错误</abilityName>
      <candidateList>
        <item>期间</item>
      </candidateList>
      <explain>〈名〉某个时期里面：农忙～｜春节～｜抗战～。</explain>
      <paraID>4F881CF0</paraID>
      <start>81</start>
      <end>83</end>
      <status>modified</status>
      <modifiedWord>期间</modifiedWord>
      <trackRevisions>false</trackRevisions>
    </reviewItem>
    <reviewItem>
      <errorID>73cad8dd-7691-47c9-a49c-523bba6e92b7</errorID>
      <errorWord>表面积</errorWord>
      <group>L1_Word</group>
      <groupName>字词问题</groupName>
      <ability>L2_Typo</ability>
      <abilityName>字词错误</abilityName>
      <candidateList>
        <item>表面</item>
      </candidateList>
      <explain/>
      <paraID>3B793D6D</paraID>
      <start>97</start>
      <end>99</end>
      <status>modified</status>
      <modifiedWord>表面</modifiedWord>
      <trackRevisions>false</trackRevisions>
    </reviewItem>
    <reviewItem>
      <errorID>b5c5dd1f-7209-4618-bd9c-3c19f1a94de0</errorID>
      <errorWord>叫做</errorWord>
      <group>L1_Word</group>
      <groupName>字词问题</groupName>
      <ability>L2_Alias</ability>
      <abilityName>也作/曾用词</abilityName>
      <candidateList>
        <item>叫作</item>
      </candidateList>
      <explain>词汇[叫做]为不规范表述或旧称，其规范书面表述为[叫作]。</explain>
      <paraID>502791AC</paraID>
      <start>37</start>
      <end>39</end>
      <status>modified</status>
      <modifiedWord>叫作</modifiedWord>
      <trackRevisions>false</trackRevisions>
    </reviewItem>
    <reviewItem>
      <errorID>fb5df6de-10a7-4d24-89fd-e67164b6e625</errorID>
      <errorWord>为为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3D7F0419</paraID>
      <start>23</start>
      <end>24</end>
      <status>modified</status>
      <modifiedWord>为</modifiedWord>
      <trackRevisions>false</trackRevisions>
    </reviewItem>
    <reviewItem>
      <errorID>5ca13ea4-d0e9-446f-adec-679a26719fc6</errorID>
      <errorWord>〔1997〕011号</errorWord>
      <group>L1_Knowledge</group>
      <groupName>知识性问题</groupName>
      <ability>L2_Knowledge</ability>
      <abilityName>其他知识</abilityName>
      <candidateList>
        <item>〔1997〕11号</item>
      </candidateList>
      <explain>发文字号格式错误。</explain>
      <paraID>637D8144</paraID>
      <start>78</start>
      <end>87</end>
      <status>modified</status>
      <modifiedWord>〔1997〕11号</modifiedWord>
      <trackRevisions>false</trackRevisions>
    </reviewItem>
    <reviewItem>
      <errorID>ffaa9a28-254f-4621-9a9a-b32edbd78dd4</errorID>
      <errorWord>中</errorWord>
      <group>L1_Word</group>
      <groupName>字词问题</groupName>
      <ability>L2_Typo</ability>
      <abilityName>字词错误</abilityName>
      <candidateList>
        <item>中在</item>
      </candidateList>
      <explain/>
      <paraID>166E3DF1</paraID>
      <start>51</start>
      <end>53</end>
      <status>modified</status>
      <modifiedWord>中在</modifiedWord>
      <trackRevisions>false</trackRevisions>
    </reviewItem>
    <reviewItem>
      <errorID>bca28eb0-37df-4caa-9986-0ce08a863783</errorID>
      <errorWord>源源</errorWord>
      <group>L1_Word</group>
      <groupName>字词问题</groupName>
      <ability>L2_Typo</ability>
      <abilityName>字词错误</abilityName>
      <candidateList>
        <item>源</item>
      </candidateList>
      <explain/>
      <paraID>3DC3E4D3</paraID>
      <start>1</start>
      <end>3</end>
      <status>ignored</status>
      <modifiedWord/>
      <trackRevisions>false</trackRevisions>
    </reviewItem>
    <reviewItem>
      <errorID>6ec7696e-2420-4d8b-b533-d7bc774c07a7</errorID>
      <errorWord>)</errorWord>
      <group>L1_Format</group>
      <groupName>格式问题</groupName>
      <ability>L2_HalfPunc</ability>
      <abilityName>全半角检查</abilityName>
      <candidateList>
        <item>）</item>
      </candidateList>
      <explain>文本全半角错误。</explain>
      <paraID>  8A619F</paraID>
      <start>14</start>
      <end>15</end>
      <status>modified</status>
      <modifiedWord>）</modifiedWord>
      <trackRevisions>false</trackRevisions>
    </reviewItem>
    <reviewItem>
      <errorID>c8805544-445e-439d-be77-7834b826e887</errorID>
      <errorWord>)</errorWord>
      <group>L1_Format</group>
      <groupName>格式问题</groupName>
      <ability>L2_HalfPunc</ability>
      <abilityName>全半角检查</abilityName>
      <candidateList>
        <item>）</item>
      </candidateList>
      <explain>文本全半角错误。</explain>
      <paraID>1902BCC6</paraID>
      <start>14</start>
      <end>15</end>
      <status>modified</status>
      <modifiedWord>）</modifiedWord>
      <trackRevisions>false</trackRevisions>
    </reviewItem>
    <reviewItem>
      <errorID>e764f515-dcc3-4872-b999-d6ce2150502a</errorID>
      <errorWord>)</errorWord>
      <group>L1_Format</group>
      <groupName>格式问题</groupName>
      <ability>L2_HalfPunc</ability>
      <abilityName>全半角检查</abilityName>
      <candidateList>
        <item>）</item>
      </candidateList>
      <explain>文本全半角错误。</explain>
      <paraID>39EA5D92</paraID>
      <start>9</start>
      <end>10</end>
      <status>modified</status>
      <modifiedWord>）</modifiedWord>
      <trackRevisions>false</trackRevisions>
    </reviewItem>
    <reviewItem>
      <errorID>0c95afd1-a122-4abd-9b88-712a5cac7d1e</errorID>
      <errorWord>基本都</errorWord>
      <group>L1_Word</group>
      <groupName>字词问题</groupName>
      <ability>L2_Typo</ability>
      <abilityName>字词错误</abilityName>
      <candidateList>
        <item>基本</item>
      </candidateList>
      <explain>❶〈名〉根本：人民是国家的～。❷〈形〉属性词。根本的：～矛盾｜～原理。❸〈形〉属性词。主要的：～条件｜～群众。❹〈副〉大体上：质量～合格｜大坝工程已经～完成。</explain>
      <paraID>4705CDE1</paraID>
      <start>6</start>
      <end>8</end>
      <status>modified</status>
      <modifiedWord>基本</modifiedWord>
      <trackRevisions>false</trackRevisions>
    </reviewItem>
    <reviewItem>
      <errorID>e9da5ede-eb78-4634-a73b-d903cd28a278</errorID>
      <errorWord>)</errorWord>
      <group>L1_Format</group>
      <groupName>格式问题</groupName>
      <ability>L2_HalfPunc</ability>
      <abilityName>全半角检查</abilityName>
      <candidateList>
        <item>）</item>
      </candidateList>
      <explain>文本全半角错误。</explain>
      <paraID>34FE82A7</paraID>
      <start>8</start>
      <end>9</end>
      <status>modified</status>
      <modifiedWord>）</modifiedWord>
      <trackRevisions>false</trackRevisions>
    </reviewItem>
    <reviewItem>
      <errorID>e0050bf9-5598-4037-8698-0df4469ccc9d</errorID>
      <errorWord>)</errorWord>
      <group>L1_Format</group>
      <groupName>格式问题</groupName>
      <ability>L2_HalfPunc</ability>
      <abilityName>全半角检查</abilityName>
      <candidateList>
        <item>）</item>
      </candidateList>
      <explain>文本全半角错误。</explain>
      <paraID>4DAA3177</paraID>
      <start>9</start>
      <end>10</end>
      <status>modified</status>
      <modifiedWord>）</modifiedWord>
      <trackRevisions>false</trackRevisions>
    </reviewItem>
    <reviewItem>
      <errorID>b340156a-78e3-46b6-a5f2-e192bc4e57e6</errorID>
      <errorWord>染</errorWord>
      <group>L1_Word</group>
      <groupName>字词问题</groupName>
      <ability>L2_Typo</ability>
      <abilityName>字词错误</abilityName>
      <candidateList>
        <item>附</item>
      </candidateList>
      <explain/>
      <paraID>57E3846D</paraID>
      <start>20</start>
      <end>21</end>
      <status>modified</status>
      <modifiedWord>附</modifiedWord>
      <trackRevisions>false</trackRevisions>
    </reviewItem>
    <reviewItem>
      <errorID>f88edac1-f73a-487f-a971-838f4f8df4f2</errorID>
      <errorWord>、</errorWord>
      <group>L1_Word</group>
      <groupName>字词问题</groupName>
      <ability>L2_Typo</ability>
      <abilityName>字词错误</abilityName>
      <candidateList>
        <item>、以</item>
      </candidateList>
      <explain/>
      <paraID>1800C508</paraID>
      <start>174</start>
      <end>176</end>
      <status>modified</status>
      <modifiedWord>、以</modifiedWord>
      <trackRevisions>false</trackRevisions>
    </reviewItem>
    <reviewItem>
      <errorID>f5626038-9424-4e38-bfb5-be6182ed791d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93F3238</paraID>
      <start>0</start>
      <end>2</end>
      <status>modified</status>
      <modifiedWord>1.</modifiedWord>
      <trackRevisions>false</trackRevisions>
    </reviewItem>
    <reviewItem>
      <errorID>01ff3523-6679-4da1-ab07-8ccb38276ef3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29BDD9A4</paraID>
      <start>0</start>
      <end>2</end>
      <status>modified</status>
      <modifiedWord>2.</modifiedWord>
      <trackRevisions>false</trackRevisions>
    </reviewItem>
    <reviewItem>
      <errorID>66f9be23-faf7-4d01-804e-0be41b9e296e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3A0A7141</paraID>
      <start>0</start>
      <end>2</end>
      <status>modified</status>
      <modifiedWord>1.</modifiedWord>
      <trackRevisions>false</trackRevisions>
    </reviewItem>
    <reviewItem>
      <errorID>a52c77ee-3b47-47a9-99c3-b506d05c7be7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6AEBF788</paraID>
      <start>0</start>
      <end>2</end>
      <status>modified</status>
      <modifiedWord>2.</modifiedWord>
      <trackRevisions>false</trackRevisions>
    </reviewItem>
    <reviewItem>
      <errorID>f6731c09-eeb8-498d-8ea0-b98b07803a33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2B4FCD2B</paraID>
      <start>0</start>
      <end>2</end>
      <status>modified</status>
      <modifiedWord>3.</modifiedWord>
      <trackRevisions>false</trackRevisions>
    </reviewItem>
    <reviewItem>
      <errorID>527804cf-3b97-4fbf-977c-7a9d647cc9c4</errorID>
      <errorWord>危险废物运输应执行危险废物运输应执行</errorWord>
      <group>L1_Word</group>
      <groupName>字词问题</groupName>
      <ability>L2_Typo</ability>
      <abilityName>字词错误</abilityName>
      <candidateList>
        <item>危险废物运输应执行</item>
      </candidateList>
      <explain/>
      <paraID>3F0D07BA</paraID>
      <start>2</start>
      <end>11</end>
      <status>modified</status>
      <modifiedWord>危险废物运输应执行</modifiedWord>
      <trackRevisions>false</trackRevisions>
    </reviewItem>
    <reviewItem>
      <errorID>0e388483-8622-4469-9302-a923fe891787</errorID>
      <errorWord>相对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1391E5E1</paraID>
      <start>19</start>
      <end>20</end>
      <status>modified</status>
      <modifiedWord>对</modifiedWord>
      <trackRevisions>false</trackRevisions>
    </reviewItem>
    <reviewItem>
      <errorID>bf7e9a6c-3cc4-4e81-86a9-90f615f73a6e</errorID>
      <errorWord>目</errorWord>
      <group>L1_Word</group>
      <groupName>字词问题</groupName>
      <ability>L2_Typo</ability>
      <abilityName>字词错误</abilityName>
      <candidateList>
        <item>目对</item>
      </candidateList>
      <explain/>
      <paraID>1DE79667</paraID>
      <start>41</start>
      <end>42</end>
      <status>ignored</status>
      <modifiedWord/>
      <trackRevisions>false</trackRevisions>
    </reviewItem>
    <reviewItem>
      <errorID>370db45b-b175-48d3-b656-0fcefb211d75</errorID>
      <errorWord>加强</errorWord>
      <group>L1_Word</group>
      <groupName>字词问题</groupName>
      <ability>L2_Typo</ability>
      <abilityName>字词错误</abilityName>
      <candidateList>
        <item>加大</item>
      </candidateList>
      <explain>“加强～力度”搭配不当，建议修改为“加大～力度”。</explain>
      <paraID>1DE79667</paraID>
      <start>125</start>
      <end>127</end>
      <status>modified</status>
      <modifiedWord>加大</modifiedWord>
      <trackRevisions>false</trackRevisions>
    </reviewItem>
    <reviewItem>
      <errorID>f5f6ccab-0cb6-4b4f-a44f-8b37519f35a6</errorID>
      <errorWord>)</errorWord>
      <group>L1_Format</group>
      <groupName>格式问题</groupName>
      <ability>L2_HalfPunc</ability>
      <abilityName>全半角检查</abilityName>
      <candidateList>
        <item>）</item>
      </candidateList>
      <explain>文本全半角错误。</explain>
      <paraID>7DE21140</paraID>
      <start>142</start>
      <end>143</end>
      <status>modified</status>
      <modifiedWord>）</modifiedWord>
      <trackRevisions>false</trackRevisions>
    </reviewItem>
    <reviewItem>
      <errorID>1bbc7305-f67c-4a80-8c8c-0ff11e212fbf</errorID>
      <errorWord>完</errorWord>
      <group>L1_Word</group>
      <groupName>字词问题</groupName>
      <ability>L2_Typo</ability>
      <abilityName>字词错误</abilityName>
      <candidateList>
        <item>完成</item>
      </candidateList>
      <explain>〈动〉按照预期的目的结束；做成：～任务｜～作业｜计划完得成。</explain>
      <paraID>44CC3D37</paraID>
      <start>56</start>
      <end>58</end>
      <status>modified</status>
      <modifiedWord>完成</modifiedWord>
      <trackRevisions>false</trackRevisions>
    </reviewItem>
    <reviewItem>
      <errorID>47309d9c-5f4e-4e48-b782-0da90df383b7</errorID>
      <errorWord>蒸汽</errorWord>
      <group>L1_Word</group>
      <groupName>字词问题</groupName>
      <ability>L2_Typo</ability>
      <abilityName>字词错误</abilityName>
      <candidateList>
        <item>蒸气</item>
      </candidateList>
      <explain/>
      <paraID>564773AD</paraID>
      <start>38</start>
      <end>40</end>
      <status>modified</status>
      <modifiedWord>蒸气</modifiedWord>
      <trackRevisions>false</trackRevisions>
    </reviewItem>
    <reviewItem>
      <errorID>1e1bd286-48c9-4655-afa8-356983eedebc</errorID>
      <errorWord>完</errorWord>
      <group>L1_Word</group>
      <groupName>字词问题</groupName>
      <ability>L2_Typo</ability>
      <abilityName>字词错误</abilityName>
      <candidateList>
        <item>完成</item>
      </candidateList>
      <explain>〈动〉按照预期的目的结束；做成：～任务｜～作业｜计划完得成。</explain>
      <paraID>1483A5C8</paraID>
      <start>56</start>
      <end>58</end>
      <status>modified</status>
      <modifiedWord>完成</modifiedWord>
      <trackRevisions>false</trackRevisions>
    </reviewItem>
    <reviewItem>
      <errorID>906ab329-ff4c-4fdc-a21e-877b6f6895f9</errorID>
      <errorWord>黏土</errorWord>
      <group>L1_Word</group>
      <groupName>字词问题</groupName>
      <ability>L2_Typo</ability>
      <abilityName>字词错误</abilityName>
      <candidateList>
        <item>粘土</item>
      </candidateList>
      <explain/>
      <paraID>2CDEE4E7</paraID>
      <start>10</start>
      <end>12</end>
      <status>ignored</status>
      <modifiedWord/>
      <trackRevisions>false</trackRevisions>
    </reviewItem>
    <reviewItem>
      <errorID>28daf5ff-e3a6-4515-b905-384134ce095f</errorID>
      <errorWord>喷砂</errorWord>
      <group>L1_Word</group>
      <groupName>字词问题</groupName>
      <ability>L2_Typo</ability>
      <abilityName>字词错误</abilityName>
      <candidateList>
        <item>喷洒</item>
      </candidateList>
      <explain>〈动〉喷射散落（多用于液体）：～农药。</explain>
      <paraID>6AB84B4B</paraID>
      <start>3</start>
      <end>5</end>
      <status>ignored</status>
      <modifiedWord/>
      <trackRevisions>false</trackRevisions>
    </reviewItem>
    <reviewItem>
      <errorID>5aa5024b-b598-4eab-95a6-004b4da692cb</errorID>
      <errorWord>涂粉</errorWord>
      <group>L1_Word</group>
      <groupName>字词问题</groupName>
      <ability>L2_Typo</ability>
      <abilityName>字词错误</abilityName>
      <candidateList>
        <item>涂抹</item>
      </candidateList>
      <explain/>
      <paraID> AF4BC78</paraID>
      <start>3</start>
      <end>5</end>
      <status>ignored</status>
      <modifiedWord/>
      <trackRevisions>false</trackRevisions>
    </reviewItem>
    <reviewItem>
      <errorID>b837e809-ce5c-4988-b6b6-2ac40492ae07</errorID>
      <errorWord>限制</errorWord>
      <group>L1_Word</group>
      <groupName>字词问题</groupName>
      <ability>L2_Typo</ability>
      <abilityName>字词错误</abilityName>
      <candidateList>
        <item>限值</item>
      </candidateList>
      <explain/>
      <paraID> 5AA9425</paraID>
      <start>31</start>
      <end>33</end>
      <status>modified</status>
      <modifiedWord>限值</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c7645a-8ef5-4731-96c2-7f217dd11786}">
  <ds:schemaRefs/>
</ds:datastoreItem>
</file>

<file path=docProps/app.xml><?xml version="1.0" encoding="utf-8"?>
<Properties xmlns="http://schemas.openxmlformats.org/officeDocument/2006/extended-properties" xmlns:vt="http://schemas.openxmlformats.org/officeDocument/2006/docPropsVTypes">
  <Pages>65</Pages>
  <Words>187</Words>
  <Characters>191</Characters>
  <TotalTime>265</TotalTime>
  <ScaleCrop>false</ScaleCrop>
  <LinksUpToDate>false</LinksUpToDate>
  <CharactersWithSpaces>252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2021-01-05T10:16:00Z</dcterms:created>
  <dc:creator>Emi</dc:creator>
  <cp:lastModifiedBy>小麦啾</cp:lastModifiedBy>
  <cp:lastPrinted>2025-12-05T03:24:00Z</cp:lastPrinted>
  <dcterms:modified xsi:type="dcterms:W3CDTF">2026-02-28T10:20:10Z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2023-02-14T10:18:08Z</vt:filetime>
  </property>
  <property fmtid="{D5CDD505-2E9C-101B-9397-08002B2CF9AE}" pid="4" name="KSOProductBuildVer">
    <vt:lpwstr>2052-12.1.0.24657</vt:lpwstr>
  </property>
  <property fmtid="{D5CDD505-2E9C-101B-9397-08002B2CF9AE}" pid="5" name="ICV">
    <vt:lpwstr>F563DB0FFEA342CE9B1F6DDB698255FF_13</vt:lpwstr>
  </property>
  <property fmtid="{D5CDD505-2E9C-101B-9397-08002B2CF9AE}" pid="6" name="KSOTemplateDocerSaveRecord">
    <vt:lpwstr>eyJoZGlkIjoiM2Q5NDlmNDc3N2ZkYzk3ZGJmOTUwNTM0Mzc5MTVlNDMiLCJ1c2VySWQiOiIzMjQ5NjUzODcifQ==</vt:lpwstr>
  </property>
</Properties>
</file>