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C715D">
      <w:pPr>
        <w:keepNext w:val="0"/>
        <w:keepLines w:val="0"/>
        <w:pageBreakBefore w:val="0"/>
        <w:widowControl w:val="0"/>
        <w:kinsoku/>
        <w:wordWrap/>
        <w:overflowPunct/>
        <w:topLinePunct w:val="0"/>
        <w:autoSpaceDE/>
        <w:autoSpaceDN/>
        <w:bidi w:val="0"/>
        <w:adjustRightInd/>
        <w:snapToGrid/>
        <w:spacing w:line="360" w:lineRule="auto"/>
        <w:ind w:firstLine="1037"/>
        <w:jc w:val="center"/>
        <w:textAlignment w:val="auto"/>
        <w:rPr>
          <w:rFonts w:hint="default" w:ascii="Times New Roman" w:hAnsi="Times New Roman" w:eastAsia="仿宋" w:cs="Times New Roman"/>
          <w:b/>
          <w:bCs/>
          <w:color w:val="auto"/>
          <w:sz w:val="56"/>
          <w:szCs w:val="56"/>
          <w:highlight w:val="none"/>
        </w:rPr>
      </w:pPr>
      <w:r>
        <w:rPr>
          <w:color w:val="auto"/>
          <w:highlight w:val="none"/>
        </w:rPr>
        <w:drawing>
          <wp:anchor distT="0" distB="0" distL="114300" distR="114300" simplePos="0" relativeHeight="251661312" behindDoc="0" locked="0" layoutInCell="1" allowOverlap="1">
            <wp:simplePos x="0" y="0"/>
            <wp:positionH relativeFrom="column">
              <wp:posOffset>-1142365</wp:posOffset>
            </wp:positionH>
            <wp:positionV relativeFrom="paragraph">
              <wp:posOffset>-918210</wp:posOffset>
            </wp:positionV>
            <wp:extent cx="7542530" cy="10681970"/>
            <wp:effectExtent l="0" t="0" r="1270" b="5080"/>
            <wp:wrapNone/>
            <wp:docPr id="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pic:cNvPicPr>
                      <a:picLocks noChangeAspect="1"/>
                    </pic:cNvPicPr>
                  </pic:nvPicPr>
                  <pic:blipFill>
                    <a:blip r:embed="rId8"/>
                    <a:stretch>
                      <a:fillRect/>
                    </a:stretch>
                  </pic:blipFill>
                  <pic:spPr>
                    <a:xfrm>
                      <a:off x="0" y="0"/>
                      <a:ext cx="7542530" cy="10681970"/>
                    </a:xfrm>
                    <a:prstGeom prst="rect">
                      <a:avLst/>
                    </a:prstGeom>
                    <a:noFill/>
                    <a:ln>
                      <a:noFill/>
                    </a:ln>
                  </pic:spPr>
                </pic:pic>
              </a:graphicData>
            </a:graphic>
          </wp:anchor>
        </w:drawing>
      </w:r>
    </w:p>
    <w:p w14:paraId="3ABC7C90">
      <w:pPr>
        <w:keepNext w:val="0"/>
        <w:keepLines w:val="0"/>
        <w:pageBreakBefore w:val="0"/>
        <w:widowControl w:val="0"/>
        <w:kinsoku/>
        <w:wordWrap/>
        <w:overflowPunct/>
        <w:topLinePunct w:val="0"/>
        <w:autoSpaceDE/>
        <w:autoSpaceDN/>
        <w:bidi w:val="0"/>
        <w:adjustRightInd/>
        <w:snapToGrid/>
        <w:spacing w:line="360" w:lineRule="auto"/>
        <w:ind w:firstLine="1037"/>
        <w:jc w:val="center"/>
        <w:textAlignment w:val="auto"/>
        <w:rPr>
          <w:rFonts w:hint="default" w:ascii="Times New Roman" w:hAnsi="Times New Roman" w:eastAsia="仿宋" w:cs="Times New Roman"/>
          <w:b/>
          <w:bCs/>
          <w:color w:val="auto"/>
          <w:sz w:val="56"/>
          <w:szCs w:val="56"/>
          <w:highlight w:val="none"/>
        </w:rPr>
      </w:pPr>
    </w:p>
    <w:p w14:paraId="79C76AB6">
      <w:pPr>
        <w:adjustRightInd w:val="0"/>
        <w:snapToGrid w:val="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36F13C13">
      <w:pPr>
        <w:adjustRightInd w:val="0"/>
        <w:snapToGrid w:val="0"/>
        <w:spacing w:before="192" w:beforeLines="80"/>
        <w:jc w:val="center"/>
        <w:rPr>
          <w:rFonts w:hint="default" w:ascii="Times New Roman" w:hAnsi="Times New Roman" w:eastAsia="仿宋" w:cs="Times New Roman"/>
          <w:bCs/>
          <w:color w:val="auto"/>
          <w:sz w:val="48"/>
          <w:szCs w:val="48"/>
          <w:highlight w:val="none"/>
        </w:rPr>
      </w:pPr>
      <w:r>
        <w:rPr>
          <w:rFonts w:hint="default" w:ascii="Times New Roman" w:hAnsi="Times New Roman" w:eastAsia="仿宋" w:cs="Times New Roman"/>
          <w:bCs/>
          <w:color w:val="auto"/>
          <w:sz w:val="48"/>
          <w:szCs w:val="48"/>
          <w:highlight w:val="none"/>
        </w:rPr>
        <w:t>（污染影响类）</w:t>
      </w:r>
    </w:p>
    <w:p w14:paraId="7A95514B">
      <w:pPr>
        <w:bidi w:val="0"/>
        <w:spacing w:line="360" w:lineRule="auto"/>
        <w:rPr>
          <w:rFonts w:hint="default" w:ascii="Times New Roman" w:hAnsi="Times New Roman" w:cs="Times New Roman"/>
          <w:color w:val="auto"/>
          <w:highlight w:val="none"/>
        </w:rPr>
      </w:pPr>
    </w:p>
    <w:p w14:paraId="739D7EB7">
      <w:pPr>
        <w:spacing w:line="360" w:lineRule="auto"/>
        <w:jc w:val="center"/>
        <w:rPr>
          <w:rFonts w:hint="default" w:ascii="Times New Roman" w:hAnsi="Times New Roman" w:eastAsia="仿宋" w:cs="Times New Roman"/>
          <w:color w:val="auto"/>
          <w:sz w:val="52"/>
          <w:szCs w:val="52"/>
          <w:highlight w:val="none"/>
        </w:rPr>
      </w:pPr>
    </w:p>
    <w:p w14:paraId="5EA88609">
      <w:pPr>
        <w:spacing w:line="360" w:lineRule="auto"/>
        <w:rPr>
          <w:rFonts w:hint="default" w:ascii="Times New Roman" w:hAnsi="Times New Roman" w:eastAsia="仿宋" w:cs="Times New Roman"/>
          <w:color w:val="auto"/>
          <w:sz w:val="52"/>
          <w:szCs w:val="52"/>
          <w:highlight w:val="none"/>
        </w:rPr>
      </w:pPr>
    </w:p>
    <w:p w14:paraId="619BC105">
      <w:pPr>
        <w:spacing w:line="360" w:lineRule="auto"/>
        <w:rPr>
          <w:rFonts w:hint="default" w:ascii="Times New Roman" w:hAnsi="Times New Roman" w:eastAsia="仿宋" w:cs="Times New Roman"/>
          <w:color w:val="auto"/>
          <w:sz w:val="44"/>
          <w:szCs w:val="44"/>
          <w:highlight w:val="none"/>
        </w:rPr>
      </w:pPr>
    </w:p>
    <w:p w14:paraId="6A65A4C5">
      <w:pPr>
        <w:spacing w:line="360" w:lineRule="auto"/>
        <w:outlineLvl w:val="9"/>
        <w:rPr>
          <w:rFonts w:hint="default" w:ascii="Times New Roman" w:hAnsi="Times New Roman" w:cs="Times New Roman"/>
          <w:color w:val="auto"/>
          <w:highlight w:val="none"/>
        </w:rPr>
      </w:pPr>
    </w:p>
    <w:p w14:paraId="25BB6A25">
      <w:pPr>
        <w:spacing w:line="360" w:lineRule="auto"/>
        <w:outlineLvl w:val="9"/>
        <w:rPr>
          <w:rFonts w:hint="default" w:ascii="Times New Roman" w:hAnsi="Times New Roman" w:cs="Times New Roman"/>
          <w:color w:val="auto"/>
          <w:highlight w:val="none"/>
        </w:rPr>
      </w:pPr>
    </w:p>
    <w:p w14:paraId="2D9F7C38">
      <w:pPr>
        <w:pStyle w:val="2"/>
        <w:ind w:left="0" w:leftChars="0" w:firstLine="0" w:firstLineChars="0"/>
        <w:rPr>
          <w:rFonts w:hint="default" w:ascii="Times New Roman" w:hAnsi="Times New Roman" w:eastAsia="仿宋" w:cs="Times New Roman"/>
          <w:color w:val="auto"/>
          <w:sz w:val="36"/>
          <w:szCs w:val="36"/>
          <w:highlight w:val="none"/>
          <w:u w:val="single"/>
          <w:vertAlign w:val="baseline"/>
          <w:lang w:eastAsia="zh-CN"/>
        </w:rPr>
      </w:pPr>
      <w:r>
        <w:rPr>
          <w:rFonts w:hint="default" w:ascii="Times New Roman" w:hAnsi="Times New Roman" w:eastAsia="仿宋" w:cs="Times New Roman"/>
          <w:color w:val="auto"/>
          <w:sz w:val="36"/>
          <w:szCs w:val="36"/>
          <w:highlight w:val="none"/>
        </w:rPr>
        <w:t>项目名称：</w:t>
      </w:r>
      <w:r>
        <w:rPr>
          <w:rFonts w:hint="default" w:ascii="Times New Roman" w:hAnsi="Times New Roman" w:eastAsia="仿宋" w:cs="Times New Roman"/>
          <w:color w:val="auto"/>
          <w:sz w:val="36"/>
          <w:szCs w:val="36"/>
          <w:highlight w:val="none"/>
          <w:u w:val="single"/>
          <w:vertAlign w:val="baseline"/>
          <w:lang w:eastAsia="zh-CN"/>
        </w:rPr>
        <w:t>新疆凯狮威塑业有限责任公司</w:t>
      </w:r>
      <w:r>
        <w:rPr>
          <w:rFonts w:hint="default" w:ascii="Times New Roman" w:hAnsi="Times New Roman" w:eastAsia="仿宋" w:cs="Times New Roman"/>
          <w:color w:val="auto"/>
          <w:sz w:val="36"/>
          <w:szCs w:val="36"/>
          <w:highlight w:val="none"/>
          <w:u w:val="single"/>
          <w:vertAlign w:val="baseline"/>
          <w:lang w:val="en-US" w:eastAsia="zh-CN"/>
        </w:rPr>
        <w:t>扩建</w:t>
      </w:r>
      <w:r>
        <w:rPr>
          <w:rFonts w:hint="default" w:ascii="Times New Roman" w:hAnsi="Times New Roman" w:eastAsia="仿宋" w:cs="Times New Roman"/>
          <w:color w:val="auto"/>
          <w:sz w:val="36"/>
          <w:szCs w:val="36"/>
          <w:highlight w:val="none"/>
          <w:u w:val="single"/>
          <w:vertAlign w:val="baseline"/>
          <w:lang w:eastAsia="zh-CN"/>
        </w:rPr>
        <w:t>年产</w:t>
      </w:r>
    </w:p>
    <w:p w14:paraId="379E9B35">
      <w:pPr>
        <w:pStyle w:val="2"/>
        <w:ind w:left="0" w:leftChars="0" w:firstLine="1800" w:firstLineChars="500"/>
        <w:rPr>
          <w:rFonts w:hint="default" w:ascii="Times New Roman" w:hAnsi="Times New Roman" w:eastAsia="仿宋" w:cs="Times New Roman"/>
          <w:color w:val="auto"/>
          <w:highlight w:val="none"/>
          <w:lang w:val="en-US"/>
        </w:rPr>
      </w:pPr>
      <w:r>
        <w:rPr>
          <w:rFonts w:hint="default" w:ascii="Times New Roman" w:hAnsi="Times New Roman" w:eastAsia="仿宋" w:cs="Times New Roman"/>
          <w:color w:val="auto"/>
          <w:sz w:val="36"/>
          <w:szCs w:val="36"/>
          <w:highlight w:val="none"/>
          <w:u w:val="single"/>
          <w:vertAlign w:val="baseline"/>
          <w:lang w:eastAsia="zh-CN"/>
        </w:rPr>
        <w:t>6000吨地膜项目</w:t>
      </w:r>
      <w:r>
        <w:rPr>
          <w:rFonts w:hint="default" w:ascii="Times New Roman" w:hAnsi="Times New Roman" w:eastAsia="仿宋" w:cs="Times New Roman"/>
          <w:color w:val="auto"/>
          <w:sz w:val="36"/>
          <w:szCs w:val="36"/>
          <w:highlight w:val="none"/>
          <w:u w:val="single"/>
          <w:vertAlign w:val="baseline"/>
          <w:lang w:val="en-US" w:eastAsia="zh-CN"/>
        </w:rPr>
        <w:t xml:space="preserve">                   </w:t>
      </w:r>
    </w:p>
    <w:p w14:paraId="4A04D306">
      <w:pPr>
        <w:rPr>
          <w:rFonts w:hint="default" w:ascii="Times New Roman" w:hAnsi="Times New Roman" w:eastAsia="仿宋" w:cs="Times New Roman"/>
          <w:color w:val="auto"/>
          <w:sz w:val="44"/>
          <w:szCs w:val="44"/>
          <w:highlight w:val="none"/>
        </w:rPr>
      </w:pPr>
      <w:r>
        <w:rPr>
          <w:rFonts w:hint="default" w:ascii="Times New Roman" w:hAnsi="Times New Roman" w:eastAsia="仿宋" w:cs="Times New Roman"/>
          <w:color w:val="auto"/>
          <w:sz w:val="36"/>
          <w:szCs w:val="36"/>
          <w:highlight w:val="none"/>
        </w:rPr>
        <w:t>建设单位（盖章）：</w:t>
      </w:r>
      <w:r>
        <w:rPr>
          <w:rFonts w:hint="default" w:ascii="Times New Roman" w:hAnsi="Times New Roman" w:eastAsia="仿宋" w:cs="Times New Roman"/>
          <w:color w:val="auto"/>
          <w:sz w:val="36"/>
          <w:szCs w:val="36"/>
          <w:highlight w:val="none"/>
          <w:u w:val="single"/>
          <w:vertAlign w:val="baseline"/>
          <w:lang w:eastAsia="zh-CN"/>
        </w:rPr>
        <w:t>新疆凯狮威塑业有限责任公司</w:t>
      </w:r>
    </w:p>
    <w:p w14:paraId="03ED29E8">
      <w:pPr>
        <w:adjustRightInd w:val="0"/>
        <w:snapToGrid w:val="0"/>
        <w:spacing w:line="288" w:lineRule="auto"/>
        <w:jc w:val="left"/>
        <w:rPr>
          <w:rFonts w:hint="default" w:ascii="Times New Roman" w:hAnsi="Times New Roman" w:eastAsia="仿宋" w:cs="Times New Roman"/>
          <w:color w:val="auto"/>
          <w:sz w:val="36"/>
          <w:szCs w:val="36"/>
          <w:highlight w:val="none"/>
          <w:u w:val="single"/>
          <w:lang w:val="en-US" w:eastAsia="zh-CN"/>
        </w:rPr>
      </w:pPr>
      <w:r>
        <w:rPr>
          <w:rFonts w:hint="default" w:ascii="Times New Roman" w:hAnsi="Times New Roman" w:eastAsia="仿宋" w:cs="Times New Roman"/>
          <w:color w:val="auto"/>
          <w:sz w:val="36"/>
          <w:szCs w:val="36"/>
          <w:highlight w:val="none"/>
        </w:rPr>
        <w:t>编制日期：</w:t>
      </w:r>
      <w:r>
        <w:rPr>
          <w:rFonts w:hint="default" w:ascii="Times New Roman" w:hAnsi="Times New Roman" w:eastAsia="仿宋" w:cs="Times New Roman"/>
          <w:color w:val="auto"/>
          <w:sz w:val="36"/>
          <w:szCs w:val="36"/>
          <w:highlight w:val="none"/>
          <w:u w:val="single"/>
          <w:lang w:val="en-US" w:eastAsia="zh-CN"/>
        </w:rPr>
        <w:t xml:space="preserve">           二〇二五年七月                     </w:t>
      </w:r>
    </w:p>
    <w:p w14:paraId="59ABD526">
      <w:pPr>
        <w:outlineLvl w:val="9"/>
        <w:rPr>
          <w:rFonts w:hint="default" w:ascii="Times New Roman" w:hAnsi="Times New Roman" w:cs="Times New Roman" w:eastAsiaTheme="minorEastAsia"/>
          <w:color w:val="auto"/>
          <w:sz w:val="36"/>
          <w:szCs w:val="36"/>
          <w:highlight w:val="none"/>
          <w:u w:val="single"/>
          <w:lang w:val="en-US" w:eastAsia="zh-CN"/>
        </w:rPr>
      </w:pPr>
    </w:p>
    <w:p w14:paraId="38DCE738">
      <w:pPr>
        <w:outlineLvl w:val="9"/>
        <w:rPr>
          <w:rFonts w:hint="default" w:ascii="Times New Roman" w:hAnsi="Times New Roman" w:cs="Times New Roman" w:eastAsiaTheme="minorEastAsia"/>
          <w:color w:val="auto"/>
          <w:sz w:val="36"/>
          <w:szCs w:val="36"/>
          <w:highlight w:val="none"/>
          <w:u w:val="single"/>
          <w:lang w:val="en-US" w:eastAsia="zh-CN"/>
        </w:rPr>
      </w:pPr>
    </w:p>
    <w:p w14:paraId="2717B6F1">
      <w:pPr>
        <w:outlineLvl w:val="9"/>
        <w:rPr>
          <w:rFonts w:hint="default" w:ascii="Times New Roman" w:hAnsi="Times New Roman" w:cs="Times New Roman" w:eastAsiaTheme="minorEastAsia"/>
          <w:color w:val="auto"/>
          <w:sz w:val="36"/>
          <w:szCs w:val="36"/>
          <w:highlight w:val="none"/>
          <w:u w:val="single"/>
          <w:lang w:val="en-US" w:eastAsia="zh-CN"/>
        </w:rPr>
      </w:pPr>
    </w:p>
    <w:p w14:paraId="238E5F35">
      <w:pPr>
        <w:outlineLvl w:val="9"/>
        <w:rPr>
          <w:rFonts w:hint="default" w:ascii="Times New Roman" w:hAnsi="Times New Roman" w:cs="Times New Roman" w:eastAsiaTheme="minorEastAsia"/>
          <w:color w:val="auto"/>
          <w:sz w:val="36"/>
          <w:szCs w:val="36"/>
          <w:highlight w:val="none"/>
          <w:u w:val="single"/>
          <w:lang w:val="en-US" w:eastAsia="zh-CN"/>
        </w:rPr>
      </w:pPr>
    </w:p>
    <w:p w14:paraId="56D7B76A">
      <w:pPr>
        <w:outlineLvl w:val="9"/>
        <w:rPr>
          <w:rFonts w:hint="default" w:ascii="Times New Roman" w:hAnsi="Times New Roman" w:cs="Times New Roman" w:eastAsiaTheme="minorEastAsia"/>
          <w:color w:val="auto"/>
          <w:sz w:val="36"/>
          <w:szCs w:val="36"/>
          <w:highlight w:val="none"/>
          <w:u w:val="single"/>
          <w:lang w:val="en-US" w:eastAsia="zh-CN"/>
        </w:rPr>
      </w:pPr>
    </w:p>
    <w:p w14:paraId="0067D895">
      <w:pPr>
        <w:outlineLvl w:val="9"/>
        <w:rPr>
          <w:rFonts w:hint="default" w:ascii="Times New Roman" w:hAnsi="Times New Roman" w:cs="Times New Roman"/>
          <w:color w:val="auto"/>
          <w:highlight w:val="none"/>
          <w:lang w:eastAsia="zh-CN"/>
        </w:rPr>
      </w:pPr>
    </w:p>
    <w:p w14:paraId="01196F3C">
      <w:pPr>
        <w:adjustRightInd w:val="0"/>
        <w:snapToGrid w:val="0"/>
        <w:spacing w:line="288" w:lineRule="auto"/>
        <w:jc w:val="center"/>
        <w:rPr>
          <w:rFonts w:hint="default" w:ascii="Times New Roman" w:hAnsi="Times New Roman" w:eastAsia="仿宋" w:cs="Times New Roman"/>
          <w:color w:val="auto"/>
          <w:sz w:val="36"/>
          <w:szCs w:val="36"/>
          <w:highlight w:val="none"/>
        </w:rPr>
      </w:pPr>
      <w:r>
        <w:rPr>
          <w:rFonts w:hint="default" w:ascii="Times New Roman" w:hAnsi="Times New Roman" w:eastAsia="仿宋" w:cs="Times New Roman"/>
          <w:color w:val="auto"/>
          <w:sz w:val="36"/>
          <w:szCs w:val="36"/>
          <w:highlight w:val="none"/>
        </w:rPr>
        <w:t>中华人民共和国生态环境部制</w:t>
      </w:r>
    </w:p>
    <w:p w14:paraId="536AB039">
      <w:pPr>
        <w:pStyle w:val="22"/>
        <w:jc w:val="center"/>
        <w:outlineLvl w:val="0"/>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anchor distT="0" distB="0" distL="114300" distR="114300" simplePos="0" relativeHeight="251662336" behindDoc="0" locked="0" layoutInCell="1" allowOverlap="1">
            <wp:simplePos x="0" y="0"/>
            <wp:positionH relativeFrom="column">
              <wp:posOffset>-594995</wp:posOffset>
            </wp:positionH>
            <wp:positionV relativeFrom="paragraph">
              <wp:posOffset>-890905</wp:posOffset>
            </wp:positionV>
            <wp:extent cx="6439535" cy="10368280"/>
            <wp:effectExtent l="0" t="0" r="18415" b="13970"/>
            <wp:wrapNone/>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r:embed="rId9"/>
                    <a:srcRect l="7557" r="4575"/>
                    <a:stretch>
                      <a:fillRect/>
                    </a:stretch>
                  </pic:blipFill>
                  <pic:spPr>
                    <a:xfrm>
                      <a:off x="0" y="0"/>
                      <a:ext cx="6439535" cy="10368280"/>
                    </a:xfrm>
                    <a:prstGeom prst="rect">
                      <a:avLst/>
                    </a:prstGeom>
                    <a:noFill/>
                    <a:ln>
                      <a:noFill/>
                    </a:ln>
                  </pic:spPr>
                </pic:pic>
              </a:graphicData>
            </a:graphic>
          </wp:anchor>
        </w:drawing>
      </w:r>
    </w:p>
    <w:p w14:paraId="660AE2D9">
      <w:pPr>
        <w:rPr>
          <w:rFonts w:hint="default" w:ascii="Times New Roman" w:hAnsi="Times New Roman" w:cs="Times New Roman"/>
          <w:color w:val="auto"/>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43EC011">
      <w:pPr>
        <w:pStyle w:val="22"/>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64"/>
        <w:gridCol w:w="1765"/>
        <w:gridCol w:w="2048"/>
        <w:gridCol w:w="2955"/>
      </w:tblGrid>
      <w:tr w14:paraId="3BE31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1564" w:type="dxa"/>
            <w:tcBorders>
              <w:tl2br w:val="nil"/>
              <w:tr2bl w:val="nil"/>
            </w:tcBorders>
            <w:noWrap w:val="0"/>
            <w:tcMar>
              <w:top w:w="16" w:type="dxa"/>
              <w:left w:w="16" w:type="dxa"/>
              <w:right w:w="16" w:type="dxa"/>
            </w:tcMar>
            <w:vAlign w:val="center"/>
          </w:tcPr>
          <w:p w14:paraId="3EA04EB4">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建设项目名称</w:t>
            </w:r>
          </w:p>
        </w:tc>
        <w:tc>
          <w:tcPr>
            <w:tcW w:w="6768" w:type="dxa"/>
            <w:gridSpan w:val="3"/>
            <w:tcBorders>
              <w:tl2br w:val="nil"/>
              <w:tr2bl w:val="nil"/>
            </w:tcBorders>
            <w:noWrap w:val="0"/>
            <w:vAlign w:val="center"/>
          </w:tcPr>
          <w:p w14:paraId="2B0DA0C9">
            <w:pPr>
              <w:pStyle w:val="2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新疆凯狮威塑业有限责任公司</w:t>
            </w:r>
            <w:r>
              <w:rPr>
                <w:rFonts w:hint="default" w:ascii="Times New Roman" w:hAnsi="Times New Roman" w:cs="Times New Roman"/>
                <w:color w:val="auto"/>
                <w:sz w:val="24"/>
                <w:szCs w:val="24"/>
                <w:highlight w:val="none"/>
                <w:lang w:val="en-US" w:eastAsia="zh-CN"/>
              </w:rPr>
              <w:t>扩建年产6000吨地膜项目</w:t>
            </w:r>
          </w:p>
        </w:tc>
      </w:tr>
      <w:tr w14:paraId="13EA4A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1564" w:type="dxa"/>
            <w:tcBorders>
              <w:tl2br w:val="nil"/>
              <w:tr2bl w:val="nil"/>
            </w:tcBorders>
            <w:noWrap w:val="0"/>
            <w:tcMar>
              <w:top w:w="16" w:type="dxa"/>
              <w:left w:w="16" w:type="dxa"/>
              <w:right w:w="16" w:type="dxa"/>
            </w:tcMar>
            <w:vAlign w:val="center"/>
          </w:tcPr>
          <w:p w14:paraId="243F8418">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项目代码</w:t>
            </w:r>
          </w:p>
        </w:tc>
        <w:tc>
          <w:tcPr>
            <w:tcW w:w="6768" w:type="dxa"/>
            <w:gridSpan w:val="3"/>
            <w:tcBorders>
              <w:tl2br w:val="nil"/>
              <w:tr2bl w:val="nil"/>
            </w:tcBorders>
            <w:noWrap w:val="0"/>
            <w:vAlign w:val="center"/>
          </w:tcPr>
          <w:p w14:paraId="2885A0D7">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2509-652301-20-01-531630</w:t>
            </w:r>
          </w:p>
        </w:tc>
      </w:tr>
      <w:tr w14:paraId="0639E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564" w:type="dxa"/>
            <w:tcBorders>
              <w:tl2br w:val="nil"/>
              <w:tr2bl w:val="nil"/>
            </w:tcBorders>
            <w:noWrap w:val="0"/>
            <w:tcMar>
              <w:top w:w="16" w:type="dxa"/>
              <w:left w:w="16" w:type="dxa"/>
              <w:right w:w="16" w:type="dxa"/>
            </w:tcMar>
            <w:vAlign w:val="center"/>
          </w:tcPr>
          <w:p w14:paraId="2AA1BB5A">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建设单位联系人</w:t>
            </w:r>
          </w:p>
        </w:tc>
        <w:tc>
          <w:tcPr>
            <w:tcW w:w="1765" w:type="dxa"/>
            <w:tcBorders>
              <w:tl2br w:val="nil"/>
              <w:tr2bl w:val="nil"/>
            </w:tcBorders>
            <w:noWrap w:val="0"/>
            <w:vAlign w:val="center"/>
          </w:tcPr>
          <w:p w14:paraId="3067B078">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c>
          <w:tcPr>
            <w:tcW w:w="2048" w:type="dxa"/>
            <w:tcBorders>
              <w:tl2br w:val="nil"/>
              <w:tr2bl w:val="nil"/>
            </w:tcBorders>
            <w:noWrap w:val="0"/>
            <w:vAlign w:val="center"/>
          </w:tcPr>
          <w:p w14:paraId="76C3FC32">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2955" w:type="dxa"/>
            <w:tcBorders>
              <w:tl2br w:val="nil"/>
              <w:tr2bl w:val="nil"/>
            </w:tcBorders>
            <w:noWrap w:val="0"/>
            <w:vAlign w:val="center"/>
          </w:tcPr>
          <w:p w14:paraId="3B017219">
            <w:pPr>
              <w:pStyle w:val="2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348AA2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4" w:type="dxa"/>
            <w:tcBorders>
              <w:tl2br w:val="nil"/>
              <w:tr2bl w:val="nil"/>
            </w:tcBorders>
            <w:noWrap w:val="0"/>
            <w:tcMar>
              <w:top w:w="16" w:type="dxa"/>
              <w:left w:w="16" w:type="dxa"/>
              <w:right w:w="16" w:type="dxa"/>
            </w:tcMar>
            <w:vAlign w:val="center"/>
          </w:tcPr>
          <w:p w14:paraId="16FB1574">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6768" w:type="dxa"/>
            <w:gridSpan w:val="3"/>
            <w:tcBorders>
              <w:tl2br w:val="nil"/>
              <w:tr2bl w:val="nil"/>
            </w:tcBorders>
            <w:noWrap w:val="0"/>
            <w:vAlign w:val="center"/>
          </w:tcPr>
          <w:p w14:paraId="55609A26">
            <w:pPr>
              <w:pStyle w:val="2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highlight w:val="none"/>
                <w:lang w:val="en-US" w:eastAsia="zh-CN"/>
              </w:rPr>
              <w:t>新疆维吾尔自治区</w:t>
            </w:r>
            <w:r>
              <w:rPr>
                <w:rFonts w:hint="default" w:ascii="Times New Roman" w:hAnsi="Times New Roman" w:cs="Times New Roman"/>
                <w:color w:val="auto"/>
                <w:sz w:val="24"/>
                <w:szCs w:val="24"/>
                <w:highlight w:val="none"/>
              </w:rPr>
              <w:t>昌吉回族自治州</w:t>
            </w:r>
            <w:r>
              <w:rPr>
                <w:rFonts w:hint="default" w:ascii="Times New Roman" w:hAnsi="Times New Roman" w:eastAsia="宋体" w:cs="Times New Roman"/>
                <w:color w:val="auto"/>
                <w:sz w:val="24"/>
                <w:highlight w:val="none"/>
                <w:lang w:val="en-US" w:eastAsia="zh-CN"/>
              </w:rPr>
              <w:t>昌吉市六工镇</w:t>
            </w:r>
            <w:r>
              <w:rPr>
                <w:rFonts w:hint="default" w:ascii="Times New Roman" w:hAnsi="Times New Roman" w:cs="Times New Roman"/>
                <w:color w:val="auto"/>
                <w:sz w:val="24"/>
                <w:szCs w:val="24"/>
                <w:highlight w:val="none"/>
                <w:lang w:eastAsia="zh-CN"/>
              </w:rPr>
              <w:t>新疆凯狮威塑业有限责任公司</w:t>
            </w:r>
            <w:r>
              <w:rPr>
                <w:rFonts w:hint="default" w:ascii="Times New Roman" w:hAnsi="Times New Roman" w:cs="Times New Roman"/>
                <w:color w:val="auto"/>
                <w:sz w:val="24"/>
                <w:szCs w:val="24"/>
                <w:highlight w:val="none"/>
                <w:lang w:val="en-US" w:eastAsia="zh-CN"/>
              </w:rPr>
              <w:t>院内</w:t>
            </w:r>
          </w:p>
        </w:tc>
      </w:tr>
      <w:tr w14:paraId="5EB76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4" w:type="dxa"/>
            <w:tcBorders>
              <w:tl2br w:val="nil"/>
              <w:tr2bl w:val="nil"/>
            </w:tcBorders>
            <w:noWrap w:val="0"/>
            <w:tcMar>
              <w:top w:w="16" w:type="dxa"/>
              <w:left w:w="16" w:type="dxa"/>
              <w:right w:w="16" w:type="dxa"/>
            </w:tcMar>
            <w:vAlign w:val="center"/>
          </w:tcPr>
          <w:p w14:paraId="1C2CA40B">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地理坐标</w:t>
            </w:r>
          </w:p>
        </w:tc>
        <w:tc>
          <w:tcPr>
            <w:tcW w:w="6768" w:type="dxa"/>
            <w:gridSpan w:val="3"/>
            <w:tcBorders>
              <w:tl2br w:val="nil"/>
              <w:tr2bl w:val="nil"/>
            </w:tcBorders>
            <w:noWrap w:val="0"/>
            <w:vAlign w:val="center"/>
          </w:tcPr>
          <w:p w14:paraId="5A8E4309">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东经</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，北纬：</w:t>
            </w:r>
            <w:r>
              <w:rPr>
                <w:rFonts w:hint="eastAsia" w:ascii="Times New Roman" w:hAnsi="Times New Roman" w:cs="Times New Roman"/>
                <w:color w:val="auto"/>
                <w:sz w:val="24"/>
                <w:szCs w:val="24"/>
                <w:highlight w:val="none"/>
                <w:lang w:val="en-US" w:eastAsia="zh-CN"/>
              </w:rPr>
              <w:t>****</w:t>
            </w:r>
          </w:p>
        </w:tc>
      </w:tr>
      <w:tr w14:paraId="71649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1564" w:type="dxa"/>
            <w:tcBorders>
              <w:tl2br w:val="nil"/>
              <w:tr2bl w:val="nil"/>
            </w:tcBorders>
            <w:noWrap w:val="0"/>
            <w:tcMar>
              <w:top w:w="16" w:type="dxa"/>
              <w:left w:w="16" w:type="dxa"/>
              <w:right w:w="16" w:type="dxa"/>
            </w:tcMar>
            <w:vAlign w:val="center"/>
          </w:tcPr>
          <w:p w14:paraId="59D32FAF">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14:paraId="43BADF24">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1765" w:type="dxa"/>
            <w:tcBorders>
              <w:tl2br w:val="nil"/>
              <w:tr2bl w:val="nil"/>
            </w:tcBorders>
            <w:noWrap w:val="0"/>
            <w:vAlign w:val="center"/>
          </w:tcPr>
          <w:p w14:paraId="74C025DB">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C2921塑料薄膜制造</w:t>
            </w:r>
          </w:p>
        </w:tc>
        <w:tc>
          <w:tcPr>
            <w:tcW w:w="2048" w:type="dxa"/>
            <w:tcBorders>
              <w:tl2br w:val="nil"/>
              <w:tr2bl w:val="nil"/>
            </w:tcBorders>
            <w:noWrap w:val="0"/>
            <w:vAlign w:val="center"/>
          </w:tcPr>
          <w:p w14:paraId="0C462014">
            <w:pPr>
              <w:adjustRightInd w:val="0"/>
              <w:snapToGrid w:val="0"/>
              <w:jc w:val="center"/>
              <w:rPr>
                <w:rFonts w:hint="default" w:ascii="Times New Roman" w:hAnsi="Times New Roman" w:cs="Times New Roman"/>
                <w:color w:val="auto"/>
                <w:sz w:val="24"/>
                <w:szCs w:val="24"/>
                <w:highlight w:val="none"/>
              </w:rPr>
            </w:pPr>
            <w:bookmarkStart w:id="0" w:name="_Hlk49843745"/>
            <w:r>
              <w:rPr>
                <w:rFonts w:hint="default" w:ascii="Times New Roman" w:hAnsi="Times New Roman" w:cs="Times New Roman"/>
                <w:color w:val="auto"/>
                <w:sz w:val="24"/>
                <w:szCs w:val="24"/>
                <w:highlight w:val="none"/>
              </w:rPr>
              <w:t>建设项目</w:t>
            </w:r>
          </w:p>
          <w:p w14:paraId="7141D569">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0"/>
          </w:p>
        </w:tc>
        <w:tc>
          <w:tcPr>
            <w:tcW w:w="2955" w:type="dxa"/>
            <w:tcBorders>
              <w:tl2br w:val="nil"/>
              <w:tr2bl w:val="nil"/>
            </w:tcBorders>
            <w:noWrap w:val="0"/>
            <w:vAlign w:val="center"/>
          </w:tcPr>
          <w:p w14:paraId="627782F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二十六、橡胶和塑料制品业</w:t>
            </w:r>
          </w:p>
          <w:p w14:paraId="38D6187D">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29-53-塑料制品业292-其他</w:t>
            </w:r>
          </w:p>
          <w:p w14:paraId="0424C9CC">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（年用非溶剂型低</w:t>
            </w:r>
            <w:r>
              <w:rPr>
                <w:rFonts w:hint="default" w:ascii="Times New Roman" w:hAnsi="Times New Roman" w:cs="Times New Roman"/>
                <w:color w:val="auto"/>
                <w:sz w:val="24"/>
                <w:szCs w:val="24"/>
                <w:highlight w:val="none"/>
                <w:lang w:val="en-US" w:eastAsia="zh-CN"/>
              </w:rPr>
              <w:t>VOCs（以非甲烷总烃计）</w:t>
            </w:r>
            <w:r>
              <w:rPr>
                <w:rFonts w:hint="default" w:ascii="Times New Roman" w:hAnsi="Times New Roman" w:eastAsia="宋体" w:cs="Times New Roman"/>
                <w:color w:val="auto"/>
                <w:sz w:val="24"/>
                <w:szCs w:val="24"/>
                <w:highlight w:val="none"/>
                <w:lang w:val="en-US" w:eastAsia="zh-CN"/>
              </w:rPr>
              <w:t>含</w:t>
            </w:r>
          </w:p>
          <w:p w14:paraId="4AF19EF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量涂料10吨以下的除外）</w:t>
            </w:r>
          </w:p>
        </w:tc>
      </w:tr>
      <w:tr w14:paraId="4D291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64" w:type="dxa"/>
            <w:tcBorders>
              <w:tl2br w:val="nil"/>
              <w:tr2bl w:val="nil"/>
            </w:tcBorders>
            <w:noWrap w:val="0"/>
            <w:tcMar>
              <w:top w:w="16" w:type="dxa"/>
              <w:left w:w="16" w:type="dxa"/>
              <w:right w:w="16" w:type="dxa"/>
            </w:tcMar>
            <w:vAlign w:val="center"/>
          </w:tcPr>
          <w:p w14:paraId="26BA5EC1">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p>
        </w:tc>
        <w:tc>
          <w:tcPr>
            <w:tcW w:w="1765" w:type="dxa"/>
            <w:tcBorders>
              <w:tl2br w:val="nil"/>
              <w:tr2bl w:val="nil"/>
            </w:tcBorders>
            <w:noWrap w:val="0"/>
            <w:vAlign w:val="center"/>
          </w:tcPr>
          <w:p w14:paraId="73CA1CF7">
            <w:pPr>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新建</w:t>
            </w:r>
          </w:p>
          <w:p w14:paraId="47703BBD">
            <w:pPr>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改建</w:t>
            </w:r>
          </w:p>
          <w:p w14:paraId="3F9620D2">
            <w:pPr>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扩建</w:t>
            </w:r>
          </w:p>
          <w:p w14:paraId="7A61FA6D">
            <w:pPr>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技术改造</w:t>
            </w:r>
          </w:p>
        </w:tc>
        <w:tc>
          <w:tcPr>
            <w:tcW w:w="2048" w:type="dxa"/>
            <w:tcBorders>
              <w:tl2br w:val="nil"/>
              <w:tr2bl w:val="nil"/>
            </w:tcBorders>
            <w:noWrap w:val="0"/>
            <w:vAlign w:val="center"/>
          </w:tcPr>
          <w:p w14:paraId="1BA1736E">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0ABA19C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申报情形</w:t>
            </w:r>
          </w:p>
        </w:tc>
        <w:tc>
          <w:tcPr>
            <w:tcW w:w="2955" w:type="dxa"/>
            <w:tcBorders>
              <w:tl2br w:val="nil"/>
              <w:tr2bl w:val="nil"/>
            </w:tcBorders>
            <w:noWrap w:val="0"/>
            <w:vAlign w:val="center"/>
          </w:tcPr>
          <w:p w14:paraId="65414030">
            <w:pPr>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sym w:font="Wingdings" w:char="00FE"/>
            </w:r>
            <w:r>
              <w:rPr>
                <w:rFonts w:hint="default" w:ascii="Times New Roman" w:hAnsi="Times New Roman" w:cs="Times New Roman"/>
                <w:color w:val="auto"/>
                <w:sz w:val="24"/>
                <w:szCs w:val="24"/>
                <w:highlight w:val="none"/>
              </w:rPr>
              <w:t>首次申报项目</w:t>
            </w:r>
          </w:p>
          <w:p w14:paraId="056953DF">
            <w:pPr>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□不予批准后再次申报项目</w:t>
            </w:r>
          </w:p>
          <w:p w14:paraId="1E704AEB">
            <w:pPr>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sym w:font="Wingdings" w:char="00A8"/>
            </w:r>
            <w:r>
              <w:rPr>
                <w:rFonts w:hint="default" w:ascii="Times New Roman" w:hAnsi="Times New Roman" w:cs="Times New Roman"/>
                <w:color w:val="auto"/>
                <w:sz w:val="24"/>
                <w:szCs w:val="24"/>
                <w:highlight w:val="none"/>
              </w:rPr>
              <w:t>超五年重新审核项目</w:t>
            </w:r>
          </w:p>
          <w:p w14:paraId="53EEB56F">
            <w:pPr>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重大变动重新报批项目</w:t>
            </w:r>
          </w:p>
        </w:tc>
      </w:tr>
      <w:tr w14:paraId="6927E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1564" w:type="dxa"/>
            <w:tcBorders>
              <w:tl2br w:val="nil"/>
              <w:tr2bl w:val="nil"/>
            </w:tcBorders>
            <w:noWrap w:val="0"/>
            <w:tcMar>
              <w:top w:w="16" w:type="dxa"/>
              <w:left w:w="16" w:type="dxa"/>
              <w:right w:w="16" w:type="dxa"/>
            </w:tcMar>
            <w:vAlign w:val="center"/>
          </w:tcPr>
          <w:p w14:paraId="60478FBA">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4434AC7B">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备案）部门（选填）</w:t>
            </w:r>
          </w:p>
        </w:tc>
        <w:tc>
          <w:tcPr>
            <w:tcW w:w="1765" w:type="dxa"/>
            <w:tcBorders>
              <w:tl2br w:val="nil"/>
              <w:tr2bl w:val="nil"/>
            </w:tcBorders>
            <w:noWrap w:val="0"/>
            <w:vAlign w:val="center"/>
          </w:tcPr>
          <w:p w14:paraId="1F4ACB08">
            <w:pPr>
              <w:pStyle w:val="2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c>
          <w:tcPr>
            <w:tcW w:w="2048" w:type="dxa"/>
            <w:tcBorders>
              <w:tl2br w:val="nil"/>
              <w:tr2bl w:val="nil"/>
            </w:tcBorders>
            <w:noWrap w:val="0"/>
            <w:vAlign w:val="center"/>
          </w:tcPr>
          <w:p w14:paraId="42A5015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73BB1493">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备案）文号（选填）</w:t>
            </w:r>
          </w:p>
        </w:tc>
        <w:tc>
          <w:tcPr>
            <w:tcW w:w="2955" w:type="dxa"/>
            <w:tcBorders>
              <w:tl2br w:val="nil"/>
              <w:tr2bl w:val="nil"/>
            </w:tcBorders>
            <w:noWrap w:val="0"/>
            <w:vAlign w:val="center"/>
          </w:tcPr>
          <w:p w14:paraId="699E7D77">
            <w:pPr>
              <w:pStyle w:val="2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昌商工信技备〔2025〕6号</w:t>
            </w:r>
          </w:p>
        </w:tc>
      </w:tr>
      <w:tr w14:paraId="72A17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1564" w:type="dxa"/>
            <w:tcBorders>
              <w:tl2br w:val="nil"/>
              <w:tr2bl w:val="nil"/>
            </w:tcBorders>
            <w:noWrap w:val="0"/>
            <w:tcMar>
              <w:top w:w="16" w:type="dxa"/>
              <w:left w:w="16" w:type="dxa"/>
              <w:right w:w="16" w:type="dxa"/>
            </w:tcMar>
            <w:vAlign w:val="center"/>
          </w:tcPr>
          <w:p w14:paraId="3DB54192">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1765" w:type="dxa"/>
            <w:tcBorders>
              <w:tl2br w:val="nil"/>
              <w:tr2bl w:val="nil"/>
            </w:tcBorders>
            <w:noWrap w:val="0"/>
            <w:vAlign w:val="center"/>
          </w:tcPr>
          <w:p w14:paraId="174E4D5B">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1360</w:t>
            </w:r>
          </w:p>
        </w:tc>
        <w:tc>
          <w:tcPr>
            <w:tcW w:w="2048" w:type="dxa"/>
            <w:tcBorders>
              <w:tl2br w:val="nil"/>
              <w:tr2bl w:val="nil"/>
            </w:tcBorders>
            <w:noWrap w:val="0"/>
            <w:tcMar>
              <w:top w:w="16" w:type="dxa"/>
              <w:left w:w="16" w:type="dxa"/>
              <w:right w:w="16" w:type="dxa"/>
            </w:tcMar>
            <w:vAlign w:val="center"/>
          </w:tcPr>
          <w:p w14:paraId="78AEED8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955" w:type="dxa"/>
            <w:tcBorders>
              <w:tl2br w:val="nil"/>
              <w:tr2bl w:val="nil"/>
            </w:tcBorders>
            <w:noWrap w:val="0"/>
            <w:vAlign w:val="center"/>
          </w:tcPr>
          <w:p w14:paraId="554DD81B">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27</w:t>
            </w:r>
          </w:p>
        </w:tc>
      </w:tr>
      <w:tr w14:paraId="5D0D2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4" w:type="dxa"/>
            <w:tcBorders>
              <w:tl2br w:val="nil"/>
              <w:tr2bl w:val="nil"/>
            </w:tcBorders>
            <w:noWrap w:val="0"/>
            <w:tcMar>
              <w:top w:w="16" w:type="dxa"/>
              <w:left w:w="16" w:type="dxa"/>
              <w:right w:w="16" w:type="dxa"/>
            </w:tcMar>
            <w:vAlign w:val="center"/>
          </w:tcPr>
          <w:p w14:paraId="1337B0C3">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1765" w:type="dxa"/>
            <w:tcBorders>
              <w:tl2br w:val="nil"/>
              <w:tr2bl w:val="nil"/>
            </w:tcBorders>
            <w:noWrap w:val="0"/>
            <w:vAlign w:val="center"/>
          </w:tcPr>
          <w:p w14:paraId="2A30213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1.985</w:t>
            </w:r>
          </w:p>
        </w:tc>
        <w:tc>
          <w:tcPr>
            <w:tcW w:w="2048" w:type="dxa"/>
            <w:tcBorders>
              <w:tl2br w:val="nil"/>
              <w:tr2bl w:val="nil"/>
            </w:tcBorders>
            <w:noWrap w:val="0"/>
            <w:tcMar>
              <w:top w:w="16" w:type="dxa"/>
              <w:left w:w="16" w:type="dxa"/>
              <w:right w:w="16" w:type="dxa"/>
            </w:tcMar>
            <w:vAlign w:val="center"/>
          </w:tcPr>
          <w:p w14:paraId="5DD6F611">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2955" w:type="dxa"/>
            <w:tcBorders>
              <w:tl2br w:val="nil"/>
              <w:tr2bl w:val="nil"/>
            </w:tcBorders>
            <w:noWrap w:val="0"/>
            <w:vAlign w:val="center"/>
          </w:tcPr>
          <w:p w14:paraId="69C95C6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r>
      <w:tr w14:paraId="285C4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564" w:type="dxa"/>
            <w:tcBorders>
              <w:tl2br w:val="nil"/>
              <w:tr2bl w:val="nil"/>
            </w:tcBorders>
            <w:noWrap w:val="0"/>
            <w:tcMar>
              <w:top w:w="16" w:type="dxa"/>
              <w:left w:w="16" w:type="dxa"/>
              <w:right w:w="16" w:type="dxa"/>
            </w:tcMar>
            <w:vAlign w:val="center"/>
          </w:tcPr>
          <w:p w14:paraId="53198F0D">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是否开工建设</w:t>
            </w:r>
          </w:p>
        </w:tc>
        <w:tc>
          <w:tcPr>
            <w:tcW w:w="1765" w:type="dxa"/>
            <w:tcBorders>
              <w:tl2br w:val="nil"/>
              <w:tr2bl w:val="nil"/>
            </w:tcBorders>
            <w:noWrap w:val="0"/>
            <w:vAlign w:val="center"/>
          </w:tcPr>
          <w:p w14:paraId="314A1A75">
            <w:pPr>
              <w:adjustRightInd w:val="0"/>
              <w:snapToGrid w:val="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sym w:font="Wingdings" w:char="00FE"/>
            </w:r>
            <w:r>
              <w:rPr>
                <w:rFonts w:hint="default" w:ascii="Times New Roman" w:hAnsi="Times New Roman" w:cs="Times New Roman"/>
                <w:color w:val="auto"/>
                <w:sz w:val="24"/>
                <w:szCs w:val="24"/>
                <w:highlight w:val="none"/>
              </w:rPr>
              <w:t>否</w:t>
            </w:r>
          </w:p>
          <w:p w14:paraId="24044995">
            <w:pPr>
              <w:keepNext w:val="0"/>
              <w:keepLines w:val="0"/>
              <w:widowControl/>
              <w:suppressLineNumbers w:val="0"/>
              <w:jc w:val="both"/>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lang w:eastAsia="zh-CN"/>
              </w:rPr>
              <w:sym w:font="Wingdings" w:char="00A8"/>
            </w:r>
            <w:r>
              <w:rPr>
                <w:rFonts w:hint="default" w:ascii="Times New Roman" w:hAnsi="Times New Roman" w:cs="Times New Roman"/>
                <w:color w:val="auto"/>
                <w:sz w:val="24"/>
                <w:szCs w:val="24"/>
                <w:highlight w:val="none"/>
              </w:rPr>
              <w:t>是</w:t>
            </w:r>
          </w:p>
        </w:tc>
        <w:tc>
          <w:tcPr>
            <w:tcW w:w="2048" w:type="dxa"/>
            <w:tcBorders>
              <w:tl2br w:val="nil"/>
              <w:tr2bl w:val="nil"/>
            </w:tcBorders>
            <w:noWrap w:val="0"/>
            <w:tcMar>
              <w:top w:w="16" w:type="dxa"/>
              <w:left w:w="16" w:type="dxa"/>
              <w:right w:w="16" w:type="dxa"/>
            </w:tcMar>
            <w:vAlign w:val="center"/>
          </w:tcPr>
          <w:p w14:paraId="4F3762E4">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6"/>
                <w:sz w:val="24"/>
                <w:szCs w:val="24"/>
                <w:highlight w:val="none"/>
              </w:rPr>
              <w:t>用地（用海）面积（m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2955" w:type="dxa"/>
            <w:tcBorders>
              <w:tl2br w:val="nil"/>
              <w:tr2bl w:val="nil"/>
            </w:tcBorders>
            <w:noWrap w:val="0"/>
            <w:vAlign w:val="center"/>
          </w:tcPr>
          <w:p w14:paraId="0E38CCA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4000</w:t>
            </w:r>
          </w:p>
          <w:p w14:paraId="1053097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（不新增用地）</w:t>
            </w:r>
          </w:p>
        </w:tc>
      </w:tr>
      <w:tr w14:paraId="02EA3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564" w:type="dxa"/>
            <w:tcBorders>
              <w:tl2br w:val="nil"/>
              <w:tr2bl w:val="nil"/>
            </w:tcBorders>
            <w:noWrap w:val="0"/>
            <w:vAlign w:val="center"/>
          </w:tcPr>
          <w:p w14:paraId="40DFCE54">
            <w:pPr>
              <w:autoSpaceDE w:val="0"/>
              <w:autoSpaceDN w:val="0"/>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专项评价设置情况</w:t>
            </w:r>
          </w:p>
        </w:tc>
        <w:tc>
          <w:tcPr>
            <w:tcW w:w="6768" w:type="dxa"/>
            <w:gridSpan w:val="3"/>
            <w:tcBorders>
              <w:tl2br w:val="nil"/>
              <w:tr2bl w:val="nil"/>
            </w:tcBorders>
            <w:noWrap w:val="0"/>
            <w:vAlign w:val="center"/>
          </w:tcPr>
          <w:p w14:paraId="0E09D774">
            <w:pPr>
              <w:autoSpaceDE w:val="0"/>
              <w:autoSpaceDN w:val="0"/>
              <w:adjustRightInd w:val="0"/>
              <w:snapToGrid w:val="0"/>
              <w:jc w:val="center"/>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不设置</w:t>
            </w:r>
          </w:p>
        </w:tc>
      </w:tr>
      <w:tr w14:paraId="79F27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564" w:type="dxa"/>
            <w:tcBorders>
              <w:tl2br w:val="nil"/>
              <w:tr2bl w:val="nil"/>
            </w:tcBorders>
            <w:noWrap w:val="0"/>
            <w:vAlign w:val="center"/>
          </w:tcPr>
          <w:p w14:paraId="63315B76">
            <w:pPr>
              <w:keepNext w:val="0"/>
              <w:keepLines w:val="0"/>
              <w:pageBreakBefore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规划情况</w:t>
            </w:r>
          </w:p>
        </w:tc>
        <w:tc>
          <w:tcPr>
            <w:tcW w:w="6768" w:type="dxa"/>
            <w:gridSpan w:val="3"/>
            <w:tcBorders>
              <w:tl2br w:val="nil"/>
              <w:tr2bl w:val="nil"/>
            </w:tcBorders>
            <w:noWrap w:val="0"/>
            <w:vAlign w:val="center"/>
          </w:tcPr>
          <w:p w14:paraId="039B0630">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lang w:val="en-US" w:eastAsia="zh-CN"/>
              </w:rPr>
              <w:t>规划名称：</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昌吉</w:t>
            </w:r>
            <w:r>
              <w:rPr>
                <w:rFonts w:hint="eastAsia" w:ascii="Times New Roman" w:hAnsi="Times New Roman" w:cs="Times New Roman"/>
                <w:color w:val="auto"/>
                <w:sz w:val="24"/>
                <w:szCs w:val="24"/>
                <w:highlight w:val="none"/>
                <w:lang w:val="en-US" w:eastAsia="zh-CN"/>
              </w:rPr>
              <w:t>市</w:t>
            </w:r>
            <w:r>
              <w:rPr>
                <w:rFonts w:hint="default" w:ascii="Times New Roman" w:hAnsi="Times New Roman" w:cs="Times New Roman"/>
                <w:color w:val="auto"/>
                <w:sz w:val="24"/>
                <w:szCs w:val="24"/>
                <w:highlight w:val="none"/>
              </w:rPr>
              <w:t>国土空间总体规划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（2021-2035年）</w:t>
            </w:r>
          </w:p>
          <w:p w14:paraId="221E7B38">
            <w:pPr>
              <w:pStyle w:val="31"/>
              <w:keepNext w:val="0"/>
              <w:keepLines w:val="0"/>
              <w:pageBreakBefore w:val="0"/>
              <w:widowControl w:val="0"/>
              <w:kinsoku/>
              <w:wordWrap/>
              <w:overflowPunct/>
              <w:topLinePunct w:val="0"/>
              <w:bidi w:val="0"/>
              <w:spacing w:line="36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审批机关：</w:t>
            </w:r>
            <w:r>
              <w:rPr>
                <w:rFonts w:hint="default" w:ascii="Times New Roman" w:hAnsi="Times New Roman" w:cs="Times New Roman"/>
                <w:color w:val="auto"/>
                <w:highlight w:val="none"/>
                <w:lang w:val="en-US" w:eastAsia="zh-CN"/>
              </w:rPr>
              <w:t>新疆维吾尔自治区人民政府</w:t>
            </w:r>
          </w:p>
          <w:p w14:paraId="7A77CBB6">
            <w:pPr>
              <w:keepNext w:val="0"/>
              <w:keepLines w:val="0"/>
              <w:pageBreakBefore w:val="0"/>
              <w:widowControl w:val="0"/>
              <w:kinsoku/>
              <w:wordWrap/>
              <w:overflowPunct/>
              <w:topLinePunct w:val="0"/>
              <w:bidi w:val="0"/>
              <w:spacing w:line="36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sz w:val="24"/>
                <w:szCs w:val="24"/>
                <w:highlight w:val="none"/>
                <w:lang w:val="en-US" w:eastAsia="zh-CN"/>
              </w:rPr>
              <w:t>审批文号：</w:t>
            </w:r>
            <w:r>
              <w:rPr>
                <w:rFonts w:hint="default" w:ascii="Times New Roman" w:hAnsi="Times New Roman" w:cs="Times New Roman"/>
                <w:b w:val="0"/>
                <w:bCs w:val="0"/>
                <w:color w:val="auto"/>
                <w:sz w:val="24"/>
                <w:szCs w:val="24"/>
                <w:highlight w:val="none"/>
                <w:lang w:val="en-US" w:eastAsia="zh-CN"/>
              </w:rPr>
              <w:t>新疆维吾尔自治区人民政府关于《昌吉市国土空间总体规划(2021-2035年)》的批复（</w:t>
            </w:r>
            <w:r>
              <w:rPr>
                <w:rFonts w:hint="default" w:ascii="Times New Roman" w:hAnsi="Times New Roman" w:eastAsia="宋体" w:cs="Times New Roman"/>
                <w:b w:val="0"/>
                <w:bCs w:val="0"/>
                <w:color w:val="auto"/>
                <w:kern w:val="2"/>
                <w:sz w:val="24"/>
                <w:szCs w:val="24"/>
                <w:highlight w:val="none"/>
                <w:lang w:val="en-US" w:eastAsia="zh-CN" w:bidi="ar-SA"/>
              </w:rPr>
              <w:t>新政函〔2024〕137号</w:t>
            </w:r>
            <w:r>
              <w:rPr>
                <w:rFonts w:hint="default" w:ascii="Times New Roman" w:hAnsi="Times New Roman" w:cs="Times New Roman"/>
                <w:b w:val="0"/>
                <w:bCs w:val="0"/>
                <w:color w:val="auto"/>
                <w:kern w:val="2"/>
                <w:sz w:val="24"/>
                <w:szCs w:val="24"/>
                <w:highlight w:val="none"/>
                <w:lang w:val="en-US" w:eastAsia="zh-CN" w:bidi="ar-SA"/>
              </w:rPr>
              <w:t>）</w:t>
            </w:r>
          </w:p>
        </w:tc>
      </w:tr>
      <w:tr w14:paraId="26159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4" w:type="dxa"/>
            <w:tcBorders>
              <w:tl2br w:val="nil"/>
              <w:tr2bl w:val="nil"/>
            </w:tcBorders>
            <w:noWrap w:val="0"/>
            <w:vAlign w:val="center"/>
          </w:tcPr>
          <w:p w14:paraId="0AE57FEB">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规划环境影响评价情况</w:t>
            </w:r>
          </w:p>
        </w:tc>
        <w:tc>
          <w:tcPr>
            <w:tcW w:w="6768" w:type="dxa"/>
            <w:gridSpan w:val="3"/>
            <w:tcBorders>
              <w:tl2br w:val="nil"/>
              <w:tr2bl w:val="nil"/>
            </w:tcBorders>
            <w:noWrap w:val="0"/>
            <w:vAlign w:val="center"/>
          </w:tcPr>
          <w:p w14:paraId="2A7FA57F">
            <w:pPr>
              <w:keepNext w:val="0"/>
              <w:keepLines w:val="0"/>
              <w:pageBreakBefore w:val="0"/>
              <w:widowControl/>
              <w:suppressLineNumbers w:val="0"/>
              <w:kinsoku/>
              <w:wordWrap/>
              <w:overflowPunct/>
              <w:topLinePunct w:val="0"/>
              <w:bidi w:val="0"/>
              <w:spacing w:before="0" w:beforeAutospacing="0" w:after="0" w:afterAutospacing="0" w:line="360" w:lineRule="auto"/>
              <w:ind w:right="0" w:rightChars="0"/>
              <w:jc w:val="center"/>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无</w:t>
            </w:r>
          </w:p>
        </w:tc>
      </w:tr>
      <w:tr w14:paraId="2BB14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564" w:type="dxa"/>
            <w:tcBorders>
              <w:tl2br w:val="nil"/>
              <w:tr2bl w:val="nil"/>
            </w:tcBorders>
            <w:noWrap w:val="0"/>
            <w:vAlign w:val="center"/>
          </w:tcPr>
          <w:p w14:paraId="72A6DCAC">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规划及规划环境影响评价符合性分析</w:t>
            </w:r>
          </w:p>
        </w:tc>
        <w:tc>
          <w:tcPr>
            <w:tcW w:w="6768" w:type="dxa"/>
            <w:gridSpan w:val="3"/>
            <w:tcBorders>
              <w:tl2br w:val="nil"/>
              <w:tr2bl w:val="nil"/>
            </w:tcBorders>
            <w:noWrap w:val="0"/>
            <w:vAlign w:val="center"/>
          </w:tcPr>
          <w:p w14:paraId="1DEF086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1.</w:t>
            </w:r>
            <w:r>
              <w:rPr>
                <w:rFonts w:hint="default" w:ascii="Times New Roman" w:hAnsi="Times New Roman" w:cs="Times New Roman"/>
                <w:b/>
                <w:bCs/>
                <w:color w:val="auto"/>
                <w:sz w:val="24"/>
                <w:szCs w:val="24"/>
                <w:highlight w:val="none"/>
                <w:lang w:val="en-US" w:eastAsia="zh-CN"/>
              </w:rPr>
              <w:t>项目与《昌吉</w:t>
            </w:r>
            <w:r>
              <w:rPr>
                <w:rFonts w:hint="eastAsia" w:ascii="Times New Roman" w:hAnsi="Times New Roman" w:cs="Times New Roman"/>
                <w:color w:val="auto"/>
                <w:sz w:val="24"/>
                <w:szCs w:val="24"/>
                <w:highlight w:val="none"/>
                <w:lang w:val="en-US" w:eastAsia="zh-CN"/>
              </w:rPr>
              <w:t>市</w:t>
            </w:r>
            <w:r>
              <w:rPr>
                <w:rFonts w:hint="default" w:ascii="Times New Roman" w:hAnsi="Times New Roman" w:cs="Times New Roman"/>
                <w:b/>
                <w:bCs/>
                <w:color w:val="auto"/>
                <w:sz w:val="24"/>
                <w:szCs w:val="24"/>
                <w:highlight w:val="none"/>
                <w:lang w:val="en-US" w:eastAsia="zh-CN"/>
              </w:rPr>
              <w:t>国土空间总体规划》（2021-2035年）的符合性分析。</w:t>
            </w:r>
          </w:p>
          <w:p w14:paraId="409F472E">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《昌吉</w:t>
            </w:r>
            <w:r>
              <w:rPr>
                <w:rFonts w:hint="eastAsia" w:ascii="Times New Roman" w:hAnsi="Times New Roman" w:cs="Times New Roman"/>
                <w:color w:val="auto"/>
                <w:sz w:val="24"/>
                <w:szCs w:val="24"/>
                <w:highlight w:val="none"/>
                <w:lang w:val="en-US" w:eastAsia="zh-CN"/>
              </w:rPr>
              <w:t>市</w:t>
            </w:r>
            <w:r>
              <w:rPr>
                <w:rFonts w:hint="default" w:ascii="Times New Roman" w:hAnsi="Times New Roman" w:cs="Times New Roman"/>
                <w:b w:val="0"/>
                <w:bCs w:val="0"/>
                <w:color w:val="auto"/>
                <w:sz w:val="24"/>
                <w:szCs w:val="24"/>
                <w:highlight w:val="none"/>
                <w:lang w:val="en-US" w:eastAsia="zh-CN"/>
              </w:rPr>
              <w:t>国土空间总体规划》（2021-2035年）提出：</w:t>
            </w:r>
            <w:r>
              <w:rPr>
                <w:rFonts w:hint="default" w:ascii="Times New Roman" w:hAnsi="Times New Roman" w:eastAsia="宋体" w:cs="Times New Roman"/>
                <w:b w:val="0"/>
                <w:bCs w:val="0"/>
                <w:color w:val="auto"/>
                <w:kern w:val="2"/>
                <w:sz w:val="24"/>
                <w:szCs w:val="24"/>
                <w:highlight w:val="none"/>
                <w:lang w:val="en-US" w:eastAsia="zh-CN" w:bidi="ar-SA"/>
              </w:rPr>
              <w:t>明确空间规划分区。落实国土空间开发保护格局，实施全域要素用途管制，统筹全域各类用地需求，协调开发与保护的关系，将全域空间划分为</w:t>
            </w:r>
            <w:r>
              <w:rPr>
                <w:rFonts w:hint="eastAsia" w:ascii="Times New Roman" w:hAnsi="Times New Roman" w:cs="Times New Roman"/>
                <w:b w:val="0"/>
                <w:bCs w:val="0"/>
                <w:color w:val="auto"/>
                <w:kern w:val="2"/>
                <w:sz w:val="24"/>
                <w:szCs w:val="24"/>
                <w:highlight w:val="none"/>
                <w:lang w:val="en-US" w:eastAsia="zh-CN" w:bidi="ar-SA"/>
              </w:rPr>
              <w:t>农产品主产区、重点生态功能区、城市化地区</w:t>
            </w:r>
            <w:r>
              <w:rPr>
                <w:rFonts w:hint="default" w:ascii="Times New Roman" w:hAnsi="Times New Roman" w:eastAsia="宋体" w:cs="Times New Roman"/>
                <w:b w:val="0"/>
                <w:bCs w:val="0"/>
                <w:color w:val="auto"/>
                <w:kern w:val="2"/>
                <w:sz w:val="24"/>
                <w:szCs w:val="24"/>
                <w:highlight w:val="none"/>
                <w:lang w:val="en-US" w:eastAsia="zh-CN" w:bidi="ar-SA"/>
              </w:rPr>
              <w:t>区。</w:t>
            </w:r>
          </w:p>
          <w:p w14:paraId="69A6BEDF">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农田保护区即永久基本农田相对集中需严格保护的区域；生态保护区包括具有特殊重要生态功能或生态敏感脆弱、必须强制性严格保护的自然区域；城镇发展区包含城镇开发边界和其他保障准东城镇发展空间两部分；生态控制区包含生态保护红线外需要予以保留原貌、强化生态保育和生态建设、限制开发建设的区域；乡村发展区即永久基本农田外为满足农林牧渔等农业发展以及农民集中生活和生产配套为主的区域；矿产能源发展区包含了为适应国家能源安全与矿业发展的重要陆域采矿区、战略性矿产储量区等区域。</w:t>
            </w:r>
          </w:p>
          <w:p w14:paraId="4594394D">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加强耕地数量、质量、生态“三位一体”保护，不断优化农业生产布局，保障国家粮食安全。推动</w:t>
            </w:r>
            <w:r>
              <w:rPr>
                <w:rFonts w:hint="default" w:ascii="Times New Roman" w:hAnsi="Times New Roman" w:cs="Times New Roman"/>
                <w:b w:val="0"/>
                <w:bCs w:val="0"/>
                <w:color w:val="auto"/>
                <w:kern w:val="2"/>
                <w:sz w:val="24"/>
                <w:szCs w:val="24"/>
                <w:highlight w:val="none"/>
                <w:lang w:val="en-US" w:eastAsia="zh-CN" w:bidi="ar-SA"/>
              </w:rPr>
              <w:t>一二三产业融合</w:t>
            </w:r>
            <w:r>
              <w:rPr>
                <w:rFonts w:hint="default" w:ascii="Times New Roman" w:hAnsi="Times New Roman" w:eastAsia="宋体" w:cs="Times New Roman"/>
                <w:b w:val="0"/>
                <w:bCs w:val="0"/>
                <w:color w:val="auto"/>
                <w:kern w:val="2"/>
                <w:sz w:val="24"/>
                <w:szCs w:val="24"/>
                <w:highlight w:val="none"/>
                <w:lang w:val="en-US" w:eastAsia="zh-CN" w:bidi="ar-SA"/>
              </w:rPr>
              <w:t>，创建产业发展新格局，挖掘乡村振兴新动能。统筹推进土地综合整治，优化村庄布局，改善人居环境，推动城乡融合发展。</w:t>
            </w:r>
          </w:p>
          <w:p w14:paraId="40A28A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highlight w:val="none"/>
                <w:lang w:val="en-US"/>
              </w:rPr>
            </w:pPr>
            <w:r>
              <w:rPr>
                <w:rFonts w:hint="default" w:ascii="Times New Roman" w:hAnsi="Times New Roman" w:eastAsia="宋体" w:cs="Times New Roman"/>
                <w:b w:val="0"/>
                <w:bCs w:val="0"/>
                <w:color w:val="auto"/>
                <w:kern w:val="2"/>
                <w:sz w:val="24"/>
                <w:szCs w:val="24"/>
                <w:highlight w:val="none"/>
                <w:lang w:val="en-US" w:eastAsia="zh-CN" w:bidi="ar-SA"/>
              </w:rPr>
              <w:t>项目位于昌吉市六工镇，</w:t>
            </w:r>
            <w:r>
              <w:rPr>
                <w:rFonts w:hint="eastAsia" w:ascii="Times New Roman" w:hAnsi="Times New Roman" w:cs="Times New Roman"/>
                <w:b w:val="0"/>
                <w:bCs w:val="0"/>
                <w:color w:val="auto"/>
                <w:kern w:val="2"/>
                <w:sz w:val="24"/>
                <w:szCs w:val="24"/>
                <w:highlight w:val="none"/>
                <w:lang w:val="en-US" w:eastAsia="zh-CN" w:bidi="ar-SA"/>
              </w:rPr>
              <w:t>项目占地类型为工业用地，不涉及农用地，</w:t>
            </w:r>
            <w:r>
              <w:rPr>
                <w:rFonts w:hint="default" w:ascii="Times New Roman" w:hAnsi="Times New Roman" w:eastAsia="宋体" w:cs="Times New Roman"/>
                <w:b w:val="0"/>
                <w:bCs w:val="0"/>
                <w:color w:val="auto"/>
                <w:kern w:val="2"/>
                <w:sz w:val="24"/>
                <w:szCs w:val="24"/>
                <w:highlight w:val="none"/>
                <w:lang w:val="en-US" w:eastAsia="zh-CN" w:bidi="ar-SA"/>
              </w:rPr>
              <w:t>项目建设不占用永久基本农田，不占用生</w:t>
            </w:r>
            <w:r>
              <w:rPr>
                <w:rFonts w:hint="default" w:ascii="Times New Roman" w:hAnsi="Times New Roman" w:cs="Times New Roman"/>
                <w:b w:val="0"/>
                <w:bCs w:val="0"/>
                <w:color w:val="auto"/>
                <w:sz w:val="24"/>
                <w:szCs w:val="24"/>
                <w:highlight w:val="none"/>
                <w:lang w:val="en-US" w:eastAsia="zh-CN"/>
              </w:rPr>
              <w:t>态保护红线，用地性质为工业用地，符合《昌吉</w:t>
            </w:r>
            <w:r>
              <w:rPr>
                <w:rFonts w:hint="eastAsia" w:ascii="Times New Roman" w:hAnsi="Times New Roman" w:cs="Times New Roman"/>
                <w:color w:val="auto"/>
                <w:sz w:val="24"/>
                <w:szCs w:val="24"/>
                <w:highlight w:val="none"/>
                <w:lang w:val="en-US" w:eastAsia="zh-CN"/>
              </w:rPr>
              <w:t>市</w:t>
            </w:r>
            <w:r>
              <w:rPr>
                <w:rFonts w:hint="default" w:ascii="Times New Roman" w:hAnsi="Times New Roman" w:cs="Times New Roman"/>
                <w:b w:val="0"/>
                <w:bCs w:val="0"/>
                <w:color w:val="auto"/>
                <w:sz w:val="24"/>
                <w:szCs w:val="24"/>
                <w:highlight w:val="none"/>
                <w:lang w:val="en-US" w:eastAsia="zh-CN"/>
              </w:rPr>
              <w:t>国土空间总体规划》（2021-2035年）的相关要求</w:t>
            </w:r>
            <w:r>
              <w:rPr>
                <w:rFonts w:hint="default" w:ascii="Times New Roman" w:hAnsi="Times New Roman" w:cs="Times New Roman"/>
                <w:b w:val="0"/>
                <w:bCs w:val="0"/>
                <w:color w:val="auto"/>
                <w:sz w:val="24"/>
                <w:szCs w:val="24"/>
                <w:highlight w:val="none"/>
                <w:lang w:val="en-US" w:eastAsia="zh-CN"/>
              </w:rPr>
              <w:t>。</w:t>
            </w:r>
          </w:p>
        </w:tc>
      </w:tr>
      <w:tr w14:paraId="3DE7C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64" w:type="dxa"/>
            <w:tcBorders>
              <w:tl2br w:val="nil"/>
              <w:tr2bl w:val="nil"/>
            </w:tcBorders>
            <w:noWrap w:val="0"/>
            <w:vAlign w:val="center"/>
          </w:tcPr>
          <w:p w14:paraId="5FC943FF">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其他符合性分析</w:t>
            </w:r>
          </w:p>
        </w:tc>
        <w:tc>
          <w:tcPr>
            <w:tcW w:w="6768" w:type="dxa"/>
            <w:gridSpan w:val="3"/>
            <w:tcBorders>
              <w:tl2br w:val="nil"/>
              <w:tr2bl w:val="nil"/>
            </w:tcBorders>
            <w:noWrap w:val="0"/>
            <w:vAlign w:val="center"/>
          </w:tcPr>
          <w:p w14:paraId="7F777A07">
            <w:pPr>
              <w:pStyle w:val="40"/>
              <w:adjustRightInd/>
              <w:spacing w:line="360" w:lineRule="auto"/>
              <w:ind w:left="0" w:leftChars="0" w:firstLine="0" w:firstLineChars="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政策符合性分析</w:t>
            </w:r>
          </w:p>
          <w:p w14:paraId="36D1DB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根据《产业结构调整指导目录（2024年本）》中“第一类鼓励类十九、轻工2、农用塑料节水器材，长寿命（三年及以上）功能性农用薄膜的开发、生产”，本项目属于农用薄膜生产项目，不属于淘汰类及限制类。因此，本项目符合国家产业政策要求。</w:t>
            </w:r>
          </w:p>
          <w:p w14:paraId="1FE0CDE8">
            <w:pPr>
              <w:pStyle w:val="12"/>
              <w:spacing w:line="360" w:lineRule="auto"/>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val="en-US" w:eastAsia="zh-CN"/>
              </w:rPr>
              <w:t>.</w:t>
            </w:r>
            <w:r>
              <w:rPr>
                <w:rFonts w:hint="default" w:ascii="Times New Roman" w:hAnsi="Times New Roman" w:eastAsia="宋体" w:cs="Times New Roman"/>
                <w:b/>
                <w:bCs/>
                <w:color w:val="auto"/>
                <w:spacing w:val="-6"/>
                <w:sz w:val="24"/>
                <w:szCs w:val="24"/>
                <w:highlight w:val="none"/>
              </w:rPr>
              <w:t>与</w:t>
            </w:r>
            <w:r>
              <w:rPr>
                <w:rFonts w:hint="default" w:ascii="Times New Roman" w:hAnsi="Times New Roman" w:cs="Times New Roman"/>
                <w:b/>
                <w:bCs/>
                <w:color w:val="auto"/>
                <w:sz w:val="24"/>
                <w:highlight w:val="none"/>
              </w:rPr>
              <w:t>《新疆维吾尔自治区生态环境分区管控动态更新成果》</w:t>
            </w:r>
            <w:r>
              <w:rPr>
                <w:rFonts w:hint="default" w:ascii="Times New Roman" w:hAnsi="Times New Roman" w:cs="Times New Roman"/>
                <w:b/>
                <w:bCs/>
                <w:color w:val="auto"/>
                <w:sz w:val="24"/>
                <w:highlight w:val="none"/>
                <w:lang w:val="en-US" w:eastAsia="zh-CN"/>
              </w:rPr>
              <w:t>的符合性分析</w:t>
            </w:r>
          </w:p>
          <w:p w14:paraId="68FAAEC3">
            <w:pPr>
              <w:pStyle w:val="12"/>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根据《新疆维吾尔自治区生态环境分区管控动态更新成果》（新环环评发〔2024〕157号），“三线一单”生态环境分区管控基本</w:t>
            </w:r>
            <w:r>
              <w:rPr>
                <w:rFonts w:hint="default" w:ascii="Times New Roman" w:hAnsi="Times New Roman" w:cs="Times New Roman"/>
                <w:color w:val="auto"/>
                <w:sz w:val="24"/>
                <w:highlight w:val="none"/>
                <w:lang w:eastAsia="zh-CN"/>
              </w:rPr>
              <w:t>原则</w:t>
            </w:r>
            <w:r>
              <w:rPr>
                <w:rFonts w:hint="default" w:ascii="Times New Roman" w:hAnsi="Times New Roman" w:cs="Times New Roman"/>
                <w:color w:val="auto"/>
                <w:sz w:val="24"/>
                <w:highlight w:val="none"/>
              </w:rPr>
              <w:t>详见下表</w:t>
            </w:r>
          </w:p>
          <w:p w14:paraId="740F545D">
            <w:pPr>
              <w:pStyle w:val="12"/>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表1-1项目与《新疆维吾尔自治区生态环境分区管控动态更新成果》的符合性分析</w:t>
            </w:r>
          </w:p>
          <w:tbl>
            <w:tblPr>
              <w:tblStyle w:val="24"/>
              <w:tblW w:w="494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61"/>
              <w:gridCol w:w="364"/>
              <w:gridCol w:w="3401"/>
              <w:gridCol w:w="1482"/>
              <w:gridCol w:w="876"/>
            </w:tblGrid>
            <w:tr w14:paraId="420F6B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25" w:type="dxa"/>
                  <w:gridSpan w:val="2"/>
                  <w:tcBorders>
                    <w:tl2br w:val="nil"/>
                    <w:tr2bl w:val="nil"/>
                  </w:tcBorders>
                  <w:vAlign w:val="center"/>
                </w:tcPr>
                <w:p w14:paraId="0B2478B6">
                  <w:pPr>
                    <w:widowControl/>
                    <w:jc w:val="center"/>
                    <w:textAlignment w:val="center"/>
                    <w:rPr>
                      <w:rFonts w:hint="default" w:ascii="Times New Roman" w:hAnsi="Times New Roman" w:cs="Times New Roman"/>
                      <w:b/>
                      <w:bCs/>
                      <w:color w:val="auto"/>
                      <w:sz w:val="21"/>
                      <w:szCs w:val="21"/>
                      <w:highlight w:val="none"/>
                    </w:rPr>
                  </w:pPr>
                  <w:r>
                    <w:rPr>
                      <w:rStyle w:val="65"/>
                      <w:rFonts w:hint="default" w:ascii="Times New Roman" w:hAnsi="Times New Roman" w:cs="Times New Roman"/>
                      <w:color w:val="auto"/>
                      <w:sz w:val="21"/>
                      <w:szCs w:val="21"/>
                      <w:highlight w:val="none"/>
                      <w:lang w:bidi="ar"/>
                    </w:rPr>
                    <w:t>管控维度</w:t>
                  </w:r>
                </w:p>
              </w:tc>
              <w:tc>
                <w:tcPr>
                  <w:tcW w:w="3401" w:type="dxa"/>
                  <w:tcBorders>
                    <w:tl2br w:val="nil"/>
                    <w:tr2bl w:val="nil"/>
                  </w:tcBorders>
                  <w:vAlign w:val="center"/>
                </w:tcPr>
                <w:p w14:paraId="11379A96">
                  <w:pPr>
                    <w:widowControl/>
                    <w:jc w:val="center"/>
                    <w:textAlignment w:val="center"/>
                    <w:rPr>
                      <w:rFonts w:hint="default" w:ascii="Times New Roman" w:hAnsi="Times New Roman" w:cs="Times New Roman"/>
                      <w:b/>
                      <w:bCs/>
                      <w:color w:val="auto"/>
                      <w:sz w:val="21"/>
                      <w:szCs w:val="21"/>
                      <w:highlight w:val="none"/>
                    </w:rPr>
                  </w:pPr>
                  <w:r>
                    <w:rPr>
                      <w:rStyle w:val="65"/>
                      <w:rFonts w:hint="default" w:ascii="Times New Roman" w:hAnsi="Times New Roman" w:cs="Times New Roman"/>
                      <w:color w:val="auto"/>
                      <w:sz w:val="21"/>
                      <w:szCs w:val="21"/>
                      <w:highlight w:val="none"/>
                      <w:lang w:bidi="ar"/>
                    </w:rPr>
                    <w:t>管控要求</w:t>
                  </w:r>
                </w:p>
              </w:tc>
              <w:tc>
                <w:tcPr>
                  <w:tcW w:w="1482" w:type="dxa"/>
                  <w:tcBorders>
                    <w:tl2br w:val="nil"/>
                    <w:tr2bl w:val="nil"/>
                  </w:tcBorders>
                  <w:vAlign w:val="center"/>
                </w:tcPr>
                <w:p w14:paraId="1D323660">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本项目建设情况</w:t>
                  </w:r>
                </w:p>
              </w:tc>
              <w:tc>
                <w:tcPr>
                  <w:tcW w:w="876" w:type="dxa"/>
                  <w:tcBorders>
                    <w:tl2br w:val="nil"/>
                    <w:tr2bl w:val="nil"/>
                  </w:tcBorders>
                  <w:vAlign w:val="center"/>
                </w:tcPr>
                <w:p w14:paraId="2A5CB819">
                  <w:pPr>
                    <w:widowControl/>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lang w:bidi="ar"/>
                    </w:rPr>
                    <w:t>是否符合</w:t>
                  </w:r>
                </w:p>
              </w:tc>
            </w:tr>
            <w:tr w14:paraId="2F4284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restart"/>
                  <w:tcBorders>
                    <w:tl2br w:val="nil"/>
                    <w:tr2bl w:val="nil"/>
                  </w:tcBorders>
                  <w:vAlign w:val="center"/>
                </w:tcPr>
                <w:p w14:paraId="64AB4812">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A1</w:t>
                  </w:r>
                  <w:r>
                    <w:rPr>
                      <w:rFonts w:hint="default" w:ascii="Times New Roman" w:hAnsi="Times New Roman" w:cs="Times New Roman"/>
                      <w:color w:val="auto"/>
                      <w:kern w:val="0"/>
                      <w:sz w:val="21"/>
                      <w:szCs w:val="21"/>
                      <w:highlight w:val="none"/>
                      <w:lang w:bidi="ar"/>
                    </w:rPr>
                    <w:t>空间布局约束</w:t>
                  </w:r>
                </w:p>
              </w:tc>
              <w:tc>
                <w:tcPr>
                  <w:tcW w:w="364" w:type="dxa"/>
                  <w:vMerge w:val="restart"/>
                  <w:tcBorders>
                    <w:tl2br w:val="nil"/>
                    <w:tr2bl w:val="nil"/>
                  </w:tcBorders>
                  <w:vAlign w:val="center"/>
                </w:tcPr>
                <w:p w14:paraId="19F8BB80">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A1.1</w:t>
                  </w:r>
                  <w:r>
                    <w:rPr>
                      <w:rFonts w:hint="default" w:ascii="Times New Roman" w:hAnsi="Times New Roman" w:cs="Times New Roman"/>
                      <w:color w:val="auto"/>
                      <w:kern w:val="0"/>
                      <w:sz w:val="21"/>
                      <w:szCs w:val="21"/>
                      <w:highlight w:val="none"/>
                      <w:lang w:bidi="ar"/>
                    </w:rPr>
                    <w:t>禁止开发建设的活动</w:t>
                  </w:r>
                </w:p>
              </w:tc>
              <w:tc>
                <w:tcPr>
                  <w:tcW w:w="3401" w:type="dxa"/>
                  <w:tcBorders>
                    <w:tl2br w:val="nil"/>
                    <w:tr2bl w:val="nil"/>
                  </w:tcBorders>
                  <w:vAlign w:val="center"/>
                </w:tcPr>
                <w:p w14:paraId="763DD29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A1.1-1</w:t>
                  </w:r>
                  <w:r>
                    <w:rPr>
                      <w:rFonts w:hint="default" w:ascii="Times New Roman" w:hAnsi="Times New Roman" w:cs="Times New Roman"/>
                      <w:color w:val="auto"/>
                      <w:kern w:val="0"/>
                      <w:sz w:val="21"/>
                      <w:szCs w:val="21"/>
                      <w:highlight w:val="none"/>
                      <w:lang w:bidi="ar"/>
                    </w:rPr>
                    <w:t>〕禁止新建、扩建《产业结构调整指导目录</w:t>
                  </w:r>
                  <w:r>
                    <w:rPr>
                      <w:rStyle w:val="66"/>
                      <w:rFonts w:hint="default" w:ascii="Times New Roman" w:hAnsi="Times New Roman" w:cs="Times New Roman"/>
                      <w:color w:val="auto"/>
                      <w:sz w:val="21"/>
                      <w:szCs w:val="21"/>
                      <w:highlight w:val="none"/>
                      <w:lang w:bidi="ar"/>
                    </w:rPr>
                    <w:t>(2024</w:t>
                  </w:r>
                  <w:r>
                    <w:rPr>
                      <w:rFonts w:hint="default" w:ascii="Times New Roman" w:hAnsi="Times New Roman" w:cs="Times New Roman"/>
                      <w:color w:val="auto"/>
                      <w:kern w:val="0"/>
                      <w:sz w:val="21"/>
                      <w:szCs w:val="21"/>
                      <w:highlight w:val="none"/>
                      <w:lang w:bidi="ar"/>
                    </w:rPr>
                    <w:t>年本</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》中淘汰类项目。禁止引入《市场准入负面清单</w:t>
                  </w:r>
                  <w:r>
                    <w:rPr>
                      <w:rStyle w:val="66"/>
                      <w:rFonts w:hint="default" w:ascii="Times New Roman" w:hAnsi="Times New Roman" w:cs="Times New Roman"/>
                      <w:color w:val="auto"/>
                      <w:sz w:val="21"/>
                      <w:szCs w:val="21"/>
                      <w:highlight w:val="none"/>
                      <w:lang w:bidi="ar"/>
                    </w:rPr>
                    <w:t>(2022</w:t>
                  </w:r>
                  <w:r>
                    <w:rPr>
                      <w:rFonts w:hint="default" w:ascii="Times New Roman" w:hAnsi="Times New Roman" w:cs="Times New Roman"/>
                      <w:color w:val="auto"/>
                      <w:kern w:val="0"/>
                      <w:sz w:val="21"/>
                      <w:szCs w:val="21"/>
                      <w:highlight w:val="none"/>
                      <w:lang w:bidi="ar"/>
                    </w:rPr>
                    <w:t>年版</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》禁止准入类事项。</w:t>
                  </w:r>
                </w:p>
              </w:tc>
              <w:tc>
                <w:tcPr>
                  <w:tcW w:w="1482" w:type="dxa"/>
                  <w:tcBorders>
                    <w:tl2br w:val="nil"/>
                    <w:tr2bl w:val="nil"/>
                  </w:tcBorders>
                  <w:noWrap/>
                  <w:vAlign w:val="center"/>
                </w:tcPr>
                <w:p w14:paraId="3CC615A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本项目不属于</w:t>
                  </w:r>
                  <w:r>
                    <w:rPr>
                      <w:rFonts w:hint="default" w:ascii="Times New Roman" w:hAnsi="Times New Roman" w:cs="Times New Roman"/>
                      <w:color w:val="auto"/>
                      <w:kern w:val="0"/>
                      <w:sz w:val="21"/>
                      <w:szCs w:val="21"/>
                      <w:highlight w:val="none"/>
                      <w:lang w:bidi="ar"/>
                    </w:rPr>
                    <w:t>《产业结构调整指导目录</w:t>
                  </w:r>
                  <w:r>
                    <w:rPr>
                      <w:rStyle w:val="66"/>
                      <w:rFonts w:hint="default" w:ascii="Times New Roman" w:hAnsi="Times New Roman" w:cs="Times New Roman"/>
                      <w:color w:val="auto"/>
                      <w:sz w:val="21"/>
                      <w:szCs w:val="21"/>
                      <w:highlight w:val="none"/>
                      <w:lang w:bidi="ar"/>
                    </w:rPr>
                    <w:t>(2024</w:t>
                  </w:r>
                  <w:r>
                    <w:rPr>
                      <w:rFonts w:hint="default" w:ascii="Times New Roman" w:hAnsi="Times New Roman" w:cs="Times New Roman"/>
                      <w:color w:val="auto"/>
                      <w:kern w:val="0"/>
                      <w:sz w:val="21"/>
                      <w:szCs w:val="21"/>
                      <w:highlight w:val="none"/>
                      <w:lang w:bidi="ar"/>
                    </w:rPr>
                    <w:t>年本</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》中淘汰类项目</w:t>
                  </w:r>
                </w:p>
              </w:tc>
              <w:tc>
                <w:tcPr>
                  <w:tcW w:w="876" w:type="dxa"/>
                  <w:tcBorders>
                    <w:tl2br w:val="nil"/>
                    <w:tr2bl w:val="nil"/>
                  </w:tcBorders>
                  <w:noWrap/>
                  <w:vAlign w:val="center"/>
                </w:tcPr>
                <w:p w14:paraId="16394CC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1C9CB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5F302EB">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6C3C463">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F52140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A1.1-2</w:t>
                  </w:r>
                  <w:r>
                    <w:rPr>
                      <w:rFonts w:hint="default" w:ascii="Times New Roman" w:hAnsi="Times New Roman" w:cs="Times New Roman"/>
                      <w:color w:val="auto"/>
                      <w:kern w:val="0"/>
                      <w:sz w:val="21"/>
                      <w:szCs w:val="21"/>
                      <w:highlight w:val="none"/>
                      <w:lang w:bidi="ar"/>
                    </w:rPr>
                    <w:t>〕禁止建设不符合国家和自治区环境保护标准的项目。</w:t>
                  </w:r>
                </w:p>
              </w:tc>
              <w:tc>
                <w:tcPr>
                  <w:tcW w:w="1482" w:type="dxa"/>
                  <w:tcBorders>
                    <w:tl2br w:val="nil"/>
                    <w:tr2bl w:val="nil"/>
                  </w:tcBorders>
                  <w:noWrap/>
                  <w:vAlign w:val="center"/>
                </w:tcPr>
                <w:p w14:paraId="1AD8544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本项目为</w:t>
                  </w:r>
                  <w:r>
                    <w:rPr>
                      <w:rFonts w:hint="default" w:ascii="Times New Roman" w:hAnsi="Times New Roman" w:cs="Times New Roman"/>
                      <w:color w:val="auto"/>
                      <w:sz w:val="21"/>
                      <w:szCs w:val="21"/>
                      <w:highlight w:val="none"/>
                      <w:lang w:eastAsia="zh-CN"/>
                    </w:rPr>
                    <w:t>塑料薄膜制造项目</w:t>
                  </w:r>
                  <w:r>
                    <w:rPr>
                      <w:rFonts w:hint="default" w:ascii="Times New Roman" w:hAnsi="Times New Roman" w:cs="Times New Roman"/>
                      <w:color w:val="auto"/>
                      <w:sz w:val="21"/>
                      <w:szCs w:val="21"/>
                      <w:highlight w:val="none"/>
                    </w:rPr>
                    <w:t>，不属于</w:t>
                  </w:r>
                  <w:r>
                    <w:rPr>
                      <w:rFonts w:hint="default" w:ascii="Times New Roman" w:hAnsi="Times New Roman" w:cs="Times New Roman"/>
                      <w:color w:val="auto"/>
                      <w:kern w:val="0"/>
                      <w:sz w:val="21"/>
                      <w:szCs w:val="21"/>
                      <w:highlight w:val="none"/>
                      <w:lang w:bidi="ar"/>
                    </w:rPr>
                    <w:t>不符合国家和自治区环境保护标准的项目</w:t>
                  </w:r>
                </w:p>
              </w:tc>
              <w:tc>
                <w:tcPr>
                  <w:tcW w:w="876" w:type="dxa"/>
                  <w:tcBorders>
                    <w:tl2br w:val="nil"/>
                    <w:tr2bl w:val="nil"/>
                  </w:tcBorders>
                  <w:noWrap/>
                  <w:vAlign w:val="center"/>
                </w:tcPr>
                <w:p w14:paraId="7826C11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4EC99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58145CA">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B5F29B5">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CCFCEA2">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A1.1-3</w:t>
                  </w:r>
                  <w:r>
                    <w:rPr>
                      <w:rFonts w:hint="default" w:ascii="Times New Roman" w:hAnsi="Times New Roman" w:cs="Times New Roman"/>
                      <w:color w:val="auto"/>
                      <w:kern w:val="0"/>
                      <w:sz w:val="21"/>
                      <w:szCs w:val="21"/>
                      <w:highlight w:val="none"/>
                      <w:lang w:bidi="ar"/>
                    </w:rPr>
                    <w:t>〕禁止在饮用水水源保护区、风景名胜区、自然保护区的核心区和缓冲区、城镇居民区、文化教育科学研究区等人口集中区域以及</w:t>
                  </w:r>
                  <w:r>
                    <w:rPr>
                      <w:rFonts w:hint="default" w:ascii="Times New Roman" w:hAnsi="Times New Roman" w:cs="Times New Roman"/>
                      <w:color w:val="auto"/>
                      <w:kern w:val="0"/>
                      <w:sz w:val="21"/>
                      <w:szCs w:val="21"/>
                      <w:highlight w:val="none"/>
                      <w:lang w:eastAsia="zh-CN" w:bidi="ar"/>
                    </w:rPr>
                    <w:t>法律法规</w:t>
                  </w:r>
                  <w:r>
                    <w:rPr>
                      <w:rFonts w:hint="default" w:ascii="Times New Roman" w:hAnsi="Times New Roman" w:cs="Times New Roman"/>
                      <w:color w:val="auto"/>
                      <w:kern w:val="0"/>
                      <w:sz w:val="21"/>
                      <w:szCs w:val="21"/>
                      <w:highlight w:val="none"/>
                      <w:lang w:bidi="ar"/>
                    </w:rPr>
                    <w:t>规定的其他禁止养殖区域建设畜禽养殖场、养殖小区。</w:t>
                  </w:r>
                </w:p>
              </w:tc>
              <w:tc>
                <w:tcPr>
                  <w:tcW w:w="1482" w:type="dxa"/>
                  <w:tcBorders>
                    <w:tl2br w:val="nil"/>
                    <w:tr2bl w:val="nil"/>
                  </w:tcBorders>
                  <w:noWrap/>
                  <w:vAlign w:val="center"/>
                </w:tcPr>
                <w:p w14:paraId="5B36FA7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本项目不在</w:t>
                  </w:r>
                  <w:r>
                    <w:rPr>
                      <w:rFonts w:hint="default" w:ascii="Times New Roman" w:hAnsi="Times New Roman" w:cs="Times New Roman"/>
                      <w:color w:val="auto"/>
                      <w:kern w:val="0"/>
                      <w:sz w:val="21"/>
                      <w:szCs w:val="21"/>
                      <w:highlight w:val="none"/>
                      <w:lang w:bidi="ar"/>
                    </w:rPr>
                    <w:t>饮用水水源保护区、风景名胜区、自然保护区的核心区和缓冲区、城镇居民区、文化教育科学研究区等人口集中区域以及</w:t>
                  </w:r>
                  <w:r>
                    <w:rPr>
                      <w:rFonts w:hint="default" w:ascii="Times New Roman" w:hAnsi="Times New Roman" w:cs="Times New Roman"/>
                      <w:color w:val="auto"/>
                      <w:kern w:val="0"/>
                      <w:sz w:val="21"/>
                      <w:szCs w:val="21"/>
                      <w:highlight w:val="none"/>
                      <w:lang w:eastAsia="zh-CN" w:bidi="ar"/>
                    </w:rPr>
                    <w:t>法律法规</w:t>
                  </w:r>
                  <w:r>
                    <w:rPr>
                      <w:rFonts w:hint="default" w:ascii="Times New Roman" w:hAnsi="Times New Roman" w:cs="Times New Roman"/>
                      <w:color w:val="auto"/>
                      <w:kern w:val="0"/>
                      <w:sz w:val="21"/>
                      <w:szCs w:val="21"/>
                      <w:highlight w:val="none"/>
                      <w:lang w:bidi="ar"/>
                    </w:rPr>
                    <w:t>规定的其他禁止养殖区域建设畜禽养殖场、养殖小区建设，周边无敏感目标。</w:t>
                  </w:r>
                </w:p>
              </w:tc>
              <w:tc>
                <w:tcPr>
                  <w:tcW w:w="876" w:type="dxa"/>
                  <w:tcBorders>
                    <w:tl2br w:val="nil"/>
                    <w:tr2bl w:val="nil"/>
                  </w:tcBorders>
                  <w:noWrap/>
                  <w:vAlign w:val="center"/>
                </w:tcPr>
                <w:p w14:paraId="67326F8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07203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3C4FF32">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77EFCA7">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DAF643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A1.1-4</w:t>
                  </w:r>
                  <w:r>
                    <w:rPr>
                      <w:rFonts w:hint="default" w:ascii="Times New Roman" w:hAnsi="Times New Roman" w:cs="Times New Roman"/>
                      <w:color w:val="auto"/>
                      <w:kern w:val="0"/>
                      <w:sz w:val="21"/>
                      <w:szCs w:val="21"/>
                      <w:highlight w:val="none"/>
                      <w:lang w:bidi="ar"/>
                    </w:rPr>
                    <w:t>〕禁止在水源涵养区、地下水源、饮用水源、自然保护区、风景名胜区、森林公园、重要湿地及人群密集区等生态敏感区域内进行煤炭、石油、天然气开发。</w:t>
                  </w:r>
                </w:p>
              </w:tc>
              <w:tc>
                <w:tcPr>
                  <w:tcW w:w="1482" w:type="dxa"/>
                  <w:tcBorders>
                    <w:tl2br w:val="nil"/>
                    <w:tr2bl w:val="nil"/>
                  </w:tcBorders>
                  <w:noWrap/>
                  <w:vAlign w:val="center"/>
                </w:tcPr>
                <w:p w14:paraId="7CA3774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本项目不在水源涵养区、地下水源、饮用水源、自然保护区、风景名胜区、森林公园、重要湿地及人群密集区等生态敏感区域内进行煤炭、石油、天然气</w:t>
                  </w:r>
                  <w:r>
                    <w:rPr>
                      <w:rFonts w:hint="default" w:ascii="Times New Roman" w:hAnsi="Times New Roman" w:cs="Times New Roman"/>
                      <w:color w:val="auto"/>
                      <w:kern w:val="0"/>
                      <w:sz w:val="21"/>
                      <w:szCs w:val="21"/>
                      <w:highlight w:val="none"/>
                      <w:lang w:eastAsia="zh-CN" w:bidi="ar"/>
                    </w:rPr>
                    <w:t>开发区</w:t>
                  </w:r>
                  <w:r>
                    <w:rPr>
                      <w:rFonts w:hint="default" w:ascii="Times New Roman" w:hAnsi="Times New Roman" w:cs="Times New Roman"/>
                      <w:color w:val="auto"/>
                      <w:kern w:val="0"/>
                      <w:sz w:val="21"/>
                      <w:szCs w:val="21"/>
                      <w:highlight w:val="none"/>
                      <w:lang w:bidi="ar"/>
                    </w:rPr>
                    <w:t>建设。</w:t>
                  </w:r>
                </w:p>
              </w:tc>
              <w:tc>
                <w:tcPr>
                  <w:tcW w:w="876" w:type="dxa"/>
                  <w:tcBorders>
                    <w:tl2br w:val="nil"/>
                    <w:tr2bl w:val="nil"/>
                  </w:tcBorders>
                  <w:noWrap/>
                  <w:vAlign w:val="center"/>
                </w:tcPr>
                <w:p w14:paraId="2622CF2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C2044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1001AA2">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C0A98D7">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0D96175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A1.1-5</w:t>
                  </w:r>
                  <w:r>
                    <w:rPr>
                      <w:rFonts w:hint="default" w:ascii="Times New Roman" w:hAnsi="Times New Roman" w:cs="Times New Roman"/>
                      <w:color w:val="auto"/>
                      <w:kern w:val="0"/>
                      <w:sz w:val="21"/>
                      <w:szCs w:val="21"/>
                      <w:highlight w:val="none"/>
                      <w:lang w:bidi="ar"/>
                    </w:rPr>
                    <w:t>〕禁止下列破坏湿地及其生态功能的行为：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一</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开</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围</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垦、排干自然湿地，永久性截断自然湿地水源：</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二</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擅自填埋自然湿地，擅自采砂、采矿、取土；</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三</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排放不符合水污染物排放标准的工业废水、生活污水及其他污染湿地的废水、污水，倾倒、堆放、丢弃、遗撒固体废物</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四</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过度放牧或者滥采野生植物，过度捕捞或者灭绝式捕捞，过度施肥、投药、投放饵料等污染湿地的种植养殖行为；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五</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其他破坏湿地及其生态功能的行为。</w:t>
                  </w:r>
                </w:p>
              </w:tc>
              <w:tc>
                <w:tcPr>
                  <w:tcW w:w="1482" w:type="dxa"/>
                  <w:tcBorders>
                    <w:tl2br w:val="nil"/>
                    <w:tr2bl w:val="nil"/>
                  </w:tcBorders>
                  <w:noWrap/>
                  <w:vAlign w:val="center"/>
                </w:tcPr>
                <w:p w14:paraId="520B51E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75111B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4C1FA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1CEF2D33">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1EA5B833">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698389E">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1482" w:type="dxa"/>
                  <w:tcBorders>
                    <w:tl2br w:val="nil"/>
                    <w:tr2bl w:val="nil"/>
                  </w:tcBorders>
                  <w:noWrap/>
                  <w:vAlign w:val="center"/>
                </w:tcPr>
                <w:p w14:paraId="28C0F9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本项目属于</w:t>
                  </w:r>
                  <w:r>
                    <w:rPr>
                      <w:rFonts w:hint="default" w:ascii="Times New Roman" w:hAnsi="Times New Roman" w:cs="Times New Roman"/>
                      <w:color w:val="auto"/>
                      <w:sz w:val="21"/>
                      <w:szCs w:val="21"/>
                      <w:highlight w:val="none"/>
                      <w:lang w:eastAsia="zh-CN"/>
                    </w:rPr>
                    <w:t>塑料薄膜制造项目</w:t>
                  </w:r>
                  <w:r>
                    <w:rPr>
                      <w:rFonts w:hint="default" w:ascii="Times New Roman" w:hAnsi="Times New Roman" w:cs="Times New Roman"/>
                      <w:color w:val="auto"/>
                      <w:sz w:val="21"/>
                      <w:szCs w:val="21"/>
                      <w:highlight w:val="none"/>
                    </w:rPr>
                    <w:t>，本项目不属于</w:t>
                  </w:r>
                  <w:r>
                    <w:rPr>
                      <w:rFonts w:hint="default" w:ascii="Times New Roman" w:hAnsi="Times New Roman" w:cs="Times New Roman"/>
                      <w:color w:val="auto"/>
                      <w:kern w:val="0"/>
                      <w:sz w:val="21"/>
                      <w:szCs w:val="21"/>
                      <w:highlight w:val="none"/>
                      <w:lang w:bidi="ar"/>
                    </w:rPr>
                    <w:t>高污染</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排放</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、高能</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水</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耗、高环境风险的工业项目。</w:t>
                  </w:r>
                </w:p>
              </w:tc>
              <w:tc>
                <w:tcPr>
                  <w:tcW w:w="876" w:type="dxa"/>
                  <w:tcBorders>
                    <w:tl2br w:val="nil"/>
                    <w:tr2bl w:val="nil"/>
                  </w:tcBorders>
                  <w:noWrap/>
                  <w:vAlign w:val="center"/>
                </w:tcPr>
                <w:p w14:paraId="0E238C1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A48E9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0C4A5F3">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31F302C">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E87DA1B">
                  <w:pPr>
                    <w:widowControl/>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A1.1-7〕①坚决遏制高耗能高排放低水平项目盲目发展。严把高耗能高排放低水平项目准入关口，严格落实污染物排放区域削减要求，对不符合规定的项目坚决停批停建。依法依规淘汰落后产能和化解过剩产能。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tc>
              <w:tc>
                <w:tcPr>
                  <w:tcW w:w="1482" w:type="dxa"/>
                  <w:tcBorders>
                    <w:tl2br w:val="nil"/>
                    <w:tr2bl w:val="nil"/>
                  </w:tcBorders>
                  <w:noWrap/>
                  <w:vAlign w:val="center"/>
                </w:tcPr>
                <w:p w14:paraId="4CC71AA5">
                  <w:pPr>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sz w:val="21"/>
                      <w:szCs w:val="21"/>
                      <w:highlight w:val="none"/>
                    </w:rPr>
                    <w:t>①本项目不属于</w:t>
                  </w:r>
                  <w:r>
                    <w:rPr>
                      <w:rFonts w:hint="default" w:ascii="Times New Roman" w:hAnsi="Times New Roman" w:cs="Times New Roman"/>
                      <w:color w:val="auto"/>
                      <w:kern w:val="0"/>
                      <w:sz w:val="21"/>
                      <w:szCs w:val="21"/>
                      <w:highlight w:val="none"/>
                      <w:lang w:bidi="ar"/>
                    </w:rPr>
                    <w:t>淘汰落后产能项目；</w:t>
                  </w:r>
                </w:p>
                <w:p w14:paraId="0D5607CF">
                  <w:pPr>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②</w:t>
                  </w:r>
                  <w:r>
                    <w:rPr>
                      <w:rFonts w:hint="default" w:ascii="Times New Roman" w:hAnsi="Times New Roman" w:cs="Times New Roman"/>
                      <w:color w:val="auto"/>
                      <w:sz w:val="21"/>
                      <w:szCs w:val="21"/>
                      <w:highlight w:val="none"/>
                    </w:rPr>
                    <w:t>本项目不属于</w:t>
                  </w:r>
                  <w:r>
                    <w:rPr>
                      <w:rFonts w:hint="default" w:ascii="Times New Roman" w:hAnsi="Times New Roman" w:cs="Times New Roman"/>
                      <w:color w:val="auto"/>
                      <w:kern w:val="0"/>
                      <w:sz w:val="21"/>
                      <w:szCs w:val="21"/>
                      <w:highlight w:val="none"/>
                      <w:lang w:bidi="ar"/>
                    </w:rPr>
                    <w:t>重点行业；</w:t>
                  </w:r>
                </w:p>
              </w:tc>
              <w:tc>
                <w:tcPr>
                  <w:tcW w:w="876" w:type="dxa"/>
                  <w:tcBorders>
                    <w:tl2br w:val="nil"/>
                    <w:tr2bl w:val="nil"/>
                  </w:tcBorders>
                  <w:noWrap/>
                  <w:vAlign w:val="center"/>
                </w:tcPr>
                <w:p w14:paraId="387637D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25963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4A440DFB">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2FD935F1">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AF73DA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A1.1-8</w:t>
                  </w:r>
                  <w:r>
                    <w:rPr>
                      <w:rFonts w:hint="default" w:ascii="Times New Roman" w:hAnsi="Times New Roman" w:cs="Times New Roman"/>
                      <w:color w:val="auto"/>
                      <w:kern w:val="0"/>
                      <w:sz w:val="21"/>
                      <w:szCs w:val="21"/>
                      <w:highlight w:val="none"/>
                      <w:lang w:bidi="ar"/>
                    </w:rPr>
                    <w:t>〕严格执行危险化学品</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禁限控</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目录，新建危险化学品生产项目必须进入一般或较低安全风险的化工园区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与其他行业生产装置配套建设的项目除外</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引导其他石化化工项目在化工园区发展。</w:t>
                  </w:r>
                </w:p>
              </w:tc>
              <w:tc>
                <w:tcPr>
                  <w:tcW w:w="1482" w:type="dxa"/>
                  <w:tcBorders>
                    <w:tl2br w:val="nil"/>
                    <w:tr2bl w:val="nil"/>
                  </w:tcBorders>
                  <w:noWrap/>
                  <w:vAlign w:val="center"/>
                </w:tcPr>
                <w:p w14:paraId="3A045CF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46E9BB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BBBE6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A54782B">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592E50A">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F6954D2">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A1.1-9</w:t>
                  </w:r>
                  <w:r>
                    <w:rPr>
                      <w:rFonts w:hint="default" w:ascii="Times New Roman" w:hAnsi="Times New Roman" w:cs="Times New Roman"/>
                      <w:color w:val="auto"/>
                      <w:kern w:val="0"/>
                      <w:sz w:val="21"/>
                      <w:szCs w:val="21"/>
                      <w:highlight w:val="none"/>
                      <w:lang w:bidi="ar"/>
                    </w:rPr>
                    <w:t>〕严禁新建自治区《禁止、控制和限制危险化学品目录》中淘汰类、禁止类危险化学品化工项目。严格执行生态保护红线、永久基本农田管控要求，禁止新</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改、扩</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建化工项目违规占用生态保护红线和永久基本农田。在塔里木河、伊犁河、额尔齐斯河干流及主要支流岸线</w:t>
                  </w:r>
                  <w:r>
                    <w:rPr>
                      <w:rStyle w:val="66"/>
                      <w:rFonts w:hint="default" w:ascii="Times New Roman" w:hAnsi="Times New Roman" w:cs="Times New Roman"/>
                      <w:color w:val="auto"/>
                      <w:sz w:val="21"/>
                      <w:szCs w:val="21"/>
                      <w:highlight w:val="none"/>
                      <w:lang w:bidi="ar"/>
                    </w:rPr>
                    <w:t>1</w:t>
                  </w:r>
                  <w:r>
                    <w:rPr>
                      <w:rFonts w:hint="default" w:ascii="Times New Roman" w:hAnsi="Times New Roman" w:cs="Times New Roman"/>
                      <w:color w:val="auto"/>
                      <w:kern w:val="0"/>
                      <w:sz w:val="21"/>
                      <w:szCs w:val="21"/>
                      <w:highlight w:val="none"/>
                      <w:lang w:bidi="ar"/>
                    </w:rPr>
                    <w:t>公里范围内，除提升安全、环保、节能、智能化、产品质量水平的技术改造项目外，严格禁止新建、扩建化工项目，不得布局新的化工园区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含化工集中区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w:t>
                  </w:r>
                </w:p>
              </w:tc>
              <w:tc>
                <w:tcPr>
                  <w:tcW w:w="1482" w:type="dxa"/>
                  <w:tcBorders>
                    <w:tl2br w:val="nil"/>
                    <w:tr2bl w:val="nil"/>
                  </w:tcBorders>
                  <w:noWrap/>
                  <w:vAlign w:val="center"/>
                </w:tcPr>
                <w:p w14:paraId="36E7F23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7B4471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9FDC5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42878237">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39B4228">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645F1F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A1.1-10</w:t>
                  </w:r>
                  <w:r>
                    <w:rPr>
                      <w:rFonts w:hint="default" w:ascii="Times New Roman" w:hAnsi="Times New Roman" w:cs="Times New Roman"/>
                      <w:color w:val="auto"/>
                      <w:kern w:val="0"/>
                      <w:sz w:val="21"/>
                      <w:szCs w:val="21"/>
                      <w:highlight w:val="none"/>
                      <w:lang w:bidi="ar"/>
                    </w:rPr>
                    <w:t>〕推动涉重金属产业集中优化发展，禁止新建用汞的电石法</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聚</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氯乙烯生产工艺，新建、扩建的重有色金属冶炼、电镀、制革企业优先选择布设在依法合规设立并依法开展规划环境影响评价的产业园区。</w:t>
                  </w:r>
                </w:p>
              </w:tc>
              <w:tc>
                <w:tcPr>
                  <w:tcW w:w="1482" w:type="dxa"/>
                  <w:tcBorders>
                    <w:tl2br w:val="nil"/>
                    <w:tr2bl w:val="nil"/>
                  </w:tcBorders>
                  <w:noWrap/>
                  <w:vAlign w:val="center"/>
                </w:tcPr>
                <w:p w14:paraId="5461619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重金属产业</w:t>
                  </w:r>
                </w:p>
              </w:tc>
              <w:tc>
                <w:tcPr>
                  <w:tcW w:w="876" w:type="dxa"/>
                  <w:tcBorders>
                    <w:tl2br w:val="nil"/>
                    <w:tr2bl w:val="nil"/>
                  </w:tcBorders>
                  <w:noWrap/>
                  <w:vAlign w:val="center"/>
                </w:tcPr>
                <w:p w14:paraId="36EA6A5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60CEF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77C4CF8">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6A1C578">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72184B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A1.1-11</w:t>
                  </w:r>
                  <w:r>
                    <w:rPr>
                      <w:rFonts w:hint="default" w:ascii="Times New Roman" w:hAnsi="Times New Roman" w:cs="Times New Roman"/>
                      <w:color w:val="auto"/>
                      <w:kern w:val="0"/>
                      <w:sz w:val="21"/>
                      <w:szCs w:val="21"/>
                      <w:highlight w:val="none"/>
                      <w:lang w:bidi="ar"/>
                    </w:rPr>
                    <w:t>〕国务院有关部门和青藏高原县级以上地方人民政府应当建立健全青藏高原雪山冰川冻土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人民政府应当开展雪山冰川冻土与周边生态系统的协同保护，维持有利于雪山冰川冻土保护的自然生态环境。</w:t>
                  </w:r>
                </w:p>
              </w:tc>
              <w:tc>
                <w:tcPr>
                  <w:tcW w:w="1482" w:type="dxa"/>
                  <w:tcBorders>
                    <w:tl2br w:val="nil"/>
                    <w:tr2bl w:val="nil"/>
                  </w:tcBorders>
                  <w:noWrap/>
                  <w:vAlign w:val="center"/>
                </w:tcPr>
                <w:p w14:paraId="1BECCDD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66A0E8B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1CC26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94FC998">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04F5BB57">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A1.2</w:t>
                  </w:r>
                  <w:r>
                    <w:rPr>
                      <w:rFonts w:hint="default" w:ascii="Times New Roman" w:hAnsi="Times New Roman" w:cs="Times New Roman"/>
                      <w:color w:val="auto"/>
                      <w:kern w:val="0"/>
                      <w:sz w:val="21"/>
                      <w:szCs w:val="21"/>
                      <w:highlight w:val="none"/>
                      <w:lang w:bidi="ar"/>
                    </w:rPr>
                    <w:t>限制开发建设的活动</w:t>
                  </w:r>
                </w:p>
              </w:tc>
              <w:tc>
                <w:tcPr>
                  <w:tcW w:w="3401" w:type="dxa"/>
                  <w:tcBorders>
                    <w:tl2br w:val="nil"/>
                    <w:tr2bl w:val="nil"/>
                  </w:tcBorders>
                  <w:vAlign w:val="center"/>
                </w:tcPr>
                <w:p w14:paraId="6220BA77">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A1.2-1</w:t>
                  </w:r>
                  <w:r>
                    <w:rPr>
                      <w:rFonts w:hint="default" w:ascii="Times New Roman" w:hAnsi="Times New Roman" w:cs="Times New Roman"/>
                      <w:color w:val="auto"/>
                      <w:kern w:val="0"/>
                      <w:sz w:val="21"/>
                      <w:szCs w:val="21"/>
                      <w:highlight w:val="none"/>
                      <w:lang w:bidi="ar"/>
                    </w:rPr>
                    <w:t>〕严格控制缺水地区、水污染严重区域和敏感区域高耗水、高污染行业发展。</w:t>
                  </w:r>
                </w:p>
              </w:tc>
              <w:tc>
                <w:tcPr>
                  <w:tcW w:w="1482" w:type="dxa"/>
                  <w:tcBorders>
                    <w:tl2br w:val="nil"/>
                    <w:tr2bl w:val="nil"/>
                  </w:tcBorders>
                  <w:noWrap/>
                  <w:vAlign w:val="center"/>
                </w:tcPr>
                <w:p w14:paraId="1C9E5A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本项目属于</w:t>
                  </w:r>
                  <w:r>
                    <w:rPr>
                      <w:rFonts w:hint="default" w:ascii="Times New Roman" w:hAnsi="Times New Roman" w:cs="Times New Roman"/>
                      <w:color w:val="auto"/>
                      <w:sz w:val="21"/>
                      <w:szCs w:val="21"/>
                      <w:highlight w:val="none"/>
                      <w:lang w:eastAsia="zh-CN"/>
                    </w:rPr>
                    <w:t>塑料薄膜制造项目</w:t>
                  </w:r>
                  <w:r>
                    <w:rPr>
                      <w:rFonts w:hint="default" w:ascii="Times New Roman" w:hAnsi="Times New Roman" w:cs="Times New Roman"/>
                      <w:color w:val="auto"/>
                      <w:sz w:val="21"/>
                      <w:szCs w:val="21"/>
                      <w:highlight w:val="none"/>
                    </w:rPr>
                    <w:t>，项目不属于</w:t>
                  </w:r>
                  <w:r>
                    <w:rPr>
                      <w:rFonts w:hint="default" w:ascii="Times New Roman" w:hAnsi="Times New Roman" w:cs="Times New Roman"/>
                      <w:color w:val="auto"/>
                      <w:kern w:val="0"/>
                      <w:sz w:val="21"/>
                      <w:szCs w:val="21"/>
                      <w:highlight w:val="none"/>
                      <w:lang w:bidi="ar"/>
                    </w:rPr>
                    <w:t>高污染</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排放</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、高能</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水</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耗、高环境风险的工业项目。</w:t>
                  </w:r>
                </w:p>
              </w:tc>
              <w:tc>
                <w:tcPr>
                  <w:tcW w:w="876" w:type="dxa"/>
                  <w:tcBorders>
                    <w:tl2br w:val="nil"/>
                    <w:tr2bl w:val="nil"/>
                  </w:tcBorders>
                  <w:noWrap/>
                  <w:vAlign w:val="center"/>
                </w:tcPr>
                <w:p w14:paraId="0201956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7A174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FFEC5B1">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BF2F57C">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2C07C4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A1.2-2</w:t>
                  </w:r>
                  <w:r>
                    <w:rPr>
                      <w:rFonts w:hint="default" w:ascii="Times New Roman" w:hAnsi="Times New Roman" w:cs="Times New Roman"/>
                      <w:color w:val="auto"/>
                      <w:kern w:val="0"/>
                      <w:sz w:val="21"/>
                      <w:szCs w:val="21"/>
                      <w:highlight w:val="none"/>
                      <w:lang w:bidi="ar"/>
                    </w:rPr>
                    <w:t>〕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482" w:type="dxa"/>
                  <w:tcBorders>
                    <w:tl2br w:val="nil"/>
                    <w:tr2bl w:val="nil"/>
                  </w:tcBorders>
                  <w:noWrap/>
                  <w:vAlign w:val="center"/>
                </w:tcPr>
                <w:p w14:paraId="6D6B73C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4E463D1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C9D97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08048BA7">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16E31A7">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B739F0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A1.2-3</w:t>
                  </w:r>
                  <w:r>
                    <w:rPr>
                      <w:rFonts w:hint="default" w:ascii="Times New Roman" w:hAnsi="Times New Roman" w:cs="Times New Roman"/>
                      <w:color w:val="auto"/>
                      <w:kern w:val="0"/>
                      <w:sz w:val="21"/>
                      <w:szCs w:val="21"/>
                      <w:highlight w:val="none"/>
                      <w:lang w:bidi="ar"/>
                    </w:rPr>
                    <w:t>〕以用途变更为住宅、公共管理与公共服务用地的地块为重点，严格建设用地准入管理和风险管控，未依法完成土壤污染状况调查或风险评估的地块，不得开工建设与风险管控和修复无关的项目。</w:t>
                  </w:r>
                </w:p>
              </w:tc>
              <w:tc>
                <w:tcPr>
                  <w:tcW w:w="1482" w:type="dxa"/>
                  <w:tcBorders>
                    <w:tl2br w:val="nil"/>
                    <w:tr2bl w:val="nil"/>
                  </w:tcBorders>
                  <w:noWrap/>
                  <w:vAlign w:val="center"/>
                </w:tcPr>
                <w:p w14:paraId="4DA95ED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75A8ED1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8FCE9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4D84F81">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296EEDB1">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1FA1737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A1.2-4</w:t>
                  </w:r>
                  <w:r>
                    <w:rPr>
                      <w:rFonts w:hint="default" w:ascii="Times New Roman" w:hAnsi="Times New Roman" w:cs="Times New Roman"/>
                      <w:color w:val="auto"/>
                      <w:kern w:val="0"/>
                      <w:sz w:val="21"/>
                      <w:szCs w:val="21"/>
                      <w:highlight w:val="none"/>
                      <w:lang w:bidi="ar"/>
                    </w:rPr>
                    <w:t>〕严格控制建设项目占用湿地。因国家和自治区重点建设工程、基础设施建设，以及重点公益性项目建设，确需占用湿地的，应当按照有关</w:t>
                  </w:r>
                  <w:r>
                    <w:rPr>
                      <w:rFonts w:hint="default" w:ascii="Times New Roman" w:hAnsi="Times New Roman" w:cs="Times New Roman"/>
                      <w:color w:val="auto"/>
                      <w:kern w:val="0"/>
                      <w:sz w:val="21"/>
                      <w:szCs w:val="21"/>
                      <w:highlight w:val="none"/>
                      <w:lang w:eastAsia="zh-CN" w:bidi="ar"/>
                    </w:rPr>
                    <w:t>法律法规</w:t>
                  </w:r>
                  <w:r>
                    <w:rPr>
                      <w:rFonts w:hint="default" w:ascii="Times New Roman" w:hAnsi="Times New Roman" w:cs="Times New Roman"/>
                      <w:color w:val="auto"/>
                      <w:kern w:val="0"/>
                      <w:sz w:val="21"/>
                      <w:szCs w:val="21"/>
                      <w:highlight w:val="none"/>
                      <w:lang w:bidi="ar"/>
                    </w:rPr>
                    <w:t>规定的权限和程序办理批准手续。</w:t>
                  </w:r>
                </w:p>
              </w:tc>
              <w:tc>
                <w:tcPr>
                  <w:tcW w:w="1482" w:type="dxa"/>
                  <w:tcBorders>
                    <w:tl2br w:val="nil"/>
                    <w:tr2bl w:val="nil"/>
                  </w:tcBorders>
                  <w:noWrap/>
                  <w:vAlign w:val="center"/>
                </w:tcPr>
                <w:p w14:paraId="0FD6B59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3B00CE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E2F27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09A5C10C">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6EBAE72">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0A901107">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A1.2-5</w:t>
                  </w:r>
                  <w:r>
                    <w:rPr>
                      <w:rFonts w:hint="default" w:ascii="Times New Roman" w:hAnsi="Times New Roman" w:cs="Times New Roman"/>
                      <w:color w:val="auto"/>
                      <w:kern w:val="0"/>
                      <w:sz w:val="21"/>
                      <w:szCs w:val="21"/>
                      <w:highlight w:val="none"/>
                      <w:lang w:bidi="ar"/>
                    </w:rPr>
                    <w:t>〕严格管控自然保护地范围内非生态活动，稳妥推进核心区内居民、耕地有序退出，矿权依法依规退出。</w:t>
                  </w:r>
                </w:p>
              </w:tc>
              <w:tc>
                <w:tcPr>
                  <w:tcW w:w="1482" w:type="dxa"/>
                  <w:tcBorders>
                    <w:tl2br w:val="nil"/>
                    <w:tr2bl w:val="nil"/>
                  </w:tcBorders>
                  <w:noWrap/>
                  <w:vAlign w:val="center"/>
                </w:tcPr>
                <w:p w14:paraId="53E9E3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4EBE1B6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4F94C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1FCBA23">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777D9D83">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A1.3</w:t>
                  </w:r>
                  <w:r>
                    <w:rPr>
                      <w:rFonts w:hint="default" w:ascii="Times New Roman" w:hAnsi="Times New Roman" w:cs="Times New Roman"/>
                      <w:color w:val="auto"/>
                      <w:kern w:val="0"/>
                      <w:sz w:val="21"/>
                      <w:szCs w:val="21"/>
                      <w:highlight w:val="none"/>
                      <w:lang w:bidi="ar"/>
                    </w:rPr>
                    <w:t>不符合空间布局要求活动的退出要求</w:t>
                  </w:r>
                </w:p>
              </w:tc>
              <w:tc>
                <w:tcPr>
                  <w:tcW w:w="3401" w:type="dxa"/>
                  <w:tcBorders>
                    <w:tl2br w:val="nil"/>
                    <w:tr2bl w:val="nil"/>
                  </w:tcBorders>
                  <w:vAlign w:val="center"/>
                </w:tcPr>
                <w:p w14:paraId="2910B1C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A1.3-1</w:t>
                  </w:r>
                  <w:r>
                    <w:rPr>
                      <w:rFonts w:hint="default" w:ascii="Times New Roman" w:hAnsi="Times New Roman" w:cs="Times New Roman"/>
                      <w:color w:val="auto"/>
                      <w:kern w:val="0"/>
                      <w:sz w:val="21"/>
                      <w:szCs w:val="21"/>
                      <w:highlight w:val="none"/>
                      <w:lang w:bidi="ar"/>
                    </w:rPr>
                    <w:t>〕任何单位和个人不得在水源涵养区、饮用水水源保护区内和河流、湖泊、水库周围建设重化工、涉重金属等工业污染项目；对已建成的工业污染项目，当地人民政府应当组织限期搬迁。</w:t>
                  </w:r>
                </w:p>
              </w:tc>
              <w:tc>
                <w:tcPr>
                  <w:tcW w:w="1482" w:type="dxa"/>
                  <w:tcBorders>
                    <w:tl2br w:val="nil"/>
                    <w:tr2bl w:val="nil"/>
                  </w:tcBorders>
                  <w:noWrap/>
                  <w:vAlign w:val="center"/>
                </w:tcPr>
                <w:p w14:paraId="0080536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60BFD1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E9A86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0AF5B436">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F0F4174">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74EBDB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A1.3-2</w:t>
                  </w:r>
                  <w:r>
                    <w:rPr>
                      <w:rFonts w:hint="default" w:ascii="Times New Roman" w:hAnsi="Times New Roman" w:cs="Times New Roman"/>
                      <w:color w:val="auto"/>
                      <w:kern w:val="0"/>
                      <w:sz w:val="21"/>
                      <w:szCs w:val="21"/>
                      <w:highlight w:val="none"/>
                      <w:lang w:bidi="ar"/>
                    </w:rPr>
                    <w:t>〕对不符合国家产业政策、严重污染水环境的生产项目全部予以取缔。</w:t>
                  </w:r>
                </w:p>
              </w:tc>
              <w:tc>
                <w:tcPr>
                  <w:tcW w:w="1482" w:type="dxa"/>
                  <w:tcBorders>
                    <w:tl2br w:val="nil"/>
                    <w:tr2bl w:val="nil"/>
                  </w:tcBorders>
                  <w:noWrap/>
                  <w:vAlign w:val="center"/>
                </w:tcPr>
                <w:p w14:paraId="02D095E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714A8C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897CE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92E4D4E">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0587FBA">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E28ECF8">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A1.3-3</w:t>
                  </w:r>
                  <w:r>
                    <w:rPr>
                      <w:rFonts w:hint="default" w:ascii="Times New Roman" w:hAnsi="Times New Roman" w:cs="Times New Roman"/>
                      <w:color w:val="auto"/>
                      <w:kern w:val="0"/>
                      <w:sz w:val="21"/>
                      <w:szCs w:val="21"/>
                      <w:highlight w:val="none"/>
                      <w:lang w:bidi="ar"/>
                    </w:rPr>
                    <w:t>〕根据《产业结构调整指导目录》《限期淘汰产生严重污染环境的工业固体废物的落后生产工艺设备名录》等要求，配合有关部门依法淘汰烧结</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鼓风炉炼铅工艺炼铅等涉重金属落后产能和化解过剩产能。严格执行生态环境保护等相关法规标准，推动经整改仍达不到要求的产能依法依规关闭退出。</w:t>
                  </w:r>
                </w:p>
              </w:tc>
              <w:tc>
                <w:tcPr>
                  <w:tcW w:w="1482" w:type="dxa"/>
                  <w:tcBorders>
                    <w:tl2br w:val="nil"/>
                    <w:tr2bl w:val="nil"/>
                  </w:tcBorders>
                  <w:noWrap/>
                  <w:vAlign w:val="center"/>
                </w:tcPr>
                <w:p w14:paraId="4317BD3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重金属落后产能和化解过剩产能</w:t>
                  </w:r>
                </w:p>
              </w:tc>
              <w:tc>
                <w:tcPr>
                  <w:tcW w:w="876" w:type="dxa"/>
                  <w:tcBorders>
                    <w:tl2br w:val="nil"/>
                    <w:tr2bl w:val="nil"/>
                  </w:tcBorders>
                  <w:noWrap/>
                  <w:vAlign w:val="center"/>
                </w:tcPr>
                <w:p w14:paraId="00C38A2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E1388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2D86BF9">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3B2EBFF">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2148CD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A1.3-4</w:t>
                  </w:r>
                  <w:r>
                    <w:rPr>
                      <w:rFonts w:hint="default" w:ascii="Times New Roman" w:hAnsi="Times New Roman" w:cs="Times New Roman"/>
                      <w:color w:val="auto"/>
                      <w:kern w:val="0"/>
                      <w:sz w:val="21"/>
                      <w:szCs w:val="21"/>
                      <w:highlight w:val="none"/>
                      <w:lang w:bidi="ar"/>
                    </w:rPr>
                    <w:t>〕城市建成区、重点流域内已建成投产化工企业和危险化学品生产企业应加快退城入园，搬入化工园区前企业不应实施改扩建工程扩大生产规模。</w:t>
                  </w:r>
                </w:p>
              </w:tc>
              <w:tc>
                <w:tcPr>
                  <w:tcW w:w="1482" w:type="dxa"/>
                  <w:tcBorders>
                    <w:tl2br w:val="nil"/>
                    <w:tr2bl w:val="nil"/>
                  </w:tcBorders>
                  <w:noWrap/>
                  <w:vAlign w:val="center"/>
                </w:tcPr>
                <w:p w14:paraId="496C3A4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8054AC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C984D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E672FF2">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47A73446">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A1.4</w:t>
                  </w:r>
                  <w:r>
                    <w:rPr>
                      <w:rFonts w:hint="default" w:ascii="Times New Roman" w:hAnsi="Times New Roman" w:cs="Times New Roman"/>
                      <w:color w:val="auto"/>
                      <w:kern w:val="0"/>
                      <w:sz w:val="21"/>
                      <w:szCs w:val="21"/>
                      <w:highlight w:val="none"/>
                      <w:lang w:bidi="ar"/>
                    </w:rPr>
                    <w:t>其它布局要求</w:t>
                  </w:r>
                </w:p>
              </w:tc>
              <w:tc>
                <w:tcPr>
                  <w:tcW w:w="3401" w:type="dxa"/>
                  <w:tcBorders>
                    <w:tl2br w:val="nil"/>
                    <w:tr2bl w:val="nil"/>
                  </w:tcBorders>
                  <w:vAlign w:val="center"/>
                </w:tcPr>
                <w:p w14:paraId="748D47B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A1.4-1</w:t>
                  </w:r>
                  <w:r>
                    <w:rPr>
                      <w:rFonts w:hint="default" w:ascii="Times New Roman" w:hAnsi="Times New Roman" w:cs="Times New Roman"/>
                      <w:color w:val="auto"/>
                      <w:kern w:val="0"/>
                      <w:sz w:val="21"/>
                      <w:szCs w:val="21"/>
                      <w:highlight w:val="none"/>
                      <w:lang w:bidi="ar"/>
                    </w:rPr>
                    <w:t>〕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482" w:type="dxa"/>
                  <w:tcBorders>
                    <w:tl2br w:val="nil"/>
                    <w:tr2bl w:val="nil"/>
                  </w:tcBorders>
                  <w:noWrap/>
                  <w:vAlign w:val="center"/>
                </w:tcPr>
                <w:p w14:paraId="6B04C2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309DB0E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A9794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9E8FC27">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2A1E4C3F">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75FCBD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A1.4-2</w:t>
                  </w:r>
                  <w:r>
                    <w:rPr>
                      <w:rFonts w:hint="default" w:ascii="Times New Roman" w:hAnsi="Times New Roman" w:cs="Times New Roman"/>
                      <w:color w:val="auto"/>
                      <w:kern w:val="0"/>
                      <w:sz w:val="21"/>
                      <w:szCs w:val="21"/>
                      <w:highlight w:val="none"/>
                      <w:lang w:bidi="ar"/>
                    </w:rPr>
                    <w:t>〕新建、扩建石化、化工、焦化、有色金属冶炼、平板玻璃项目应布设在依法合规设立并经规划环评的产业园区。</w:t>
                  </w:r>
                </w:p>
              </w:tc>
              <w:tc>
                <w:tcPr>
                  <w:tcW w:w="1482" w:type="dxa"/>
                  <w:tcBorders>
                    <w:tl2br w:val="nil"/>
                    <w:tr2bl w:val="nil"/>
                  </w:tcBorders>
                  <w:noWrap/>
                  <w:vAlign w:val="center"/>
                </w:tcPr>
                <w:p w14:paraId="611B4DA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6F7F88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798F1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4267D27">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39C33AA">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1A76A2DA">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A1.4-3</w:t>
                  </w:r>
                  <w:r>
                    <w:rPr>
                      <w:rFonts w:hint="default" w:ascii="Times New Roman" w:hAnsi="Times New Roman" w:cs="Times New Roman"/>
                      <w:color w:val="auto"/>
                      <w:kern w:val="0"/>
                      <w:sz w:val="21"/>
                      <w:szCs w:val="21"/>
                      <w:highlight w:val="none"/>
                      <w:lang w:bidi="ar"/>
                    </w:rPr>
                    <w:t>〕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1482" w:type="dxa"/>
                  <w:tcBorders>
                    <w:tl2br w:val="nil"/>
                    <w:tr2bl w:val="nil"/>
                  </w:tcBorders>
                  <w:noWrap/>
                  <w:vAlign w:val="center"/>
                </w:tcPr>
                <w:p w14:paraId="545251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750C655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41B7F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restart"/>
                  <w:tcBorders>
                    <w:tl2br w:val="nil"/>
                    <w:tr2bl w:val="nil"/>
                  </w:tcBorders>
                  <w:vAlign w:val="center"/>
                </w:tcPr>
                <w:p w14:paraId="417E6A13">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A2</w:t>
                  </w:r>
                  <w:r>
                    <w:rPr>
                      <w:rFonts w:hint="default" w:ascii="Times New Roman" w:hAnsi="Times New Roman" w:cs="Times New Roman"/>
                      <w:color w:val="auto"/>
                      <w:kern w:val="0"/>
                      <w:sz w:val="21"/>
                      <w:szCs w:val="21"/>
                      <w:highlight w:val="none"/>
                      <w:lang w:bidi="ar"/>
                    </w:rPr>
                    <w:t>污染物排放管控</w:t>
                  </w:r>
                </w:p>
              </w:tc>
              <w:tc>
                <w:tcPr>
                  <w:tcW w:w="364" w:type="dxa"/>
                  <w:vMerge w:val="restart"/>
                  <w:tcBorders>
                    <w:tl2br w:val="nil"/>
                    <w:tr2bl w:val="nil"/>
                  </w:tcBorders>
                  <w:vAlign w:val="center"/>
                </w:tcPr>
                <w:p w14:paraId="29B83E55">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A2.1</w:t>
                  </w:r>
                  <w:r>
                    <w:rPr>
                      <w:rFonts w:hint="default" w:ascii="Times New Roman" w:hAnsi="Times New Roman" w:cs="Times New Roman"/>
                      <w:color w:val="auto"/>
                      <w:kern w:val="0"/>
                      <w:sz w:val="21"/>
                      <w:szCs w:val="21"/>
                      <w:highlight w:val="none"/>
                      <w:lang w:bidi="ar"/>
                    </w:rPr>
                    <w:t>污染物削减</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替代要求</w:t>
                  </w:r>
                </w:p>
              </w:tc>
              <w:tc>
                <w:tcPr>
                  <w:tcW w:w="3401" w:type="dxa"/>
                  <w:tcBorders>
                    <w:tl2br w:val="nil"/>
                    <w:tr2bl w:val="nil"/>
                  </w:tcBorders>
                  <w:vAlign w:val="center"/>
                </w:tcPr>
                <w:p w14:paraId="1C3C1E25">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A2.1-1</w:t>
                  </w:r>
                  <w:r>
                    <w:rPr>
                      <w:rFonts w:hint="default" w:ascii="Times New Roman" w:hAnsi="Times New Roman" w:cs="Times New Roman"/>
                      <w:color w:val="auto"/>
                      <w:kern w:val="0"/>
                      <w:sz w:val="21"/>
                      <w:szCs w:val="21"/>
                      <w:highlight w:val="none"/>
                      <w:lang w:bidi="ar"/>
                    </w:rPr>
                    <w:t>〕新、改、扩建重点行业建设项目应符合</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三线一单</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、产业政策、区域环评、规划环评和行业环境准入管控要求。重点区域的新、改、扩建重点行业建设项目应遵循重点重金属污染物排放</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减量替代</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原则。</w:t>
                  </w:r>
                </w:p>
              </w:tc>
              <w:tc>
                <w:tcPr>
                  <w:tcW w:w="1482" w:type="dxa"/>
                  <w:tcBorders>
                    <w:tl2br w:val="nil"/>
                    <w:tr2bl w:val="nil"/>
                  </w:tcBorders>
                  <w:noWrap/>
                  <w:vAlign w:val="center"/>
                </w:tcPr>
                <w:p w14:paraId="495D2E0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6BCCD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FC0A7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0DE5C4EE">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2C0A292">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73299925">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A2.1-2</w:t>
                  </w:r>
                  <w:r>
                    <w:rPr>
                      <w:rFonts w:hint="default" w:ascii="Times New Roman" w:hAnsi="Times New Roman" w:cs="Times New Roman"/>
                      <w:color w:val="auto"/>
                      <w:kern w:val="0"/>
                      <w:sz w:val="21"/>
                      <w:szCs w:val="21"/>
                      <w:highlight w:val="none"/>
                      <w:lang w:bidi="ar"/>
                    </w:rPr>
                    <w:t>〕以石化、化工、涂装、医药、包装印刷、油品储运销等行业领域为重点，安全高效推进挥发性有机物综合治理，实施原辅材料和产品源头替代工程。</w:t>
                  </w:r>
                </w:p>
              </w:tc>
              <w:tc>
                <w:tcPr>
                  <w:tcW w:w="1482" w:type="dxa"/>
                  <w:tcBorders>
                    <w:tl2br w:val="nil"/>
                    <w:tr2bl w:val="nil"/>
                  </w:tcBorders>
                  <w:noWrap/>
                  <w:vAlign w:val="center"/>
                </w:tcPr>
                <w:p w14:paraId="1DE5260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7AF1226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DE862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CE3BF76">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834FAEA">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238AD65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A2.1-3</w:t>
                  </w:r>
                  <w:r>
                    <w:rPr>
                      <w:rFonts w:hint="default" w:ascii="Times New Roman" w:hAnsi="Times New Roman" w:cs="Times New Roman"/>
                      <w:color w:val="auto"/>
                      <w:kern w:val="0"/>
                      <w:sz w:val="21"/>
                      <w:szCs w:val="21"/>
                      <w:highlight w:val="none"/>
                      <w:lang w:bidi="ar"/>
                    </w:rPr>
                    <w:t>〕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tc>
              <w:tc>
                <w:tcPr>
                  <w:tcW w:w="1482" w:type="dxa"/>
                  <w:tcBorders>
                    <w:tl2br w:val="nil"/>
                    <w:tr2bl w:val="nil"/>
                  </w:tcBorders>
                  <w:noWrap/>
                  <w:vAlign w:val="center"/>
                </w:tcPr>
                <w:p w14:paraId="204CF69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439D8AF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258DA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71E2485">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A6BD975">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268240D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A2.1-4</w:t>
                  </w:r>
                  <w:r>
                    <w:rPr>
                      <w:rFonts w:hint="default" w:ascii="Times New Roman" w:hAnsi="Times New Roman" w:cs="Times New Roman"/>
                      <w:color w:val="auto"/>
                      <w:kern w:val="0"/>
                      <w:sz w:val="21"/>
                      <w:szCs w:val="21"/>
                      <w:highlight w:val="none"/>
                      <w:lang w:bidi="ar"/>
                    </w:rPr>
                    <w:t>〕严控建材、铸造、冶炼等行业无组织排放，推进石化、化工、涂装、医药、包装印刷、油品储运销等行业项目挥发性有机物</w:t>
                  </w:r>
                  <w:r>
                    <w:rPr>
                      <w:rStyle w:val="66"/>
                      <w:rFonts w:hint="default" w:ascii="Times New Roman" w:hAnsi="Times New Roman" w:cs="Times New Roman"/>
                      <w:color w:val="auto"/>
                      <w:sz w:val="21"/>
                      <w:szCs w:val="21"/>
                      <w:highlight w:val="none"/>
                      <w:lang w:bidi="ar"/>
                    </w:rPr>
                    <w:t>(</w:t>
                  </w:r>
                  <w:r>
                    <w:rPr>
                      <w:rStyle w:val="66"/>
                      <w:rFonts w:hint="default" w:ascii="Times New Roman" w:hAnsi="Times New Roman" w:cs="Times New Roman"/>
                      <w:color w:val="auto"/>
                      <w:sz w:val="21"/>
                      <w:szCs w:val="21"/>
                      <w:highlight w:val="none"/>
                      <w:lang w:eastAsia="zh-CN" w:bidi="ar"/>
                    </w:rPr>
                    <w:t>VOCs（以非甲烷总烃计）</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防治。严格有色金属冶炼、石油加工、化工、焦化等行业项目的土壤、地下水污染防治措施要求。推进工业园区和企业集群建设涉</w:t>
                  </w:r>
                  <w:r>
                    <w:rPr>
                      <w:rStyle w:val="66"/>
                      <w:rFonts w:hint="default" w:ascii="Times New Roman" w:hAnsi="Times New Roman" w:cs="Times New Roman"/>
                      <w:color w:val="auto"/>
                      <w:sz w:val="21"/>
                      <w:szCs w:val="21"/>
                      <w:highlight w:val="none"/>
                      <w:lang w:eastAsia="zh-CN" w:bidi="ar"/>
                    </w:rPr>
                    <w:t>VOCs（以非甲烷总烃计）</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绿岛</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项目，统筹规划建设一批集中涂装中心、活性炭集中处理中心、溶剂回收中心等，实现</w:t>
                  </w:r>
                  <w:r>
                    <w:rPr>
                      <w:rStyle w:val="66"/>
                      <w:rFonts w:hint="default" w:ascii="Times New Roman" w:hAnsi="Times New Roman" w:cs="Times New Roman"/>
                      <w:color w:val="auto"/>
                      <w:sz w:val="21"/>
                      <w:szCs w:val="21"/>
                      <w:highlight w:val="none"/>
                      <w:lang w:eastAsia="zh-CN" w:bidi="ar"/>
                    </w:rPr>
                    <w:t>VOCs（以非甲烷总烃计）</w:t>
                  </w:r>
                  <w:r>
                    <w:rPr>
                      <w:rFonts w:hint="default" w:ascii="Times New Roman" w:hAnsi="Times New Roman" w:cs="Times New Roman"/>
                      <w:color w:val="auto"/>
                      <w:kern w:val="0"/>
                      <w:sz w:val="21"/>
                      <w:szCs w:val="21"/>
                      <w:highlight w:val="none"/>
                      <w:lang w:bidi="ar"/>
                    </w:rPr>
                    <w:t>集中高效处理。</w:t>
                  </w:r>
                </w:p>
              </w:tc>
              <w:tc>
                <w:tcPr>
                  <w:tcW w:w="1482" w:type="dxa"/>
                  <w:tcBorders>
                    <w:tl2br w:val="nil"/>
                    <w:tr2bl w:val="nil"/>
                  </w:tcBorders>
                  <w:noWrap/>
                  <w:vAlign w:val="center"/>
                </w:tcPr>
                <w:p w14:paraId="6DFF0C3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6C84811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9C84D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15B2BD7B">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051BE277">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A2.2</w:t>
                  </w:r>
                  <w:r>
                    <w:rPr>
                      <w:rFonts w:hint="default" w:ascii="Times New Roman" w:hAnsi="Times New Roman" w:cs="Times New Roman"/>
                      <w:color w:val="auto"/>
                      <w:kern w:val="0"/>
                      <w:sz w:val="21"/>
                      <w:szCs w:val="21"/>
                      <w:highlight w:val="none"/>
                      <w:lang w:bidi="ar"/>
                    </w:rPr>
                    <w:t>污染控制措施要求</w:t>
                  </w:r>
                </w:p>
              </w:tc>
              <w:tc>
                <w:tcPr>
                  <w:tcW w:w="3401" w:type="dxa"/>
                  <w:tcBorders>
                    <w:tl2br w:val="nil"/>
                    <w:tr2bl w:val="nil"/>
                  </w:tcBorders>
                  <w:vAlign w:val="center"/>
                </w:tcPr>
                <w:p w14:paraId="19CBAD5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A2.2-1</w:t>
                  </w:r>
                  <w:r>
                    <w:rPr>
                      <w:rFonts w:hint="default" w:ascii="Times New Roman" w:hAnsi="Times New Roman" w:cs="Times New Roman"/>
                      <w:color w:val="auto"/>
                      <w:kern w:val="0"/>
                      <w:sz w:val="21"/>
                      <w:szCs w:val="21"/>
                      <w:highlight w:val="none"/>
                      <w:lang w:bidi="ar"/>
                    </w:rPr>
                    <w:t>〕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tc>
              <w:tc>
                <w:tcPr>
                  <w:tcW w:w="1482" w:type="dxa"/>
                  <w:tcBorders>
                    <w:tl2br w:val="nil"/>
                    <w:tr2bl w:val="nil"/>
                  </w:tcBorders>
                  <w:noWrap/>
                  <w:vAlign w:val="center"/>
                </w:tcPr>
                <w:p w14:paraId="35C5F91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06F0AA7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3E114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4626DDD">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F1D9F48">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2E7491D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A2.2-2</w:t>
                  </w:r>
                  <w:r>
                    <w:rPr>
                      <w:rFonts w:hint="default" w:ascii="Times New Roman" w:hAnsi="Times New Roman" w:cs="Times New Roman"/>
                      <w:color w:val="auto"/>
                      <w:kern w:val="0"/>
                      <w:sz w:val="21"/>
                      <w:szCs w:val="21"/>
                      <w:highlight w:val="none"/>
                      <w:lang w:bidi="ar"/>
                    </w:rPr>
                    <w:t>〕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tc>
              <w:tc>
                <w:tcPr>
                  <w:tcW w:w="1482" w:type="dxa"/>
                  <w:tcBorders>
                    <w:tl2br w:val="nil"/>
                    <w:tr2bl w:val="nil"/>
                  </w:tcBorders>
                  <w:noWrap/>
                  <w:vAlign w:val="center"/>
                </w:tcPr>
                <w:p w14:paraId="490C4C6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钢铁、水泥、焦化行业超低排放改造</w:t>
                  </w:r>
                </w:p>
              </w:tc>
              <w:tc>
                <w:tcPr>
                  <w:tcW w:w="876" w:type="dxa"/>
                  <w:tcBorders>
                    <w:tl2br w:val="nil"/>
                    <w:tr2bl w:val="nil"/>
                  </w:tcBorders>
                  <w:noWrap/>
                  <w:vAlign w:val="center"/>
                </w:tcPr>
                <w:p w14:paraId="77DC276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D310F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CDA8539">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635C8CD">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8654C4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A2.2-3</w:t>
                  </w:r>
                  <w:r>
                    <w:rPr>
                      <w:rFonts w:hint="default" w:ascii="Times New Roman" w:hAnsi="Times New Roman" w:cs="Times New Roman"/>
                      <w:color w:val="auto"/>
                      <w:kern w:val="0"/>
                      <w:sz w:val="21"/>
                      <w:szCs w:val="21"/>
                      <w:highlight w:val="none"/>
                      <w:lang w:bidi="ar"/>
                    </w:rPr>
                    <w:t>〕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大宗货物</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公转铁</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、柴油货车治理、锅炉炉窑综合治理等工程项目。全面推行绿色施工，持续推动城市建成区重污染企业搬迁或关闭退出。</w:t>
                  </w:r>
                </w:p>
              </w:tc>
              <w:tc>
                <w:tcPr>
                  <w:tcW w:w="1482" w:type="dxa"/>
                  <w:tcBorders>
                    <w:tl2br w:val="nil"/>
                    <w:tr2bl w:val="nil"/>
                  </w:tcBorders>
                  <w:noWrap/>
                  <w:vAlign w:val="center"/>
                </w:tcPr>
                <w:p w14:paraId="212CC1B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散煤整治、挥发性有机污染物综合治理、钢铁、水泥、焦化和燃煤工业锅炉行业超低排放改造</w:t>
                  </w:r>
                </w:p>
              </w:tc>
              <w:tc>
                <w:tcPr>
                  <w:tcW w:w="876" w:type="dxa"/>
                  <w:tcBorders>
                    <w:tl2br w:val="nil"/>
                    <w:tr2bl w:val="nil"/>
                  </w:tcBorders>
                  <w:noWrap/>
                  <w:vAlign w:val="center"/>
                </w:tcPr>
                <w:p w14:paraId="4D0FAB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44BD7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0E390293">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C246AB0">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C1DBEF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A2.2-4</w:t>
                  </w:r>
                  <w:r>
                    <w:rPr>
                      <w:rFonts w:hint="default" w:ascii="Times New Roman" w:hAnsi="Times New Roman" w:cs="Times New Roman"/>
                      <w:color w:val="auto"/>
                      <w:kern w:val="0"/>
                      <w:sz w:val="21"/>
                      <w:szCs w:val="21"/>
                      <w:highlight w:val="none"/>
                      <w:lang w:bidi="ar"/>
                    </w:rPr>
                    <w:t>〕强化用水定额管理。推进地下水超采综合治理。开展河湖生态流量</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水量</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确定工作，强化生态用水保障。</w:t>
                  </w:r>
                </w:p>
              </w:tc>
              <w:tc>
                <w:tcPr>
                  <w:tcW w:w="1482" w:type="dxa"/>
                  <w:tcBorders>
                    <w:tl2br w:val="nil"/>
                    <w:tr2bl w:val="nil"/>
                  </w:tcBorders>
                  <w:noWrap/>
                  <w:vAlign w:val="center"/>
                </w:tcPr>
                <w:p w14:paraId="7C352D6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地下水开采</w:t>
                  </w:r>
                </w:p>
              </w:tc>
              <w:tc>
                <w:tcPr>
                  <w:tcW w:w="876" w:type="dxa"/>
                  <w:tcBorders>
                    <w:tl2br w:val="nil"/>
                    <w:tr2bl w:val="nil"/>
                  </w:tcBorders>
                  <w:noWrap/>
                  <w:vAlign w:val="center"/>
                </w:tcPr>
                <w:p w14:paraId="1F1BB06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F25D5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C8BDA07">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C382D36">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222B556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A2.2-5</w:t>
                  </w:r>
                  <w:r>
                    <w:rPr>
                      <w:rFonts w:hint="default" w:ascii="Times New Roman" w:hAnsi="Times New Roman" w:cs="Times New Roman"/>
                      <w:color w:val="auto"/>
                      <w:kern w:val="0"/>
                      <w:sz w:val="21"/>
                      <w:szCs w:val="21"/>
                      <w:highlight w:val="none"/>
                      <w:lang w:bidi="ar"/>
                    </w:rPr>
                    <w:t>〕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tc>
              <w:tc>
                <w:tcPr>
                  <w:tcW w:w="1482" w:type="dxa"/>
                  <w:tcBorders>
                    <w:tl2br w:val="nil"/>
                    <w:tr2bl w:val="nil"/>
                  </w:tcBorders>
                  <w:noWrap/>
                  <w:vAlign w:val="center"/>
                </w:tcPr>
                <w:p w14:paraId="7377E94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A3DC7C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7AD85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97EDEF6">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533C618D">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E77446D">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A2.2-6</w:t>
                  </w:r>
                  <w:r>
                    <w:rPr>
                      <w:rFonts w:hint="default" w:ascii="Times New Roman" w:hAnsi="Times New Roman" w:cs="Times New Roman"/>
                      <w:color w:val="auto"/>
                      <w:kern w:val="0"/>
                      <w:sz w:val="21"/>
                      <w:szCs w:val="21"/>
                      <w:highlight w:val="none"/>
                      <w:lang w:bidi="ar"/>
                    </w:rPr>
                    <w:t>〕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482" w:type="dxa"/>
                  <w:tcBorders>
                    <w:tl2br w:val="nil"/>
                    <w:tr2bl w:val="nil"/>
                  </w:tcBorders>
                  <w:noWrap/>
                  <w:vAlign w:val="center"/>
                </w:tcPr>
                <w:p w14:paraId="5088DA2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地表水与地下水协同防治</w:t>
                  </w:r>
                </w:p>
              </w:tc>
              <w:tc>
                <w:tcPr>
                  <w:tcW w:w="876" w:type="dxa"/>
                  <w:tcBorders>
                    <w:tl2br w:val="nil"/>
                    <w:tr2bl w:val="nil"/>
                  </w:tcBorders>
                  <w:noWrap/>
                  <w:vAlign w:val="center"/>
                </w:tcPr>
                <w:p w14:paraId="2D25A16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C454F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6E253A4">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3AFBB61">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67B45B5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A2.2-7</w:t>
                  </w:r>
                  <w:r>
                    <w:rPr>
                      <w:rFonts w:hint="default" w:ascii="Times New Roman" w:hAnsi="Times New Roman" w:cs="Times New Roman"/>
                      <w:color w:val="auto"/>
                      <w:kern w:val="0"/>
                      <w:sz w:val="21"/>
                      <w:szCs w:val="21"/>
                      <w:highlight w:val="none"/>
                      <w:lang w:bidi="ar"/>
                    </w:rPr>
                    <w:t>〕强化重点区域地下水环境风险管控，对化学品生产企业、工业集聚区、尾矿库、矿山开采区、危险废物处置场、垃圾填埋场等地下水污染源及周边区域，逐步开展地下水环境状况调查评估，加强风险管控。</w:t>
                  </w:r>
                </w:p>
              </w:tc>
              <w:tc>
                <w:tcPr>
                  <w:tcW w:w="1482" w:type="dxa"/>
                  <w:tcBorders>
                    <w:tl2br w:val="nil"/>
                    <w:tr2bl w:val="nil"/>
                  </w:tcBorders>
                  <w:noWrap/>
                  <w:vAlign w:val="center"/>
                </w:tcPr>
                <w:p w14:paraId="0D220AE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地下水环境风险管控</w:t>
                  </w:r>
                </w:p>
              </w:tc>
              <w:tc>
                <w:tcPr>
                  <w:tcW w:w="876" w:type="dxa"/>
                  <w:tcBorders>
                    <w:tl2br w:val="nil"/>
                    <w:tr2bl w:val="nil"/>
                  </w:tcBorders>
                  <w:noWrap/>
                  <w:vAlign w:val="center"/>
                </w:tcPr>
                <w:p w14:paraId="6E090D0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0DA36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9F9AEC8">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AB309FF">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01933F3A">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A2.2-8</w:t>
                  </w:r>
                  <w:r>
                    <w:rPr>
                      <w:rFonts w:hint="default" w:ascii="Times New Roman" w:hAnsi="Times New Roman" w:cs="Times New Roman"/>
                      <w:color w:val="auto"/>
                      <w:kern w:val="0"/>
                      <w:sz w:val="21"/>
                      <w:szCs w:val="21"/>
                      <w:highlight w:val="none"/>
                      <w:lang w:bidi="ar"/>
                    </w:rPr>
                    <w:t>〕严控土壤重金属污染，加强油</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气</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田开发土壤污染防治，以历史遗留工业企业污染场地为重点，开展土壤污染风险管控与修复工程。</w:t>
                  </w:r>
                </w:p>
              </w:tc>
              <w:tc>
                <w:tcPr>
                  <w:tcW w:w="1482" w:type="dxa"/>
                  <w:tcBorders>
                    <w:tl2br w:val="nil"/>
                    <w:tr2bl w:val="nil"/>
                  </w:tcBorders>
                  <w:noWrap/>
                  <w:vAlign w:val="center"/>
                </w:tcPr>
                <w:p w14:paraId="08ED416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0F2E22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F2E14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E608CDB">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9088DEB">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18393A7A">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A2.2-9</w:t>
                  </w:r>
                  <w:r>
                    <w:rPr>
                      <w:rFonts w:hint="default" w:ascii="Times New Roman" w:hAnsi="Times New Roman" w:cs="Times New Roman"/>
                      <w:color w:val="auto"/>
                      <w:kern w:val="0"/>
                      <w:sz w:val="21"/>
                      <w:szCs w:val="21"/>
                      <w:highlight w:val="none"/>
                      <w:lang w:bidi="ar"/>
                    </w:rPr>
                    <w:t>〕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1482" w:type="dxa"/>
                  <w:tcBorders>
                    <w:tl2br w:val="nil"/>
                    <w:tr2bl w:val="nil"/>
                  </w:tcBorders>
                  <w:noWrap/>
                  <w:vAlign w:val="center"/>
                </w:tcPr>
                <w:p w14:paraId="668526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D20D23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AABE5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restart"/>
                  <w:tcBorders>
                    <w:tl2br w:val="nil"/>
                    <w:tr2bl w:val="nil"/>
                  </w:tcBorders>
                  <w:vAlign w:val="center"/>
                </w:tcPr>
                <w:p w14:paraId="75C4F34B">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A3</w:t>
                  </w:r>
                  <w:r>
                    <w:rPr>
                      <w:rFonts w:hint="default" w:ascii="Times New Roman" w:hAnsi="Times New Roman" w:cs="Times New Roman"/>
                      <w:color w:val="auto"/>
                      <w:kern w:val="0"/>
                      <w:sz w:val="21"/>
                      <w:szCs w:val="21"/>
                      <w:highlight w:val="none"/>
                      <w:lang w:bidi="ar"/>
                    </w:rPr>
                    <w:t>环境风险防控</w:t>
                  </w:r>
                </w:p>
              </w:tc>
              <w:tc>
                <w:tcPr>
                  <w:tcW w:w="364" w:type="dxa"/>
                  <w:vMerge w:val="restart"/>
                  <w:tcBorders>
                    <w:tl2br w:val="nil"/>
                    <w:tr2bl w:val="nil"/>
                  </w:tcBorders>
                  <w:vAlign w:val="center"/>
                </w:tcPr>
                <w:p w14:paraId="1FB66EA6">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A3.1</w:t>
                  </w:r>
                  <w:r>
                    <w:rPr>
                      <w:rFonts w:hint="default" w:ascii="Times New Roman" w:hAnsi="Times New Roman" w:cs="Times New Roman"/>
                      <w:color w:val="auto"/>
                      <w:kern w:val="0"/>
                      <w:sz w:val="21"/>
                      <w:szCs w:val="21"/>
                      <w:highlight w:val="none"/>
                      <w:lang w:bidi="ar"/>
                    </w:rPr>
                    <w:t>人居环境要求</w:t>
                  </w:r>
                </w:p>
              </w:tc>
              <w:tc>
                <w:tcPr>
                  <w:tcW w:w="3401" w:type="dxa"/>
                  <w:tcBorders>
                    <w:tl2br w:val="nil"/>
                    <w:tr2bl w:val="nil"/>
                  </w:tcBorders>
                  <w:vAlign w:val="center"/>
                </w:tcPr>
                <w:p w14:paraId="34BF871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A3.1-1</w:t>
                  </w:r>
                  <w:r>
                    <w:rPr>
                      <w:rFonts w:hint="default" w:ascii="Times New Roman" w:hAnsi="Times New Roman" w:cs="Times New Roman"/>
                      <w:color w:val="auto"/>
                      <w:kern w:val="0"/>
                      <w:sz w:val="21"/>
                      <w:szCs w:val="21"/>
                      <w:highlight w:val="none"/>
                      <w:lang w:bidi="ar"/>
                    </w:rPr>
                    <w:t>〕建立和完善重污染天气兵地联合应急预案、预报预警应急机制和会商联动机制。</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乌一昌一石</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区域内可能影响相邻行政区域大气环境的项目，兵地间、城市间必须相互征求意见。</w:t>
                  </w:r>
                </w:p>
              </w:tc>
              <w:tc>
                <w:tcPr>
                  <w:tcW w:w="1482" w:type="dxa"/>
                  <w:tcBorders>
                    <w:tl2br w:val="nil"/>
                    <w:tr2bl w:val="nil"/>
                  </w:tcBorders>
                  <w:noWrap/>
                  <w:vAlign w:val="center"/>
                </w:tcPr>
                <w:p w14:paraId="32AE13F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B417ED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EC371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F84F9B2">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1B6BFA9B">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1879D717">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A3.1-2</w:t>
                  </w:r>
                  <w:r>
                    <w:rPr>
                      <w:rFonts w:hint="default" w:ascii="Times New Roman" w:hAnsi="Times New Roman" w:cs="Times New Roman"/>
                      <w:color w:val="auto"/>
                      <w:kern w:val="0"/>
                      <w:sz w:val="21"/>
                      <w:szCs w:val="21"/>
                      <w:highlight w:val="none"/>
                      <w:lang w:bidi="ar"/>
                    </w:rPr>
                    <w:t>〕对跨国境河流、涉及县级及以上集中式饮用水水源地的河流、其他重要环境敏感目标的河流，建立健全流域上下游突发水污染事件</w:t>
                  </w:r>
                  <w:r>
                    <w:rPr>
                      <w:rFonts w:hint="default" w:ascii="Times New Roman" w:hAnsi="Times New Roman" w:cs="Times New Roman"/>
                      <w:color w:val="auto"/>
                      <w:kern w:val="0"/>
                      <w:sz w:val="21"/>
                      <w:szCs w:val="21"/>
                      <w:highlight w:val="none"/>
                      <w:lang w:eastAsia="zh-CN" w:bidi="ar"/>
                    </w:rPr>
                    <w:t>联防联控机制</w:t>
                  </w:r>
                  <w:r>
                    <w:rPr>
                      <w:rFonts w:hint="default" w:ascii="Times New Roman" w:hAnsi="Times New Roman" w:cs="Times New Roman"/>
                      <w:color w:val="auto"/>
                      <w:kern w:val="0"/>
                      <w:sz w:val="21"/>
                      <w:szCs w:val="21"/>
                      <w:highlight w:val="none"/>
                      <w:lang w:bidi="ar"/>
                    </w:rPr>
                    <w:t>，建立流域环境应急基础信息动态更新长效机制，绘制全流域</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一河一策一图</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。建立健全跨部门、跨区域的环境应急协调联动处置机制，强化流域上下游、兵地各部门协调，实施联合监测、联合执法、应急联动、信息共享，形成</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政府引导、多元联动、社会参与、专业救援</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tc>
              <w:tc>
                <w:tcPr>
                  <w:tcW w:w="1482" w:type="dxa"/>
                  <w:tcBorders>
                    <w:tl2br w:val="nil"/>
                    <w:tr2bl w:val="nil"/>
                  </w:tcBorders>
                  <w:noWrap/>
                  <w:vAlign w:val="center"/>
                </w:tcPr>
                <w:p w14:paraId="153D4B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6B852AA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FDFD3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AE964A0">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6C645EF">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F75CCA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A3.1-3</w:t>
                  </w:r>
                  <w:r>
                    <w:rPr>
                      <w:rFonts w:hint="default" w:ascii="Times New Roman" w:hAnsi="Times New Roman" w:cs="Times New Roman"/>
                      <w:color w:val="auto"/>
                      <w:kern w:val="0"/>
                      <w:sz w:val="21"/>
                      <w:szCs w:val="21"/>
                      <w:highlight w:val="none"/>
                      <w:lang w:bidi="ar"/>
                    </w:rPr>
                    <w:t>〕强化重污染天气监测预报预警能力，建立和完善重污染天气兵地联合应急预案、预警应急机制和会商联动机制，加强轻、中度污染天气管控。</w:t>
                  </w:r>
                </w:p>
              </w:tc>
              <w:tc>
                <w:tcPr>
                  <w:tcW w:w="1482" w:type="dxa"/>
                  <w:tcBorders>
                    <w:tl2br w:val="nil"/>
                    <w:tr2bl w:val="nil"/>
                  </w:tcBorders>
                  <w:noWrap/>
                  <w:vAlign w:val="center"/>
                </w:tcPr>
                <w:p w14:paraId="2539BD1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已编制突发环境事件应急预案，且能够按照重污染天气响应进行管控</w:t>
                  </w:r>
                </w:p>
              </w:tc>
              <w:tc>
                <w:tcPr>
                  <w:tcW w:w="876" w:type="dxa"/>
                  <w:tcBorders>
                    <w:tl2br w:val="nil"/>
                    <w:tr2bl w:val="nil"/>
                  </w:tcBorders>
                  <w:noWrap/>
                  <w:vAlign w:val="center"/>
                </w:tcPr>
                <w:p w14:paraId="33174C8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7BC36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8D2E33F">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7D64DD25">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A3.2</w:t>
                  </w:r>
                  <w:r>
                    <w:rPr>
                      <w:rFonts w:hint="default" w:ascii="Times New Roman" w:hAnsi="Times New Roman" w:cs="Times New Roman"/>
                      <w:color w:val="auto"/>
                      <w:kern w:val="0"/>
                      <w:sz w:val="21"/>
                      <w:szCs w:val="21"/>
                      <w:highlight w:val="none"/>
                      <w:lang w:bidi="ar"/>
                    </w:rPr>
                    <w:t>联防联控要求</w:t>
                  </w:r>
                </w:p>
              </w:tc>
              <w:tc>
                <w:tcPr>
                  <w:tcW w:w="3401" w:type="dxa"/>
                  <w:tcBorders>
                    <w:tl2br w:val="nil"/>
                    <w:tr2bl w:val="nil"/>
                  </w:tcBorders>
                  <w:vAlign w:val="center"/>
                </w:tcPr>
                <w:p w14:paraId="2184DEE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A3.2-1</w:t>
                  </w:r>
                  <w:r>
                    <w:rPr>
                      <w:rFonts w:hint="default" w:ascii="Times New Roman" w:hAnsi="Times New Roman" w:cs="Times New Roman"/>
                      <w:color w:val="auto"/>
                      <w:kern w:val="0"/>
                      <w:sz w:val="21"/>
                      <w:szCs w:val="21"/>
                      <w:highlight w:val="none"/>
                      <w:lang w:bidi="ar"/>
                    </w:rPr>
                    <w:t>〕提升饮用水安全保障水平。以县级及以上集中式饮用水水源地为重点，推进饮用水水源保护区规范化建设，统筹推进备用水源或应急水源建设。单一水源供水的重点城市于</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年底前基本完成备用水源或应急水源建设，有条件的地区开展兵地互为备用水源建设。梯次推进农村集中式饮用水水源保护区划定，到</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年，完成乡镇级集中式饮用水水源保护区划定与勘界立标。开展</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千吨万人</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补给区存在兵地跨界的，建立统一的饮用水水源应急和执法机制，共享应急物资。</w:t>
                  </w:r>
                </w:p>
              </w:tc>
              <w:tc>
                <w:tcPr>
                  <w:tcW w:w="1482" w:type="dxa"/>
                  <w:tcBorders>
                    <w:tl2br w:val="nil"/>
                    <w:tr2bl w:val="nil"/>
                  </w:tcBorders>
                  <w:noWrap/>
                  <w:vAlign w:val="center"/>
                </w:tcPr>
                <w:p w14:paraId="01685D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备用水源或应急水源建设</w:t>
                  </w:r>
                </w:p>
              </w:tc>
              <w:tc>
                <w:tcPr>
                  <w:tcW w:w="876" w:type="dxa"/>
                  <w:tcBorders>
                    <w:tl2br w:val="nil"/>
                    <w:tr2bl w:val="nil"/>
                  </w:tcBorders>
                  <w:noWrap/>
                  <w:vAlign w:val="center"/>
                </w:tcPr>
                <w:p w14:paraId="1BE6FE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1AAD4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A879975">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1F170817">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19E2FC6">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A3.2-2</w:t>
                  </w:r>
                  <w:r>
                    <w:rPr>
                      <w:rFonts w:hint="default" w:ascii="Times New Roman" w:hAnsi="Times New Roman" w:cs="Times New Roman"/>
                      <w:color w:val="auto"/>
                      <w:kern w:val="0"/>
                      <w:sz w:val="21"/>
                      <w:szCs w:val="21"/>
                      <w:highlight w:val="none"/>
                      <w:lang w:bidi="ar"/>
                    </w:rPr>
                    <w:t>〕依法推行农用地分类管理制度，强化受污染耕地安全利用和风险管控。因地制宜制定实施安全利用方案，鼓励采取种植结构调整等措施，确保受污染耕地全部实现安全利用。</w:t>
                  </w:r>
                </w:p>
              </w:tc>
              <w:tc>
                <w:tcPr>
                  <w:tcW w:w="1482" w:type="dxa"/>
                  <w:tcBorders>
                    <w:tl2br w:val="nil"/>
                    <w:tr2bl w:val="nil"/>
                  </w:tcBorders>
                  <w:noWrap/>
                  <w:vAlign w:val="center"/>
                </w:tcPr>
                <w:p w14:paraId="3C9B9B7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耕地安全利用和风险管控</w:t>
                  </w:r>
                </w:p>
              </w:tc>
              <w:tc>
                <w:tcPr>
                  <w:tcW w:w="876" w:type="dxa"/>
                  <w:tcBorders>
                    <w:tl2br w:val="nil"/>
                    <w:tr2bl w:val="nil"/>
                  </w:tcBorders>
                  <w:noWrap/>
                  <w:vAlign w:val="center"/>
                </w:tcPr>
                <w:p w14:paraId="38A80A9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395961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1AB66C0">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179193D1">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6E0780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A3.2-3</w:t>
                  </w:r>
                  <w:r>
                    <w:rPr>
                      <w:rFonts w:hint="default" w:ascii="Times New Roman" w:hAnsi="Times New Roman" w:cs="Times New Roman"/>
                      <w:color w:val="auto"/>
                      <w:kern w:val="0"/>
                      <w:sz w:val="21"/>
                      <w:szCs w:val="21"/>
                      <w:highlight w:val="none"/>
                      <w:lang w:bidi="ar"/>
                    </w:rPr>
                    <w:t>〕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污</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tc>
              <w:tc>
                <w:tcPr>
                  <w:tcW w:w="1482" w:type="dxa"/>
                  <w:tcBorders>
                    <w:tl2br w:val="nil"/>
                    <w:tr2bl w:val="nil"/>
                  </w:tcBorders>
                  <w:noWrap/>
                  <w:vAlign w:val="center"/>
                </w:tcPr>
                <w:p w14:paraId="2C69090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本项目运营期的污染物仅为VOCs（以非甲烷总烃计），产生的VOCs（以非甲烷总烃计）经活性炭吸附脱附+催化燃烧装置处理后能够达标排放。</w:t>
                  </w:r>
                </w:p>
              </w:tc>
              <w:tc>
                <w:tcPr>
                  <w:tcW w:w="876" w:type="dxa"/>
                  <w:tcBorders>
                    <w:tl2br w:val="nil"/>
                    <w:tr2bl w:val="nil"/>
                  </w:tcBorders>
                  <w:noWrap/>
                  <w:vAlign w:val="center"/>
                </w:tcPr>
                <w:p w14:paraId="548CD1C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4D238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4ECA5FC">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5A876DB">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AE4A63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A3.2-4</w:t>
                  </w:r>
                  <w:r>
                    <w:rPr>
                      <w:rFonts w:hint="default" w:ascii="Times New Roman" w:hAnsi="Times New Roman" w:cs="Times New Roman"/>
                      <w:color w:val="auto"/>
                      <w:kern w:val="0"/>
                      <w:sz w:val="21"/>
                      <w:szCs w:val="21"/>
                      <w:highlight w:val="none"/>
                      <w:lang w:bidi="ar"/>
                    </w:rPr>
                    <w:t>〕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482" w:type="dxa"/>
                  <w:tcBorders>
                    <w:tl2br w:val="nil"/>
                    <w:tr2bl w:val="nil"/>
                  </w:tcBorders>
                  <w:noWrap/>
                  <w:vAlign w:val="center"/>
                </w:tcPr>
                <w:p w14:paraId="10CA8DF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集中式饮用水水源地及重点流域环境风险调查评估</w:t>
                  </w:r>
                </w:p>
              </w:tc>
              <w:tc>
                <w:tcPr>
                  <w:tcW w:w="876" w:type="dxa"/>
                  <w:tcBorders>
                    <w:tl2br w:val="nil"/>
                    <w:tr2bl w:val="nil"/>
                  </w:tcBorders>
                  <w:noWrap/>
                  <w:vAlign w:val="center"/>
                </w:tcPr>
                <w:p w14:paraId="45B3FBD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5C2CF6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FD46A09">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2F4AF6B">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7FFA4EA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A3.2-5</w:t>
                  </w:r>
                  <w:r>
                    <w:rPr>
                      <w:rFonts w:hint="default" w:ascii="Times New Roman" w:hAnsi="Times New Roman" w:cs="Times New Roman"/>
                      <w:color w:val="auto"/>
                      <w:kern w:val="0"/>
                      <w:sz w:val="21"/>
                      <w:szCs w:val="21"/>
                      <w:highlight w:val="none"/>
                      <w:lang w:bidi="ar"/>
                    </w:rPr>
                    <w:t>〕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482" w:type="dxa"/>
                  <w:tcBorders>
                    <w:tl2br w:val="nil"/>
                    <w:tr2bl w:val="nil"/>
                  </w:tcBorders>
                  <w:noWrap/>
                  <w:vAlign w:val="center"/>
                </w:tcPr>
                <w:p w14:paraId="40A8FC2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本</w:t>
                  </w:r>
                  <w:r>
                    <w:rPr>
                      <w:rFonts w:hint="default" w:ascii="Times New Roman" w:hAnsi="Times New Roman" w:cs="Times New Roman"/>
                      <w:color w:val="auto"/>
                      <w:sz w:val="21"/>
                      <w:szCs w:val="21"/>
                      <w:highlight w:val="none"/>
                      <w:lang w:eastAsia="zh-CN"/>
                    </w:rPr>
                    <w:t>项目</w:t>
                  </w:r>
                  <w:r>
                    <w:rPr>
                      <w:rFonts w:hint="default" w:ascii="Times New Roman" w:hAnsi="Times New Roman" w:cs="Times New Roman"/>
                      <w:color w:val="auto"/>
                      <w:sz w:val="21"/>
                      <w:szCs w:val="21"/>
                      <w:highlight w:val="none"/>
                    </w:rPr>
                    <w:t>建设完成后应</w:t>
                  </w:r>
                  <w:r>
                    <w:rPr>
                      <w:rFonts w:hint="default" w:ascii="Times New Roman" w:hAnsi="Times New Roman" w:cs="Times New Roman"/>
                      <w:color w:val="auto"/>
                      <w:sz w:val="21"/>
                      <w:szCs w:val="21"/>
                      <w:highlight w:val="none"/>
                      <w:lang w:val="en-US" w:eastAsia="zh-CN"/>
                    </w:rPr>
                    <w:t>及时对</w:t>
                  </w:r>
                  <w:r>
                    <w:rPr>
                      <w:rFonts w:hint="default" w:ascii="Times New Roman" w:hAnsi="Times New Roman" w:cs="Times New Roman"/>
                      <w:color w:val="auto"/>
                      <w:kern w:val="0"/>
                      <w:sz w:val="21"/>
                      <w:szCs w:val="21"/>
                      <w:highlight w:val="none"/>
                      <w:lang w:bidi="ar"/>
                    </w:rPr>
                    <w:t>突发环境事件应急预案</w:t>
                  </w:r>
                  <w:r>
                    <w:rPr>
                      <w:rFonts w:hint="default" w:ascii="Times New Roman" w:hAnsi="Times New Roman" w:cs="Times New Roman"/>
                      <w:color w:val="auto"/>
                      <w:kern w:val="0"/>
                      <w:sz w:val="21"/>
                      <w:szCs w:val="21"/>
                      <w:highlight w:val="none"/>
                      <w:lang w:val="en-US" w:eastAsia="zh-CN" w:bidi="ar"/>
                    </w:rPr>
                    <w:t>进行修订</w:t>
                  </w:r>
                </w:p>
              </w:tc>
              <w:tc>
                <w:tcPr>
                  <w:tcW w:w="876" w:type="dxa"/>
                  <w:tcBorders>
                    <w:tl2br w:val="nil"/>
                    <w:tr2bl w:val="nil"/>
                  </w:tcBorders>
                  <w:noWrap/>
                  <w:vAlign w:val="center"/>
                </w:tcPr>
                <w:p w14:paraId="2DDEECB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8191A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44054F78">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1AC69A7E">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50219CD4">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A3.2-6</w:t>
                  </w:r>
                  <w:r>
                    <w:rPr>
                      <w:rFonts w:hint="default" w:ascii="Times New Roman" w:hAnsi="Times New Roman" w:cs="Times New Roman"/>
                      <w:color w:val="auto"/>
                      <w:kern w:val="0"/>
                      <w:sz w:val="21"/>
                      <w:szCs w:val="21"/>
                      <w:highlight w:val="none"/>
                      <w:lang w:bidi="ar"/>
                    </w:rPr>
                    <w:t>〕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1482" w:type="dxa"/>
                  <w:tcBorders>
                    <w:tl2br w:val="nil"/>
                    <w:tr2bl w:val="nil"/>
                  </w:tcBorders>
                  <w:noWrap/>
                  <w:vAlign w:val="center"/>
                </w:tcPr>
                <w:p w14:paraId="348A4EA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已编制突发环境事件应急预案，且能够按照重污染天气响应进行管控</w:t>
                  </w:r>
                </w:p>
              </w:tc>
              <w:tc>
                <w:tcPr>
                  <w:tcW w:w="876" w:type="dxa"/>
                  <w:tcBorders>
                    <w:tl2br w:val="nil"/>
                    <w:tr2bl w:val="nil"/>
                  </w:tcBorders>
                  <w:noWrap/>
                  <w:vAlign w:val="center"/>
                </w:tcPr>
                <w:p w14:paraId="38F91EA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DD167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restart"/>
                  <w:tcBorders>
                    <w:tl2br w:val="nil"/>
                    <w:tr2bl w:val="nil"/>
                  </w:tcBorders>
                  <w:vAlign w:val="center"/>
                </w:tcPr>
                <w:p w14:paraId="0610C439">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w:t>
                  </w:r>
                  <w:r>
                    <w:rPr>
                      <w:rFonts w:hint="default" w:ascii="Times New Roman" w:hAnsi="Times New Roman" w:cs="Times New Roman"/>
                      <w:color w:val="auto"/>
                      <w:kern w:val="0"/>
                      <w:sz w:val="21"/>
                      <w:szCs w:val="21"/>
                      <w:highlight w:val="none"/>
                      <w:lang w:bidi="ar"/>
                    </w:rPr>
                    <w:t>资源利用要求</w:t>
                  </w:r>
                </w:p>
              </w:tc>
              <w:tc>
                <w:tcPr>
                  <w:tcW w:w="364" w:type="dxa"/>
                  <w:vMerge w:val="restart"/>
                  <w:tcBorders>
                    <w:tl2br w:val="nil"/>
                    <w:tr2bl w:val="nil"/>
                  </w:tcBorders>
                  <w:vAlign w:val="center"/>
                </w:tcPr>
                <w:p w14:paraId="4C44704F">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A4.1</w:t>
                  </w:r>
                  <w:r>
                    <w:rPr>
                      <w:rFonts w:hint="default" w:ascii="Times New Roman" w:hAnsi="Times New Roman" w:cs="Times New Roman"/>
                      <w:color w:val="auto"/>
                      <w:kern w:val="0"/>
                      <w:sz w:val="21"/>
                      <w:szCs w:val="21"/>
                      <w:highlight w:val="none"/>
                      <w:lang w:bidi="ar"/>
                    </w:rPr>
                    <w:t>水资源</w:t>
                  </w:r>
                </w:p>
              </w:tc>
              <w:tc>
                <w:tcPr>
                  <w:tcW w:w="3401" w:type="dxa"/>
                  <w:tcBorders>
                    <w:tl2br w:val="nil"/>
                    <w:tr2bl w:val="nil"/>
                  </w:tcBorders>
                  <w:vAlign w:val="center"/>
                </w:tcPr>
                <w:p w14:paraId="789569FA">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A4.1-1</w:t>
                  </w:r>
                  <w:r>
                    <w:rPr>
                      <w:rFonts w:hint="default" w:ascii="Times New Roman" w:hAnsi="Times New Roman" w:cs="Times New Roman"/>
                      <w:color w:val="auto"/>
                      <w:kern w:val="0"/>
                      <w:sz w:val="21"/>
                      <w:szCs w:val="21"/>
                      <w:highlight w:val="none"/>
                      <w:lang w:bidi="ar"/>
                    </w:rPr>
                    <w:t>〕自治区用水总量</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w:t>
                  </w:r>
                  <w:r>
                    <w:rPr>
                      <w:rStyle w:val="66"/>
                      <w:rFonts w:hint="default" w:ascii="Times New Roman" w:hAnsi="Times New Roman" w:cs="Times New Roman"/>
                      <w:color w:val="auto"/>
                      <w:sz w:val="21"/>
                      <w:szCs w:val="21"/>
                      <w:highlight w:val="none"/>
                      <w:lang w:bidi="ar"/>
                    </w:rPr>
                    <w:t>2030</w:t>
                  </w:r>
                  <w:r>
                    <w:rPr>
                      <w:rFonts w:hint="default" w:ascii="Times New Roman" w:hAnsi="Times New Roman" w:cs="Times New Roman"/>
                      <w:color w:val="auto"/>
                      <w:kern w:val="0"/>
                      <w:sz w:val="21"/>
                      <w:szCs w:val="21"/>
                      <w:highlight w:val="none"/>
                      <w:lang w:bidi="ar"/>
                    </w:rPr>
                    <w:t>年控制在国家下达的指标内。</w:t>
                  </w:r>
                </w:p>
              </w:tc>
              <w:tc>
                <w:tcPr>
                  <w:tcW w:w="1482" w:type="dxa"/>
                  <w:tcBorders>
                    <w:tl2br w:val="nil"/>
                    <w:tr2bl w:val="nil"/>
                  </w:tcBorders>
                  <w:noWrap/>
                  <w:vAlign w:val="center"/>
                </w:tcPr>
                <w:p w14:paraId="170F8F8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本项目符合</w:t>
                  </w:r>
                  <w:r>
                    <w:rPr>
                      <w:rFonts w:hint="default" w:ascii="Times New Roman" w:hAnsi="Times New Roman" w:cs="Times New Roman"/>
                      <w:color w:val="auto"/>
                      <w:kern w:val="0"/>
                      <w:sz w:val="21"/>
                      <w:szCs w:val="21"/>
                      <w:highlight w:val="none"/>
                      <w:lang w:bidi="ar"/>
                    </w:rPr>
                    <w:t>自治区用水总量</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w:t>
                  </w:r>
                  <w:r>
                    <w:rPr>
                      <w:rStyle w:val="66"/>
                      <w:rFonts w:hint="default" w:ascii="Times New Roman" w:hAnsi="Times New Roman" w:cs="Times New Roman"/>
                      <w:color w:val="auto"/>
                      <w:sz w:val="21"/>
                      <w:szCs w:val="21"/>
                      <w:highlight w:val="none"/>
                      <w:lang w:bidi="ar"/>
                    </w:rPr>
                    <w:t>2030</w:t>
                  </w:r>
                  <w:r>
                    <w:rPr>
                      <w:rFonts w:hint="default" w:ascii="Times New Roman" w:hAnsi="Times New Roman" w:cs="Times New Roman"/>
                      <w:color w:val="auto"/>
                      <w:kern w:val="0"/>
                      <w:sz w:val="21"/>
                      <w:szCs w:val="21"/>
                      <w:highlight w:val="none"/>
                      <w:lang w:bidi="ar"/>
                    </w:rPr>
                    <w:t>年控制在国家下达的指标</w:t>
                  </w:r>
                </w:p>
              </w:tc>
              <w:tc>
                <w:tcPr>
                  <w:tcW w:w="876" w:type="dxa"/>
                  <w:tcBorders>
                    <w:tl2br w:val="nil"/>
                    <w:tr2bl w:val="nil"/>
                  </w:tcBorders>
                  <w:noWrap/>
                  <w:vAlign w:val="center"/>
                </w:tcPr>
                <w:p w14:paraId="4B0159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1C4375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3589A5DB">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CAC9AF8">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04C2293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A4.1-2</w:t>
                  </w:r>
                  <w:r>
                    <w:rPr>
                      <w:rFonts w:hint="default" w:ascii="Times New Roman" w:hAnsi="Times New Roman" w:cs="Times New Roman"/>
                      <w:color w:val="auto"/>
                      <w:kern w:val="0"/>
                      <w:sz w:val="21"/>
                      <w:szCs w:val="21"/>
                      <w:highlight w:val="none"/>
                      <w:lang w:bidi="ar"/>
                    </w:rPr>
                    <w:t>〕加大城镇污水再生利用工程建设力度，推进区域再生水循环利用，到</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年，城市生活污水再生利用率力争达到</w:t>
                  </w:r>
                  <w:r>
                    <w:rPr>
                      <w:rStyle w:val="66"/>
                      <w:rFonts w:hint="default" w:ascii="Times New Roman" w:hAnsi="Times New Roman" w:cs="Times New Roman"/>
                      <w:color w:val="auto"/>
                      <w:sz w:val="21"/>
                      <w:szCs w:val="21"/>
                      <w:highlight w:val="none"/>
                      <w:lang w:bidi="ar"/>
                    </w:rPr>
                    <w:t>60%</w:t>
                  </w: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A4.1-3</w:t>
                  </w:r>
                  <w:r>
                    <w:rPr>
                      <w:rFonts w:hint="default" w:ascii="Times New Roman" w:hAnsi="Times New Roman" w:cs="Times New Roman"/>
                      <w:color w:val="auto"/>
                      <w:kern w:val="0"/>
                      <w:sz w:val="21"/>
                      <w:szCs w:val="21"/>
                      <w:highlight w:val="none"/>
                      <w:lang w:bidi="ar"/>
                    </w:rPr>
                    <w:t>〕加强农村水利基础设施建设，推进农村供水保障工程，农村自来水普及率、集中供水率分别达到</w:t>
                  </w:r>
                  <w:r>
                    <w:rPr>
                      <w:rStyle w:val="66"/>
                      <w:rFonts w:hint="default" w:ascii="Times New Roman" w:hAnsi="Times New Roman" w:cs="Times New Roman"/>
                      <w:color w:val="auto"/>
                      <w:sz w:val="21"/>
                      <w:szCs w:val="21"/>
                      <w:highlight w:val="none"/>
                      <w:lang w:bidi="ar"/>
                    </w:rPr>
                    <w:t>99.3%</w:t>
                  </w: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99.7%</w:t>
                  </w:r>
                  <w:r>
                    <w:rPr>
                      <w:rFonts w:hint="default" w:ascii="Times New Roman" w:hAnsi="Times New Roman" w:cs="Times New Roman"/>
                      <w:color w:val="auto"/>
                      <w:kern w:val="0"/>
                      <w:sz w:val="21"/>
                      <w:szCs w:val="21"/>
                      <w:highlight w:val="none"/>
                      <w:lang w:bidi="ar"/>
                    </w:rPr>
                    <w:t>。</w:t>
                  </w:r>
                </w:p>
              </w:tc>
              <w:tc>
                <w:tcPr>
                  <w:tcW w:w="1482" w:type="dxa"/>
                  <w:tcBorders>
                    <w:tl2br w:val="nil"/>
                    <w:tr2bl w:val="nil"/>
                  </w:tcBorders>
                  <w:noWrap/>
                  <w:vAlign w:val="center"/>
                </w:tcPr>
                <w:p w14:paraId="27B2CB1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1126E59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E018D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30D006A">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04D5C2A5">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1798E925">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A4.1-4</w:t>
                  </w:r>
                  <w:r>
                    <w:rPr>
                      <w:rFonts w:hint="default" w:ascii="Times New Roman" w:hAnsi="Times New Roman" w:cs="Times New Roman"/>
                      <w:color w:val="auto"/>
                      <w:kern w:val="0"/>
                      <w:sz w:val="21"/>
                      <w:szCs w:val="21"/>
                      <w:highlight w:val="none"/>
                      <w:lang w:bidi="ar"/>
                    </w:rPr>
                    <w:t>〕地下水资源利用实行总量控制和水位控制。取用地下水资源，应当按照国家和自治区有关规定申请取水许可。地下水利用应当以浅层地下水为主。</w:t>
                  </w:r>
                </w:p>
              </w:tc>
              <w:tc>
                <w:tcPr>
                  <w:tcW w:w="1482" w:type="dxa"/>
                  <w:tcBorders>
                    <w:tl2br w:val="nil"/>
                    <w:tr2bl w:val="nil"/>
                  </w:tcBorders>
                  <w:noWrap/>
                  <w:vAlign w:val="center"/>
                </w:tcPr>
                <w:p w14:paraId="6034E29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67E4C25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AC73A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C98A38B">
                  <w:pPr>
                    <w:jc w:val="center"/>
                    <w:rPr>
                      <w:rFonts w:hint="default" w:ascii="Times New Roman" w:hAnsi="Times New Roman" w:cs="Times New Roman"/>
                      <w:color w:val="auto"/>
                      <w:sz w:val="21"/>
                      <w:szCs w:val="21"/>
                      <w:highlight w:val="none"/>
                    </w:rPr>
                  </w:pPr>
                </w:p>
              </w:tc>
              <w:tc>
                <w:tcPr>
                  <w:tcW w:w="364" w:type="dxa"/>
                  <w:tcBorders>
                    <w:tl2br w:val="nil"/>
                    <w:tr2bl w:val="nil"/>
                  </w:tcBorders>
                  <w:vAlign w:val="center"/>
                </w:tcPr>
                <w:p w14:paraId="76C6C9E9">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A4.2</w:t>
                  </w:r>
                  <w:r>
                    <w:rPr>
                      <w:rFonts w:hint="default" w:ascii="Times New Roman" w:hAnsi="Times New Roman" w:cs="Times New Roman"/>
                      <w:color w:val="auto"/>
                      <w:kern w:val="0"/>
                      <w:sz w:val="21"/>
                      <w:szCs w:val="21"/>
                      <w:highlight w:val="none"/>
                      <w:lang w:bidi="ar"/>
                    </w:rPr>
                    <w:t>土地资源</w:t>
                  </w:r>
                </w:p>
              </w:tc>
              <w:tc>
                <w:tcPr>
                  <w:tcW w:w="3401" w:type="dxa"/>
                  <w:tcBorders>
                    <w:tl2br w:val="nil"/>
                    <w:tr2bl w:val="nil"/>
                  </w:tcBorders>
                  <w:vAlign w:val="center"/>
                </w:tcPr>
                <w:p w14:paraId="433CD53F">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A4.2-1</w:t>
                  </w:r>
                  <w:r>
                    <w:rPr>
                      <w:rFonts w:hint="default" w:ascii="Times New Roman" w:hAnsi="Times New Roman" w:cs="Times New Roman"/>
                      <w:color w:val="auto"/>
                      <w:kern w:val="0"/>
                      <w:sz w:val="21"/>
                      <w:szCs w:val="21"/>
                      <w:highlight w:val="none"/>
                      <w:lang w:bidi="ar"/>
                    </w:rPr>
                    <w:t>〕土地资源上线指标控制在最终批复的国土空间规划控制指标内。</w:t>
                  </w:r>
                </w:p>
              </w:tc>
              <w:tc>
                <w:tcPr>
                  <w:tcW w:w="1482" w:type="dxa"/>
                  <w:tcBorders>
                    <w:tl2br w:val="nil"/>
                    <w:tr2bl w:val="nil"/>
                  </w:tcBorders>
                  <w:noWrap/>
                  <w:vAlign w:val="center"/>
                </w:tcPr>
                <w:p w14:paraId="0FCDB76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本项目租用现有空置厂房，符合</w:t>
                  </w:r>
                  <w:r>
                    <w:rPr>
                      <w:rFonts w:hint="default" w:ascii="Times New Roman" w:hAnsi="Times New Roman" w:cs="Times New Roman"/>
                      <w:color w:val="auto"/>
                      <w:kern w:val="0"/>
                      <w:sz w:val="21"/>
                      <w:szCs w:val="21"/>
                      <w:highlight w:val="none"/>
                      <w:lang w:bidi="ar"/>
                    </w:rPr>
                    <w:t>土地资源上线</w:t>
                  </w:r>
                </w:p>
              </w:tc>
              <w:tc>
                <w:tcPr>
                  <w:tcW w:w="876" w:type="dxa"/>
                  <w:tcBorders>
                    <w:tl2br w:val="nil"/>
                    <w:tr2bl w:val="nil"/>
                  </w:tcBorders>
                  <w:noWrap/>
                  <w:vAlign w:val="center"/>
                </w:tcPr>
                <w:p w14:paraId="62023C1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98EBC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1829C5DE">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1598951E">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A4.3</w:t>
                  </w:r>
                  <w:r>
                    <w:rPr>
                      <w:rFonts w:hint="default" w:ascii="Times New Roman" w:hAnsi="Times New Roman" w:cs="Times New Roman"/>
                      <w:color w:val="auto"/>
                      <w:kern w:val="0"/>
                      <w:sz w:val="21"/>
                      <w:szCs w:val="21"/>
                      <w:highlight w:val="none"/>
                      <w:lang w:bidi="ar"/>
                    </w:rPr>
                    <w:t>能源利用</w:t>
                  </w:r>
                </w:p>
              </w:tc>
              <w:tc>
                <w:tcPr>
                  <w:tcW w:w="3401" w:type="dxa"/>
                  <w:tcBorders>
                    <w:tl2br w:val="nil"/>
                    <w:tr2bl w:val="nil"/>
                  </w:tcBorders>
                  <w:vAlign w:val="center"/>
                </w:tcPr>
                <w:p w14:paraId="199D4D9B">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A4.3-4</w:t>
                  </w:r>
                  <w:r>
                    <w:rPr>
                      <w:rFonts w:hint="default" w:ascii="Times New Roman" w:hAnsi="Times New Roman" w:cs="Times New Roman"/>
                      <w:color w:val="auto"/>
                      <w:kern w:val="0"/>
                      <w:sz w:val="21"/>
                      <w:szCs w:val="21"/>
                      <w:highlight w:val="none"/>
                      <w:lang w:bidi="ar"/>
                    </w:rPr>
                    <w:t>〕鼓励使用清洁能源或电厂热力、工业余热等替代锅炉、炉窑燃料用煤。</w:t>
                  </w:r>
                </w:p>
              </w:tc>
              <w:tc>
                <w:tcPr>
                  <w:tcW w:w="1482" w:type="dxa"/>
                  <w:tcBorders>
                    <w:tl2br w:val="nil"/>
                    <w:tr2bl w:val="nil"/>
                  </w:tcBorders>
                  <w:noWrap/>
                  <w:vAlign w:val="center"/>
                </w:tcPr>
                <w:p w14:paraId="42B7058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025B09A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A43F7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3F038A9">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61BA9C29">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4F05B8F8">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A4.3-5</w:t>
                  </w:r>
                  <w:r>
                    <w:rPr>
                      <w:rFonts w:hint="default" w:ascii="Times New Roman" w:hAnsi="Times New Roman" w:cs="Times New Roman"/>
                      <w:color w:val="auto"/>
                      <w:kern w:val="0"/>
                      <w:sz w:val="21"/>
                      <w:szCs w:val="21"/>
                      <w:highlight w:val="none"/>
                      <w:lang w:bidi="ar"/>
                    </w:rPr>
                    <w:t>〕以碳达峰碳中和工作为引领，着力提高能源资源利用效率。引导重点行业深入实施清洁生产改造，钢铁、建材、石油化工等重点行业以及其他行业重点用能单位持续开展节能降耗。</w:t>
                  </w:r>
                </w:p>
              </w:tc>
              <w:tc>
                <w:tcPr>
                  <w:tcW w:w="1482" w:type="dxa"/>
                  <w:tcBorders>
                    <w:tl2br w:val="nil"/>
                    <w:tr2bl w:val="nil"/>
                  </w:tcBorders>
                  <w:noWrap/>
                  <w:vAlign w:val="center"/>
                </w:tcPr>
                <w:p w14:paraId="2995E76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76DAFD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E449A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2C862E71">
                  <w:pPr>
                    <w:jc w:val="center"/>
                    <w:rPr>
                      <w:rFonts w:hint="default" w:ascii="Times New Roman" w:hAnsi="Times New Roman" w:cs="Times New Roman"/>
                      <w:color w:val="auto"/>
                      <w:sz w:val="21"/>
                      <w:szCs w:val="21"/>
                      <w:highlight w:val="none"/>
                    </w:rPr>
                  </w:pPr>
                </w:p>
              </w:tc>
              <w:tc>
                <w:tcPr>
                  <w:tcW w:w="364" w:type="dxa"/>
                  <w:tcBorders>
                    <w:tl2br w:val="nil"/>
                    <w:tr2bl w:val="nil"/>
                  </w:tcBorders>
                  <w:vAlign w:val="center"/>
                </w:tcPr>
                <w:p w14:paraId="32B07D05">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A4.4</w:t>
                  </w:r>
                  <w:r>
                    <w:rPr>
                      <w:rFonts w:hint="default" w:ascii="Times New Roman" w:hAnsi="Times New Roman" w:cs="Times New Roman"/>
                      <w:color w:val="auto"/>
                      <w:kern w:val="0"/>
                      <w:sz w:val="21"/>
                      <w:szCs w:val="21"/>
                      <w:highlight w:val="none"/>
                      <w:lang w:bidi="ar"/>
                    </w:rPr>
                    <w:t>禁燃区要求</w:t>
                  </w:r>
                </w:p>
              </w:tc>
              <w:tc>
                <w:tcPr>
                  <w:tcW w:w="3401" w:type="dxa"/>
                  <w:tcBorders>
                    <w:tl2br w:val="nil"/>
                    <w:tr2bl w:val="nil"/>
                  </w:tcBorders>
                  <w:vAlign w:val="center"/>
                </w:tcPr>
                <w:p w14:paraId="37B8E5BC">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A4.4-1</w:t>
                  </w:r>
                  <w:r>
                    <w:rPr>
                      <w:rFonts w:hint="default" w:ascii="Times New Roman" w:hAnsi="Times New Roman" w:cs="Times New Roman"/>
                      <w:color w:val="auto"/>
                      <w:kern w:val="0"/>
                      <w:sz w:val="21"/>
                      <w:szCs w:val="21"/>
                      <w:highlight w:val="none"/>
                      <w:lang w:bidi="ar"/>
                    </w:rPr>
                    <w:t>〕在禁燃区内，禁止销售、燃用高污染燃料；禁止新建、扩建燃用高污染燃料的设施。已建成的，应当在规定期限内改用清洁能源。</w:t>
                  </w:r>
                </w:p>
              </w:tc>
              <w:tc>
                <w:tcPr>
                  <w:tcW w:w="1482" w:type="dxa"/>
                  <w:tcBorders>
                    <w:tl2br w:val="nil"/>
                    <w:tr2bl w:val="nil"/>
                  </w:tcBorders>
                  <w:noWrap/>
                  <w:vAlign w:val="center"/>
                </w:tcPr>
                <w:p w14:paraId="4B522A9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高污染燃料</w:t>
                  </w:r>
                </w:p>
              </w:tc>
              <w:tc>
                <w:tcPr>
                  <w:tcW w:w="876" w:type="dxa"/>
                  <w:tcBorders>
                    <w:tl2br w:val="nil"/>
                    <w:tr2bl w:val="nil"/>
                  </w:tcBorders>
                  <w:noWrap/>
                  <w:vAlign w:val="center"/>
                </w:tcPr>
                <w:p w14:paraId="2A3A00F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ED611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8EC556B">
                  <w:pPr>
                    <w:jc w:val="center"/>
                    <w:rPr>
                      <w:rFonts w:hint="default" w:ascii="Times New Roman" w:hAnsi="Times New Roman" w:cs="Times New Roman"/>
                      <w:color w:val="auto"/>
                      <w:sz w:val="21"/>
                      <w:szCs w:val="21"/>
                      <w:highlight w:val="none"/>
                    </w:rPr>
                  </w:pPr>
                </w:p>
              </w:tc>
              <w:tc>
                <w:tcPr>
                  <w:tcW w:w="364" w:type="dxa"/>
                  <w:vMerge w:val="restart"/>
                  <w:tcBorders>
                    <w:tl2br w:val="nil"/>
                    <w:tr2bl w:val="nil"/>
                  </w:tcBorders>
                  <w:vAlign w:val="center"/>
                </w:tcPr>
                <w:p w14:paraId="1D95E8A7">
                  <w:pPr>
                    <w:widowControl/>
                    <w:jc w:val="center"/>
                    <w:textAlignment w:val="center"/>
                    <w:rPr>
                      <w:rFonts w:hint="default" w:ascii="Times New Roman" w:hAnsi="Times New Roman" w:cs="Times New Roman"/>
                      <w:color w:val="auto"/>
                      <w:sz w:val="21"/>
                      <w:szCs w:val="21"/>
                      <w:highlight w:val="none"/>
                    </w:rPr>
                  </w:pPr>
                  <w:r>
                    <w:rPr>
                      <w:rStyle w:val="66"/>
                      <w:rFonts w:hint="default" w:ascii="Times New Roman" w:hAnsi="Times New Roman" w:cs="Times New Roman"/>
                      <w:color w:val="auto"/>
                      <w:sz w:val="21"/>
                      <w:szCs w:val="21"/>
                      <w:highlight w:val="none"/>
                      <w:lang w:bidi="ar"/>
                    </w:rPr>
                    <w:t>A4.5</w:t>
                  </w:r>
                  <w:r>
                    <w:rPr>
                      <w:rFonts w:hint="default" w:ascii="Times New Roman" w:hAnsi="Times New Roman" w:cs="Times New Roman"/>
                      <w:color w:val="auto"/>
                      <w:kern w:val="0"/>
                      <w:sz w:val="21"/>
                      <w:szCs w:val="21"/>
                      <w:highlight w:val="none"/>
                      <w:lang w:bidi="ar"/>
                    </w:rPr>
                    <w:t>资源综合利用</w:t>
                  </w:r>
                </w:p>
              </w:tc>
              <w:tc>
                <w:tcPr>
                  <w:tcW w:w="3401" w:type="dxa"/>
                  <w:tcBorders>
                    <w:tl2br w:val="nil"/>
                    <w:tr2bl w:val="nil"/>
                  </w:tcBorders>
                  <w:vAlign w:val="center"/>
                </w:tcPr>
                <w:p w14:paraId="1B0B0F09">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A4.5-1</w:t>
                  </w:r>
                  <w:r>
                    <w:rPr>
                      <w:rFonts w:hint="default" w:ascii="Times New Roman" w:hAnsi="Times New Roman" w:cs="Times New Roman"/>
                      <w:color w:val="auto"/>
                      <w:kern w:val="0"/>
                      <w:sz w:val="21"/>
                      <w:szCs w:val="21"/>
                      <w:highlight w:val="none"/>
                      <w:lang w:bidi="ar"/>
                    </w:rPr>
                    <w:t>〕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逆向回收</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等模式。以尾矿和共伴生矿、煤矸石、炉渣、粉煤灰、脱硫石膏、冶炼渣、建筑垃圾等为重点，持续推进固体废物综合利用和环境整治，不断提高大宗固体废物资源化利用水平。推行生活垃圾分类，加快建设县</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市</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生活垃圾处理设施，到</w:t>
                  </w:r>
                  <w:r>
                    <w:rPr>
                      <w:rStyle w:val="66"/>
                      <w:rFonts w:hint="default" w:ascii="Times New Roman" w:hAnsi="Times New Roman" w:cs="Times New Roman"/>
                      <w:color w:val="auto"/>
                      <w:sz w:val="21"/>
                      <w:szCs w:val="21"/>
                      <w:highlight w:val="none"/>
                      <w:lang w:bidi="ar"/>
                    </w:rPr>
                    <w:t>2025</w:t>
                  </w:r>
                  <w:r>
                    <w:rPr>
                      <w:rFonts w:hint="default" w:ascii="Times New Roman" w:hAnsi="Times New Roman" w:cs="Times New Roman"/>
                      <w:color w:val="auto"/>
                      <w:kern w:val="0"/>
                      <w:sz w:val="21"/>
                      <w:szCs w:val="21"/>
                      <w:highlight w:val="none"/>
                      <w:lang w:bidi="ar"/>
                    </w:rPr>
                    <w:t>年，全疆城市生活垃圾无害化处理率达到</w:t>
                  </w:r>
                  <w:r>
                    <w:rPr>
                      <w:rStyle w:val="66"/>
                      <w:rFonts w:hint="default" w:ascii="Times New Roman" w:hAnsi="Times New Roman" w:cs="Times New Roman"/>
                      <w:color w:val="auto"/>
                      <w:sz w:val="21"/>
                      <w:szCs w:val="21"/>
                      <w:highlight w:val="none"/>
                      <w:lang w:bidi="ar"/>
                    </w:rPr>
                    <w:t>99%</w:t>
                  </w:r>
                  <w:r>
                    <w:rPr>
                      <w:rFonts w:hint="default" w:ascii="Times New Roman" w:hAnsi="Times New Roman" w:cs="Times New Roman"/>
                      <w:color w:val="auto"/>
                      <w:kern w:val="0"/>
                      <w:sz w:val="21"/>
                      <w:szCs w:val="21"/>
                      <w:highlight w:val="none"/>
                      <w:lang w:bidi="ar"/>
                    </w:rPr>
                    <w:t>以上。</w:t>
                  </w:r>
                </w:p>
              </w:tc>
              <w:tc>
                <w:tcPr>
                  <w:tcW w:w="1482" w:type="dxa"/>
                  <w:tcBorders>
                    <w:tl2br w:val="nil"/>
                    <w:tr2bl w:val="nil"/>
                  </w:tcBorders>
                  <w:noWrap/>
                  <w:vAlign w:val="center"/>
                </w:tcPr>
                <w:p w14:paraId="124C80D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r>
                    <w:rPr>
                      <w:rFonts w:hint="default" w:ascii="Times New Roman" w:hAnsi="Times New Roman" w:cs="Times New Roman"/>
                      <w:color w:val="auto"/>
                      <w:kern w:val="0"/>
                      <w:sz w:val="21"/>
                      <w:szCs w:val="21"/>
                      <w:highlight w:val="none"/>
                      <w:lang w:bidi="ar"/>
                    </w:rPr>
                    <w:t>废旧物资回收和循环利用体系，健全强制报废制度和废旧家电、消费电子等耐用消费品回收处理；不涉及尾矿和共伴生矿、煤矸石、炉渣、粉煤灰、脱硫石膏、冶炼渣、建筑垃圾的建设</w:t>
                  </w:r>
                </w:p>
              </w:tc>
              <w:tc>
                <w:tcPr>
                  <w:tcW w:w="876" w:type="dxa"/>
                  <w:tcBorders>
                    <w:tl2br w:val="nil"/>
                    <w:tr2bl w:val="nil"/>
                  </w:tcBorders>
                  <w:noWrap/>
                  <w:vAlign w:val="center"/>
                </w:tcPr>
                <w:p w14:paraId="1BF8B21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20F24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655EA55F">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7AFB112A">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0CCE686E">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A4.5-2</w:t>
                  </w:r>
                  <w:r>
                    <w:rPr>
                      <w:rFonts w:hint="default" w:ascii="Times New Roman" w:hAnsi="Times New Roman" w:cs="Times New Roman"/>
                      <w:color w:val="auto"/>
                      <w:kern w:val="0"/>
                      <w:sz w:val="21"/>
                      <w:szCs w:val="21"/>
                      <w:highlight w:val="none"/>
                      <w:lang w:bidi="ar"/>
                    </w:rPr>
                    <w:t>〕推动工业固废按元素价值综合开发利用，加快推进尾矿</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共伴生矿</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tc>
              <w:tc>
                <w:tcPr>
                  <w:tcW w:w="1482" w:type="dxa"/>
                  <w:tcBorders>
                    <w:tl2br w:val="nil"/>
                    <w:tr2bl w:val="nil"/>
                  </w:tcBorders>
                  <w:noWrap/>
                  <w:vAlign w:val="center"/>
                </w:tcPr>
                <w:p w14:paraId="6588F44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52109AC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73F37E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79F46845">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30510BA4">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0384DB3">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A4.5-3</w:t>
                  </w:r>
                  <w:r>
                    <w:rPr>
                      <w:rFonts w:hint="default" w:ascii="Times New Roman" w:hAnsi="Times New Roman" w:cs="Times New Roman"/>
                      <w:color w:val="auto"/>
                      <w:kern w:val="0"/>
                      <w:sz w:val="21"/>
                      <w:szCs w:val="21"/>
                      <w:highlight w:val="none"/>
                      <w:lang w:bidi="ar"/>
                    </w:rPr>
                    <w:t>〕结合工业领域减污降碳要求，加快探索钢铁、有色、化工、建材等重点行业工业固体废物减量化路径，全面推行清洁生产。全面推进绿色矿山、</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无废</w:t>
                  </w:r>
                  <w:r>
                    <w:rPr>
                      <w:rStyle w:val="66"/>
                      <w:rFonts w:hint="default" w:ascii="Times New Roman" w:hAnsi="Times New Roman" w:cs="Times New Roman"/>
                      <w:color w:val="auto"/>
                      <w:sz w:val="21"/>
                      <w:szCs w:val="21"/>
                      <w:highlight w:val="none"/>
                      <w:lang w:bidi="ar"/>
                    </w:rPr>
                    <w:t>”</w:t>
                  </w:r>
                  <w:r>
                    <w:rPr>
                      <w:rFonts w:hint="default" w:ascii="Times New Roman" w:hAnsi="Times New Roman" w:cs="Times New Roman"/>
                      <w:color w:val="auto"/>
                      <w:kern w:val="0"/>
                      <w:sz w:val="21"/>
                      <w:szCs w:val="21"/>
                      <w:highlight w:val="none"/>
                      <w:lang w:bidi="ar"/>
                    </w:rPr>
                    <w:t>矿区建设，推广尾矿等大宗工业固体废物环境友好型井下充填回填，减少尾矿库贮存量。推动大宗工业固体废物在提取</w:t>
                  </w:r>
                  <w:r>
                    <w:rPr>
                      <w:rFonts w:hint="default" w:ascii="Times New Roman" w:hAnsi="Times New Roman" w:cs="Times New Roman"/>
                      <w:color w:val="auto"/>
                      <w:kern w:val="0"/>
                      <w:sz w:val="21"/>
                      <w:szCs w:val="21"/>
                      <w:highlight w:val="none"/>
                      <w:lang w:eastAsia="zh-CN" w:bidi="ar"/>
                    </w:rPr>
                    <w:t>有机</w:t>
                  </w:r>
                  <w:r>
                    <w:rPr>
                      <w:rFonts w:hint="default" w:ascii="Times New Roman" w:hAnsi="Times New Roman" w:cs="Times New Roman"/>
                      <w:color w:val="auto"/>
                      <w:kern w:val="0"/>
                      <w:sz w:val="21"/>
                      <w:szCs w:val="21"/>
                      <w:highlight w:val="none"/>
                      <w:lang w:bidi="ar"/>
                    </w:rPr>
                    <w:t>组分、生产建材、筑路、生态修复、土壤治理等领域的规模化利用。</w:t>
                  </w:r>
                </w:p>
              </w:tc>
              <w:tc>
                <w:tcPr>
                  <w:tcW w:w="1482" w:type="dxa"/>
                  <w:tcBorders>
                    <w:tl2br w:val="nil"/>
                    <w:tr2bl w:val="nil"/>
                  </w:tcBorders>
                  <w:noWrap/>
                  <w:vAlign w:val="center"/>
                </w:tcPr>
                <w:p w14:paraId="7B098B9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383C14B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034C0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361" w:type="dxa"/>
                  <w:vMerge w:val="continue"/>
                  <w:tcBorders>
                    <w:tl2br w:val="nil"/>
                    <w:tr2bl w:val="nil"/>
                  </w:tcBorders>
                  <w:vAlign w:val="center"/>
                </w:tcPr>
                <w:p w14:paraId="5F4DD1A2">
                  <w:pPr>
                    <w:jc w:val="center"/>
                    <w:rPr>
                      <w:rFonts w:hint="default" w:ascii="Times New Roman" w:hAnsi="Times New Roman" w:cs="Times New Roman"/>
                      <w:color w:val="auto"/>
                      <w:sz w:val="21"/>
                      <w:szCs w:val="21"/>
                      <w:highlight w:val="none"/>
                    </w:rPr>
                  </w:pPr>
                </w:p>
              </w:tc>
              <w:tc>
                <w:tcPr>
                  <w:tcW w:w="364" w:type="dxa"/>
                  <w:vMerge w:val="continue"/>
                  <w:tcBorders>
                    <w:tl2br w:val="nil"/>
                    <w:tr2bl w:val="nil"/>
                  </w:tcBorders>
                  <w:vAlign w:val="center"/>
                </w:tcPr>
                <w:p w14:paraId="47702A77">
                  <w:pPr>
                    <w:jc w:val="center"/>
                    <w:rPr>
                      <w:rFonts w:hint="default" w:ascii="Times New Roman" w:hAnsi="Times New Roman" w:cs="Times New Roman"/>
                      <w:color w:val="auto"/>
                      <w:sz w:val="21"/>
                      <w:szCs w:val="21"/>
                      <w:highlight w:val="none"/>
                    </w:rPr>
                  </w:pPr>
                </w:p>
              </w:tc>
              <w:tc>
                <w:tcPr>
                  <w:tcW w:w="3401" w:type="dxa"/>
                  <w:tcBorders>
                    <w:tl2br w:val="nil"/>
                    <w:tr2bl w:val="nil"/>
                  </w:tcBorders>
                  <w:vAlign w:val="center"/>
                </w:tcPr>
                <w:p w14:paraId="3519DF50">
                  <w:pPr>
                    <w:widowControl/>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w:t>
                  </w:r>
                  <w:r>
                    <w:rPr>
                      <w:rStyle w:val="66"/>
                      <w:rFonts w:hint="default" w:ascii="Times New Roman" w:hAnsi="Times New Roman" w:cs="Times New Roman"/>
                      <w:color w:val="auto"/>
                      <w:sz w:val="21"/>
                      <w:szCs w:val="21"/>
                      <w:highlight w:val="none"/>
                      <w:lang w:bidi="ar"/>
                    </w:rPr>
                    <w:t>A4.5-4</w:t>
                  </w:r>
                  <w:r>
                    <w:rPr>
                      <w:rFonts w:hint="default" w:ascii="Times New Roman" w:hAnsi="Times New Roman" w:cs="Times New Roman"/>
                      <w:color w:val="auto"/>
                      <w:kern w:val="0"/>
                      <w:sz w:val="21"/>
                      <w:szCs w:val="21"/>
                      <w:highlight w:val="none"/>
                      <w:lang w:bidi="ar"/>
                    </w:rPr>
                    <w:t>〕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1482" w:type="dxa"/>
                  <w:tcBorders>
                    <w:tl2br w:val="nil"/>
                    <w:tr2bl w:val="nil"/>
                  </w:tcBorders>
                  <w:noWrap/>
                  <w:vAlign w:val="center"/>
                </w:tcPr>
                <w:p w14:paraId="3C98CFD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本项目不涉及</w:t>
                  </w:r>
                </w:p>
              </w:tc>
              <w:tc>
                <w:tcPr>
                  <w:tcW w:w="876" w:type="dxa"/>
                  <w:tcBorders>
                    <w:tl2br w:val="nil"/>
                    <w:tr2bl w:val="nil"/>
                  </w:tcBorders>
                  <w:noWrap/>
                  <w:vAlign w:val="center"/>
                </w:tcPr>
                <w:p w14:paraId="4D6B15E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22D8F9F1">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区不在《新疆维吾尔自治区28个国家重点生态功能区县（市）产业准入负面清单（试行）》（2017年6月）和《新疆维吾尔自治区17个新增纳入国家重点生态功能区县（市）产业准入负面清单（试行）》（2017年12月）中限制类和禁止类区域。</w:t>
            </w:r>
          </w:p>
          <w:p w14:paraId="581AC33E">
            <w:pPr>
              <w:keepNext w:val="0"/>
              <w:keepLines w:val="0"/>
              <w:pageBreakBefore w:val="0"/>
              <w:widowControl w:val="0"/>
              <w:kinsoku/>
              <w:wordWrap/>
              <w:overflowPunct/>
              <w:topLinePunct w:val="0"/>
              <w:bidi w:val="0"/>
              <w:spacing w:line="360" w:lineRule="auto"/>
              <w:ind w:right="0"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综上，本项目的建设符合《新疆维吾尔自治区生态环境分区管控动态更新成果》（新环环评发〔2024〕157号）</w:t>
            </w:r>
          </w:p>
          <w:p w14:paraId="793EFDCC">
            <w:pPr>
              <w:spacing w:before="123" w:line="360" w:lineRule="auto"/>
              <w:ind w:right="103"/>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6"/>
                <w:sz w:val="24"/>
                <w:szCs w:val="24"/>
                <w:highlight w:val="none"/>
                <w:lang w:val="en-US" w:eastAsia="zh-CN"/>
              </w:rPr>
              <w:t>3.</w:t>
            </w:r>
            <w:r>
              <w:rPr>
                <w:rFonts w:hint="default" w:ascii="Times New Roman" w:hAnsi="Times New Roman" w:eastAsia="宋体" w:cs="Times New Roman"/>
                <w:b/>
                <w:bCs/>
                <w:color w:val="auto"/>
                <w:spacing w:val="-6"/>
                <w:sz w:val="24"/>
                <w:szCs w:val="24"/>
                <w:highlight w:val="none"/>
              </w:rPr>
              <w:t>与《新疆维吾尔自治区七大片区</w:t>
            </w:r>
            <w:r>
              <w:rPr>
                <w:rFonts w:hint="default" w:ascii="Times New Roman" w:hAnsi="Times New Roman" w:eastAsia="Times New Roman" w:cs="Times New Roman"/>
                <w:b/>
                <w:bCs/>
                <w:color w:val="auto"/>
                <w:spacing w:val="-6"/>
                <w:sz w:val="24"/>
                <w:szCs w:val="24"/>
                <w:highlight w:val="none"/>
              </w:rPr>
              <w:t>“</w:t>
            </w:r>
            <w:r>
              <w:rPr>
                <w:rFonts w:hint="default" w:ascii="Times New Roman" w:hAnsi="Times New Roman" w:eastAsia="宋体" w:cs="Times New Roman"/>
                <w:b/>
                <w:bCs/>
                <w:color w:val="auto"/>
                <w:spacing w:val="-6"/>
                <w:sz w:val="24"/>
                <w:szCs w:val="24"/>
                <w:highlight w:val="none"/>
              </w:rPr>
              <w:t>三线一单</w:t>
            </w:r>
            <w:r>
              <w:rPr>
                <w:rFonts w:hint="default" w:ascii="Times New Roman" w:hAnsi="Times New Roman" w:eastAsia="Times New Roman" w:cs="Times New Roman"/>
                <w:b/>
                <w:bCs/>
                <w:color w:val="auto"/>
                <w:spacing w:val="-7"/>
                <w:sz w:val="24"/>
                <w:szCs w:val="24"/>
                <w:highlight w:val="none"/>
              </w:rPr>
              <w:t>”</w:t>
            </w:r>
            <w:r>
              <w:rPr>
                <w:rFonts w:hint="default" w:ascii="Times New Roman" w:hAnsi="Times New Roman" w:eastAsia="宋体" w:cs="Times New Roman"/>
                <w:b/>
                <w:bCs/>
                <w:color w:val="auto"/>
                <w:spacing w:val="-7"/>
                <w:sz w:val="24"/>
                <w:szCs w:val="24"/>
                <w:highlight w:val="none"/>
              </w:rPr>
              <w:t>生态环</w:t>
            </w:r>
            <w:r>
              <w:rPr>
                <w:rFonts w:hint="default" w:ascii="Times New Roman" w:hAnsi="Times New Roman" w:eastAsia="宋体" w:cs="Times New Roman"/>
                <w:b/>
                <w:bCs/>
                <w:color w:val="auto"/>
                <w:sz w:val="24"/>
                <w:szCs w:val="24"/>
                <w:highlight w:val="none"/>
              </w:rPr>
              <w:t>境分区管控要求》（新环环评发〔</w:t>
            </w:r>
            <w:r>
              <w:rPr>
                <w:rFonts w:hint="default" w:ascii="Times New Roman" w:hAnsi="Times New Roman" w:eastAsia="Times New Roman" w:cs="Times New Roman"/>
                <w:b/>
                <w:bCs/>
                <w:color w:val="auto"/>
                <w:sz w:val="24"/>
                <w:szCs w:val="24"/>
                <w:highlight w:val="none"/>
              </w:rPr>
              <w:t>2021</w:t>
            </w:r>
            <w:r>
              <w:rPr>
                <w:rFonts w:hint="default" w:ascii="Times New Roman" w:hAnsi="Times New Roman" w:eastAsia="宋体" w:cs="Times New Roman"/>
                <w:b/>
                <w:bCs/>
                <w:color w:val="auto"/>
                <w:sz w:val="24"/>
                <w:szCs w:val="24"/>
                <w:highlight w:val="none"/>
              </w:rPr>
              <w:t>〕</w:t>
            </w:r>
            <w:r>
              <w:rPr>
                <w:rFonts w:hint="default" w:ascii="Times New Roman" w:hAnsi="Times New Roman" w:eastAsia="Times New Roman" w:cs="Times New Roman"/>
                <w:b/>
                <w:bCs/>
                <w:color w:val="auto"/>
                <w:sz w:val="24"/>
                <w:szCs w:val="24"/>
                <w:highlight w:val="none"/>
              </w:rPr>
              <w:t>162</w:t>
            </w:r>
            <w:r>
              <w:rPr>
                <w:rFonts w:hint="default" w:ascii="Times New Roman" w:hAnsi="Times New Roman" w:eastAsia="宋体" w:cs="Times New Roman"/>
                <w:b/>
                <w:bCs/>
                <w:color w:val="auto"/>
                <w:sz w:val="24"/>
                <w:szCs w:val="24"/>
                <w:highlight w:val="none"/>
              </w:rPr>
              <w:t>号）符合性分</w:t>
            </w:r>
            <w:r>
              <w:rPr>
                <w:rFonts w:hint="default" w:ascii="Times New Roman" w:hAnsi="Times New Roman" w:eastAsia="宋体" w:cs="Times New Roman"/>
                <w:b/>
                <w:bCs/>
                <w:color w:val="auto"/>
                <w:spacing w:val="-3"/>
                <w:sz w:val="24"/>
                <w:szCs w:val="24"/>
                <w:highlight w:val="none"/>
              </w:rPr>
              <w:t>析</w:t>
            </w:r>
          </w:p>
          <w:p w14:paraId="3129F604">
            <w:pPr>
              <w:spacing w:before="3" w:line="344" w:lineRule="auto"/>
              <w:ind w:left="110" w:right="103" w:firstLine="48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根据《新疆维吾尔自治区</w:t>
            </w:r>
            <w:r>
              <w:rPr>
                <w:rFonts w:hint="default" w:ascii="Times New Roman" w:hAnsi="Times New Roman" w:eastAsia="Times New Roman"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rPr>
              <w:t>三线一单</w:t>
            </w:r>
            <w:r>
              <w:rPr>
                <w:rFonts w:hint="default" w:ascii="Times New Roman" w:hAnsi="Times New Roman" w:eastAsia="Times New Roman"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rPr>
              <w:t>生态环境分区管控</w:t>
            </w:r>
            <w:r>
              <w:rPr>
                <w:rFonts w:hint="default" w:ascii="Times New Roman" w:hAnsi="Times New Roman" w:eastAsia="宋体" w:cs="Times New Roman"/>
                <w:color w:val="auto"/>
                <w:spacing w:val="-4"/>
                <w:sz w:val="24"/>
                <w:szCs w:val="24"/>
                <w:highlight w:val="none"/>
              </w:rPr>
              <w:t>方案》（新环环评发〔</w:t>
            </w:r>
            <w:r>
              <w:rPr>
                <w:rFonts w:hint="default" w:ascii="Times New Roman" w:hAnsi="Times New Roman" w:eastAsia="Times New Roman" w:cs="Times New Roman"/>
                <w:color w:val="auto"/>
                <w:spacing w:val="-4"/>
                <w:sz w:val="24"/>
                <w:szCs w:val="24"/>
                <w:highlight w:val="none"/>
              </w:rPr>
              <w:t>2021</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Times New Roman" w:cs="Times New Roman"/>
                <w:color w:val="auto"/>
                <w:spacing w:val="-4"/>
                <w:sz w:val="24"/>
                <w:szCs w:val="24"/>
                <w:highlight w:val="none"/>
              </w:rPr>
              <w:t>162</w:t>
            </w:r>
            <w:r>
              <w:rPr>
                <w:rFonts w:hint="default" w:ascii="Times New Roman" w:hAnsi="Times New Roman" w:eastAsia="宋体" w:cs="Times New Roman"/>
                <w:color w:val="auto"/>
                <w:spacing w:val="-4"/>
                <w:sz w:val="24"/>
                <w:szCs w:val="24"/>
                <w:highlight w:val="none"/>
              </w:rPr>
              <w:t>号</w:t>
            </w:r>
            <w:r>
              <w:rPr>
                <w:rFonts w:hint="default" w:ascii="Times New Roman" w:hAnsi="Times New Roman" w:eastAsia="宋体" w:cs="Times New Roman"/>
                <w:color w:val="auto"/>
                <w:spacing w:val="6"/>
                <w:sz w:val="24"/>
                <w:szCs w:val="24"/>
                <w:highlight w:val="none"/>
              </w:rPr>
              <w:t>），</w:t>
            </w:r>
            <w:r>
              <w:rPr>
                <w:rFonts w:hint="default" w:ascii="Times New Roman" w:hAnsi="Times New Roman" w:eastAsia="宋体" w:cs="Times New Roman"/>
                <w:color w:val="auto"/>
                <w:spacing w:val="-4"/>
                <w:sz w:val="24"/>
                <w:szCs w:val="24"/>
                <w:highlight w:val="none"/>
              </w:rPr>
              <w:t>自治区共划定</w:t>
            </w:r>
            <w:r>
              <w:rPr>
                <w:rFonts w:hint="default" w:ascii="Times New Roman" w:hAnsi="Times New Roman" w:eastAsia="Times New Roman" w:cs="Times New Roman"/>
                <w:color w:val="auto"/>
                <w:spacing w:val="-4"/>
                <w:sz w:val="24"/>
                <w:szCs w:val="24"/>
                <w:highlight w:val="none"/>
              </w:rPr>
              <w:t>1323</w:t>
            </w:r>
            <w:r>
              <w:rPr>
                <w:rFonts w:hint="default" w:ascii="Times New Roman" w:hAnsi="Times New Roman" w:eastAsia="宋体" w:cs="Times New Roman"/>
                <w:color w:val="auto"/>
                <w:spacing w:val="1"/>
                <w:sz w:val="24"/>
                <w:szCs w:val="24"/>
                <w:highlight w:val="none"/>
              </w:rPr>
              <w:t>个环境管控单元，分为优先保护单元、重点管控单元和一般</w:t>
            </w:r>
            <w:r>
              <w:rPr>
                <w:rFonts w:hint="default" w:ascii="Times New Roman" w:hAnsi="Times New Roman" w:eastAsia="宋体" w:cs="Times New Roman"/>
                <w:color w:val="auto"/>
                <w:spacing w:val="-1"/>
                <w:sz w:val="24"/>
                <w:szCs w:val="24"/>
                <w:highlight w:val="none"/>
              </w:rPr>
              <w:t>管控单元三类，实施分类管控。</w:t>
            </w:r>
          </w:p>
          <w:p w14:paraId="47FF3679">
            <w:pPr>
              <w:spacing w:before="1" w:line="360" w:lineRule="auto"/>
              <w:ind w:left="111" w:right="21" w:firstLine="48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sz w:val="24"/>
                <w:szCs w:val="24"/>
                <w:highlight w:val="none"/>
              </w:rPr>
              <w:t>本项目位于</w:t>
            </w:r>
            <w:r>
              <w:rPr>
                <w:rFonts w:hint="default" w:ascii="Times New Roman" w:hAnsi="Times New Roman" w:cs="Times New Roman"/>
                <w:color w:val="auto"/>
                <w:spacing w:val="-5"/>
                <w:sz w:val="24"/>
                <w:szCs w:val="24"/>
                <w:highlight w:val="none"/>
                <w:lang w:eastAsia="zh-CN"/>
              </w:rPr>
              <w:t>昌吉市</w:t>
            </w:r>
            <w:r>
              <w:rPr>
                <w:rFonts w:hint="default" w:ascii="Times New Roman" w:hAnsi="Times New Roman" w:cs="Times New Roman"/>
                <w:color w:val="auto"/>
                <w:spacing w:val="-5"/>
                <w:sz w:val="24"/>
                <w:szCs w:val="24"/>
                <w:highlight w:val="none"/>
                <w:lang w:val="en-US" w:eastAsia="zh-CN"/>
              </w:rPr>
              <w:t>六工镇</w:t>
            </w:r>
            <w:r>
              <w:rPr>
                <w:rFonts w:hint="default" w:ascii="Times New Roman" w:hAnsi="Times New Roman" w:eastAsia="宋体" w:cs="Times New Roman"/>
                <w:color w:val="auto"/>
                <w:spacing w:val="-5"/>
                <w:sz w:val="24"/>
                <w:szCs w:val="24"/>
                <w:highlight w:val="none"/>
              </w:rPr>
              <w:t>，属于乌昌石</w:t>
            </w:r>
            <w:r>
              <w:rPr>
                <w:rFonts w:hint="default" w:ascii="Times New Roman" w:hAnsi="Times New Roman" w:eastAsia="宋体" w:cs="Times New Roman"/>
                <w:color w:val="auto"/>
                <w:spacing w:val="-6"/>
                <w:sz w:val="24"/>
                <w:szCs w:val="24"/>
                <w:highlight w:val="none"/>
              </w:rPr>
              <w:t>片区。</w:t>
            </w:r>
            <w:r>
              <w:rPr>
                <w:rFonts w:hint="default" w:ascii="Times New Roman" w:hAnsi="Times New Roman" w:eastAsia="宋体" w:cs="Times New Roman"/>
                <w:color w:val="auto"/>
                <w:spacing w:val="-1"/>
                <w:sz w:val="24"/>
                <w:szCs w:val="24"/>
                <w:highlight w:val="none"/>
              </w:rPr>
              <w:t>本项目与《新疆维吾尔自治区七大片区</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rPr>
              <w:t>三线一单</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rPr>
              <w:t>生态环境分区管控要求》相符性分析详见表</w:t>
            </w:r>
            <w:r>
              <w:rPr>
                <w:rFonts w:hint="default" w:ascii="Times New Roman" w:hAnsi="Times New Roman" w:eastAsia="Times New Roman" w:cs="Times New Roman"/>
                <w:color w:val="auto"/>
                <w:spacing w:val="-1"/>
                <w:sz w:val="24"/>
                <w:szCs w:val="24"/>
                <w:highlight w:val="none"/>
              </w:rPr>
              <w:t>1-</w:t>
            </w:r>
            <w:r>
              <w:rPr>
                <w:rFonts w:hint="default" w:ascii="Times New Roman" w:hAnsi="Times New Roman" w:eastAsia="宋体" w:cs="Times New Roman"/>
                <w:color w:val="auto"/>
                <w:spacing w:val="-1"/>
                <w:sz w:val="24"/>
                <w:szCs w:val="24"/>
                <w:highlight w:val="none"/>
                <w:lang w:val="en-US" w:eastAsia="zh-CN"/>
              </w:rPr>
              <w:t>2</w:t>
            </w:r>
            <w:r>
              <w:rPr>
                <w:rFonts w:hint="default" w:ascii="Times New Roman" w:hAnsi="Times New Roman" w:eastAsia="宋体" w:cs="Times New Roman"/>
                <w:color w:val="auto"/>
                <w:spacing w:val="-1"/>
                <w:sz w:val="24"/>
                <w:szCs w:val="24"/>
                <w:highlight w:val="none"/>
              </w:rPr>
              <w:t>。</w:t>
            </w:r>
          </w:p>
          <w:p w14:paraId="6C4AED1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pacing w:val="-7"/>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color w:val="auto"/>
                <w:spacing w:val="5"/>
                <w:sz w:val="21"/>
                <w:szCs w:val="21"/>
                <w:highlight w:val="none"/>
              </w:rPr>
              <w:t>1-</w:t>
            </w:r>
            <w:r>
              <w:rPr>
                <w:rFonts w:hint="default" w:ascii="Times New Roman" w:hAnsi="Times New Roman" w:eastAsia="宋体" w:cs="Times New Roman"/>
                <w:color w:val="auto"/>
                <w:spacing w:val="5"/>
                <w:sz w:val="21"/>
                <w:szCs w:val="21"/>
                <w:highlight w:val="none"/>
                <w:lang w:val="en-US" w:eastAsia="zh-CN"/>
              </w:rPr>
              <w:t>2</w:t>
            </w:r>
            <w:r>
              <w:rPr>
                <w:rFonts w:hint="eastAsia" w:ascii="Times New Roman" w:hAnsi="Times New Roman" w:cs="Times New Roman"/>
                <w:color w:val="auto"/>
                <w:spacing w:val="5"/>
                <w:sz w:val="21"/>
                <w:szCs w:val="21"/>
                <w:highlight w:val="none"/>
                <w:lang w:val="en-US" w:eastAsia="zh-CN"/>
              </w:rPr>
              <w:t xml:space="preserve">   </w:t>
            </w:r>
            <w:r>
              <w:rPr>
                <w:rFonts w:hint="default" w:ascii="Times New Roman" w:hAnsi="Times New Roman" w:eastAsia="宋体" w:cs="Times New Roman"/>
                <w:b/>
                <w:bCs/>
                <w:color w:val="auto"/>
                <w:spacing w:val="5"/>
                <w:sz w:val="21"/>
                <w:szCs w:val="21"/>
                <w:highlight w:val="none"/>
              </w:rPr>
              <w:t>七大片区</w:t>
            </w:r>
            <w:r>
              <w:rPr>
                <w:rFonts w:hint="default" w:ascii="Times New Roman" w:hAnsi="Times New Roman" w:eastAsia="Times New Roman" w:cs="Times New Roman"/>
                <w:b/>
                <w:bCs/>
                <w:color w:val="auto"/>
                <w:spacing w:val="5"/>
                <w:sz w:val="21"/>
                <w:szCs w:val="21"/>
                <w:highlight w:val="none"/>
              </w:rPr>
              <w:t>“</w:t>
            </w:r>
            <w:r>
              <w:rPr>
                <w:rFonts w:hint="default" w:ascii="Times New Roman" w:hAnsi="Times New Roman" w:eastAsia="宋体" w:cs="Times New Roman"/>
                <w:b/>
                <w:bCs/>
                <w:color w:val="auto"/>
                <w:spacing w:val="5"/>
                <w:sz w:val="21"/>
                <w:szCs w:val="21"/>
                <w:highlight w:val="none"/>
              </w:rPr>
              <w:t>三线一单</w:t>
            </w:r>
            <w:r>
              <w:rPr>
                <w:rFonts w:hint="default" w:ascii="Times New Roman" w:hAnsi="Times New Roman" w:eastAsia="Times New Roman" w:cs="Times New Roman"/>
                <w:b/>
                <w:bCs/>
                <w:color w:val="auto"/>
                <w:spacing w:val="5"/>
                <w:sz w:val="21"/>
                <w:szCs w:val="21"/>
                <w:highlight w:val="none"/>
              </w:rPr>
              <w:t>”</w:t>
            </w:r>
            <w:r>
              <w:rPr>
                <w:rFonts w:hint="default" w:ascii="Times New Roman" w:hAnsi="Times New Roman" w:eastAsia="宋体" w:cs="Times New Roman"/>
                <w:b/>
                <w:bCs/>
                <w:color w:val="auto"/>
                <w:spacing w:val="5"/>
                <w:sz w:val="21"/>
                <w:szCs w:val="21"/>
                <w:highlight w:val="none"/>
              </w:rPr>
              <w:t>生态环境分区管控要求符合性</w:t>
            </w:r>
          </w:p>
          <w:tbl>
            <w:tblPr>
              <w:tblStyle w:val="54"/>
              <w:tblW w:w="496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72"/>
              <w:gridCol w:w="3107"/>
              <w:gridCol w:w="2137"/>
              <w:gridCol w:w="690"/>
            </w:tblGrid>
            <w:tr w14:paraId="55103B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72" w:type="dxa"/>
                  <w:tcBorders>
                    <w:bottom w:val="single" w:color="000000" w:sz="12" w:space="0"/>
                  </w:tcBorders>
                  <w:vAlign w:val="center"/>
                </w:tcPr>
                <w:p w14:paraId="4752CC4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3"/>
                      <w:sz w:val="21"/>
                      <w:szCs w:val="21"/>
                      <w:highlight w:val="none"/>
                    </w:rPr>
                    <w:t>类别</w:t>
                  </w:r>
                </w:p>
              </w:tc>
              <w:tc>
                <w:tcPr>
                  <w:tcW w:w="3107" w:type="dxa"/>
                  <w:tcBorders>
                    <w:bottom w:val="single" w:color="000000" w:sz="12" w:space="0"/>
                  </w:tcBorders>
                  <w:vAlign w:val="center"/>
                </w:tcPr>
                <w:p w14:paraId="13E64BA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具体要求</w:t>
                  </w:r>
                </w:p>
              </w:tc>
              <w:tc>
                <w:tcPr>
                  <w:tcW w:w="2137" w:type="dxa"/>
                  <w:tcBorders>
                    <w:bottom w:val="single" w:color="000000" w:sz="12" w:space="0"/>
                  </w:tcBorders>
                  <w:vAlign w:val="center"/>
                </w:tcPr>
                <w:p w14:paraId="6D96D5F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项目情况</w:t>
                  </w:r>
                </w:p>
              </w:tc>
              <w:tc>
                <w:tcPr>
                  <w:tcW w:w="690" w:type="dxa"/>
                  <w:tcBorders>
                    <w:bottom w:val="single" w:color="000000" w:sz="12" w:space="0"/>
                  </w:tcBorders>
                  <w:vAlign w:val="center"/>
                </w:tcPr>
                <w:p w14:paraId="3004FF8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符合性</w:t>
                  </w:r>
                </w:p>
              </w:tc>
            </w:tr>
            <w:tr w14:paraId="04DB6F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72" w:type="dxa"/>
                  <w:tcBorders>
                    <w:top w:val="single" w:color="000000" w:sz="12" w:space="0"/>
                    <w:tl2br w:val="nil"/>
                    <w:tr2bl w:val="nil"/>
                  </w:tcBorders>
                  <w:vAlign w:val="center"/>
                </w:tcPr>
                <w:p w14:paraId="5AC3BD8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空间布局约</w:t>
                  </w:r>
                  <w:r>
                    <w:rPr>
                      <w:rFonts w:hint="default" w:ascii="Times New Roman" w:hAnsi="Times New Roman" w:eastAsia="宋体" w:cs="Times New Roman"/>
                      <w:color w:val="auto"/>
                      <w:sz w:val="21"/>
                      <w:szCs w:val="21"/>
                      <w:highlight w:val="none"/>
                    </w:rPr>
                    <w:t>束</w:t>
                  </w:r>
                </w:p>
              </w:tc>
              <w:tc>
                <w:tcPr>
                  <w:tcW w:w="3107" w:type="dxa"/>
                  <w:tcBorders>
                    <w:top w:val="single" w:color="000000" w:sz="12" w:space="0"/>
                    <w:tl2br w:val="nil"/>
                    <w:tr2bl w:val="nil"/>
                  </w:tcBorders>
                  <w:vAlign w:val="center"/>
                </w:tcPr>
                <w:p w14:paraId="717F9BF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严格执行国家、自治区产</w:t>
                  </w:r>
                  <w:r>
                    <w:rPr>
                      <w:rFonts w:hint="default" w:ascii="Times New Roman" w:hAnsi="Times New Roman" w:eastAsia="宋体" w:cs="Times New Roman"/>
                      <w:color w:val="auto"/>
                      <w:spacing w:val="4"/>
                      <w:sz w:val="21"/>
                      <w:szCs w:val="21"/>
                      <w:highlight w:val="none"/>
                    </w:rPr>
                    <w:t>业政策和环境准入要求，</w:t>
                  </w:r>
                  <w:r>
                    <w:rPr>
                      <w:rFonts w:hint="default" w:ascii="Times New Roman" w:hAnsi="Times New Roman" w:eastAsia="宋体" w:cs="Times New Roman"/>
                      <w:color w:val="auto"/>
                      <w:spacing w:val="6"/>
                      <w:sz w:val="21"/>
                      <w:szCs w:val="21"/>
                      <w:highlight w:val="none"/>
                    </w:rPr>
                    <w:t>严禁</w:t>
                  </w:r>
                  <w:r>
                    <w:rPr>
                      <w:rFonts w:hint="default" w:ascii="Times New Roman" w:hAnsi="Times New Roman" w:eastAsia="Times New Roman" w:cs="Times New Roman"/>
                      <w:color w:val="auto"/>
                      <w:spacing w:val="6"/>
                      <w:sz w:val="21"/>
                      <w:szCs w:val="21"/>
                      <w:highlight w:val="none"/>
                    </w:rPr>
                    <w:t>“</w:t>
                  </w:r>
                  <w:r>
                    <w:rPr>
                      <w:rFonts w:hint="default" w:ascii="Times New Roman" w:hAnsi="Times New Roman" w:eastAsia="宋体" w:cs="Times New Roman"/>
                      <w:color w:val="auto"/>
                      <w:spacing w:val="6"/>
                      <w:sz w:val="21"/>
                      <w:szCs w:val="21"/>
                      <w:highlight w:val="none"/>
                    </w:rPr>
                    <w:t>三高</w:t>
                  </w:r>
                  <w:r>
                    <w:rPr>
                      <w:rFonts w:hint="default" w:ascii="Times New Roman" w:hAnsi="Times New Roman" w:eastAsia="Times New Roman" w:cs="Times New Roman"/>
                      <w:color w:val="auto"/>
                      <w:spacing w:val="6"/>
                      <w:sz w:val="21"/>
                      <w:szCs w:val="21"/>
                      <w:highlight w:val="none"/>
                    </w:rPr>
                    <w:t>”</w:t>
                  </w:r>
                  <w:r>
                    <w:rPr>
                      <w:rFonts w:hint="default" w:ascii="Times New Roman" w:hAnsi="Times New Roman" w:eastAsia="宋体" w:cs="Times New Roman"/>
                      <w:color w:val="auto"/>
                      <w:spacing w:val="6"/>
                      <w:sz w:val="21"/>
                      <w:szCs w:val="21"/>
                      <w:highlight w:val="none"/>
                    </w:rPr>
                    <w:t>项目进新疆，</w:t>
                  </w:r>
                  <w:r>
                    <w:rPr>
                      <w:rFonts w:hint="default" w:ascii="Times New Roman" w:hAnsi="Times New Roman" w:eastAsia="宋体" w:cs="Times New Roman"/>
                      <w:color w:val="auto"/>
                      <w:spacing w:val="15"/>
                      <w:sz w:val="21"/>
                      <w:szCs w:val="21"/>
                      <w:highlight w:val="none"/>
                    </w:rPr>
                    <w:t>坚决遏制</w:t>
                  </w:r>
                  <w:r>
                    <w:rPr>
                      <w:rFonts w:hint="default" w:ascii="Times New Roman" w:hAnsi="Times New Roman" w:eastAsia="Times New Roman" w:cs="Times New Roman"/>
                      <w:color w:val="auto"/>
                      <w:spacing w:val="15"/>
                      <w:sz w:val="21"/>
                      <w:szCs w:val="21"/>
                      <w:highlight w:val="none"/>
                    </w:rPr>
                    <w:t>“</w:t>
                  </w:r>
                  <w:r>
                    <w:rPr>
                      <w:rFonts w:hint="default" w:ascii="Times New Roman" w:hAnsi="Times New Roman" w:eastAsia="宋体" w:cs="Times New Roman"/>
                      <w:color w:val="auto"/>
                      <w:spacing w:val="15"/>
                      <w:sz w:val="21"/>
                      <w:szCs w:val="21"/>
                      <w:highlight w:val="none"/>
                    </w:rPr>
                    <w:t>两高</w:t>
                  </w:r>
                  <w:r>
                    <w:rPr>
                      <w:rFonts w:hint="default" w:ascii="Times New Roman" w:hAnsi="Times New Roman" w:eastAsia="Times New Roman" w:cs="Times New Roman"/>
                      <w:color w:val="auto"/>
                      <w:spacing w:val="15"/>
                      <w:sz w:val="21"/>
                      <w:szCs w:val="21"/>
                      <w:highlight w:val="none"/>
                    </w:rPr>
                    <w:t>”</w:t>
                  </w:r>
                  <w:r>
                    <w:rPr>
                      <w:rFonts w:hint="default" w:ascii="Times New Roman" w:hAnsi="Times New Roman" w:eastAsia="宋体" w:cs="Times New Roman"/>
                      <w:color w:val="auto"/>
                      <w:spacing w:val="15"/>
                      <w:sz w:val="21"/>
                      <w:szCs w:val="21"/>
                      <w:highlight w:val="none"/>
                    </w:rPr>
                    <w:t>项目盲</w:t>
                  </w:r>
                  <w:r>
                    <w:rPr>
                      <w:rFonts w:hint="default" w:ascii="Times New Roman" w:hAnsi="Times New Roman" w:eastAsia="宋体" w:cs="Times New Roman"/>
                      <w:color w:val="auto"/>
                      <w:spacing w:val="1"/>
                      <w:sz w:val="21"/>
                      <w:szCs w:val="21"/>
                      <w:highlight w:val="none"/>
                    </w:rPr>
                    <w:t>目发展。不得在水源涵养</w:t>
                  </w:r>
                  <w:r>
                    <w:rPr>
                      <w:rFonts w:hint="default" w:ascii="Times New Roman" w:hAnsi="Times New Roman" w:eastAsia="宋体" w:cs="Times New Roman"/>
                      <w:color w:val="auto"/>
                      <w:sz w:val="21"/>
                      <w:szCs w:val="21"/>
                      <w:highlight w:val="none"/>
                    </w:rPr>
                    <w:t>区、饮用水水源保护区内</w:t>
                  </w:r>
                  <w:r>
                    <w:rPr>
                      <w:rFonts w:hint="default" w:ascii="Times New Roman" w:hAnsi="Times New Roman" w:eastAsia="宋体" w:cs="Times New Roman"/>
                      <w:color w:val="auto"/>
                      <w:spacing w:val="1"/>
                      <w:sz w:val="21"/>
                      <w:szCs w:val="21"/>
                      <w:highlight w:val="none"/>
                    </w:rPr>
                    <w:t>和河流、湖泊、水库周围建设重化工、涉重金属等工业污染项目。推动项目</w:t>
                  </w:r>
                  <w:r>
                    <w:rPr>
                      <w:rFonts w:hint="default" w:ascii="Times New Roman" w:hAnsi="Times New Roman" w:eastAsia="宋体" w:cs="Times New Roman"/>
                      <w:color w:val="auto"/>
                      <w:spacing w:val="8"/>
                      <w:sz w:val="21"/>
                      <w:szCs w:val="21"/>
                      <w:highlight w:val="none"/>
                    </w:rPr>
                    <w:t>集聚发展，新建、改建、扩建工业项目原则上应布置于由县级及以上人</w:t>
                  </w:r>
                  <w:r>
                    <w:rPr>
                      <w:rFonts w:hint="default" w:ascii="Times New Roman" w:hAnsi="Times New Roman" w:eastAsia="宋体" w:cs="Times New Roman"/>
                      <w:color w:val="auto"/>
                      <w:spacing w:val="-1"/>
                      <w:sz w:val="21"/>
                      <w:szCs w:val="21"/>
                      <w:highlight w:val="none"/>
                    </w:rPr>
                    <w:t>民政府批准建立、环境保</w:t>
                  </w:r>
                  <w:r>
                    <w:rPr>
                      <w:rFonts w:hint="default" w:ascii="Times New Roman" w:hAnsi="Times New Roman" w:eastAsia="宋体" w:cs="Times New Roman"/>
                      <w:color w:val="auto"/>
                      <w:spacing w:val="8"/>
                      <w:sz w:val="21"/>
                      <w:szCs w:val="21"/>
                      <w:highlight w:val="none"/>
                    </w:rPr>
                    <w:t>护基础设施完善的产业</w:t>
                  </w:r>
                  <w:r>
                    <w:rPr>
                      <w:rFonts w:hint="default" w:ascii="Times New Roman" w:hAnsi="Times New Roman" w:eastAsia="宋体" w:cs="Times New Roman"/>
                      <w:color w:val="auto"/>
                      <w:spacing w:val="-1"/>
                      <w:sz w:val="21"/>
                      <w:szCs w:val="21"/>
                      <w:highlight w:val="none"/>
                    </w:rPr>
                    <w:t>园区、工业聚集区或规划</w:t>
                  </w:r>
                  <w:r>
                    <w:rPr>
                      <w:rFonts w:hint="default" w:ascii="Times New Roman" w:hAnsi="Times New Roman" w:eastAsia="宋体" w:cs="Times New Roman"/>
                      <w:color w:val="auto"/>
                      <w:spacing w:val="1"/>
                      <w:sz w:val="21"/>
                      <w:szCs w:val="21"/>
                      <w:highlight w:val="none"/>
                    </w:rPr>
                    <w:t>矿区，并且符合相关规划</w:t>
                  </w:r>
                  <w:r>
                    <w:rPr>
                      <w:rFonts w:hint="default" w:ascii="Times New Roman" w:hAnsi="Times New Roman" w:eastAsia="宋体" w:cs="Times New Roman"/>
                      <w:color w:val="auto"/>
                      <w:spacing w:val="7"/>
                      <w:sz w:val="21"/>
                      <w:szCs w:val="21"/>
                      <w:highlight w:val="none"/>
                    </w:rPr>
                    <w:t>和规划环评要求。</w:t>
                  </w:r>
                </w:p>
              </w:tc>
              <w:tc>
                <w:tcPr>
                  <w:tcW w:w="2137" w:type="dxa"/>
                  <w:tcBorders>
                    <w:top w:val="single" w:color="000000" w:sz="12" w:space="0"/>
                    <w:tl2br w:val="nil"/>
                    <w:tr2bl w:val="nil"/>
                  </w:tcBorders>
                  <w:vAlign w:val="center"/>
                </w:tcPr>
                <w:p w14:paraId="06B590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本项目建设符合国家产业政</w:t>
                  </w:r>
                  <w:r>
                    <w:rPr>
                      <w:rFonts w:hint="default" w:ascii="Times New Roman" w:hAnsi="Times New Roman" w:eastAsia="宋体" w:cs="Times New Roman"/>
                      <w:color w:val="auto"/>
                      <w:spacing w:val="-3"/>
                      <w:sz w:val="21"/>
                      <w:szCs w:val="21"/>
                      <w:highlight w:val="none"/>
                    </w:rPr>
                    <w:t>策。项目生产过</w:t>
                  </w:r>
                  <w:r>
                    <w:rPr>
                      <w:rFonts w:hint="default" w:ascii="Times New Roman" w:hAnsi="Times New Roman" w:eastAsia="宋体" w:cs="Times New Roman"/>
                      <w:color w:val="auto"/>
                      <w:spacing w:val="18"/>
                      <w:sz w:val="21"/>
                      <w:szCs w:val="21"/>
                      <w:highlight w:val="none"/>
                    </w:rPr>
                    <w:t>程中消耗少量</w:t>
                  </w:r>
                  <w:r>
                    <w:rPr>
                      <w:rFonts w:hint="default" w:ascii="Times New Roman" w:hAnsi="Times New Roman" w:eastAsia="宋体" w:cs="Times New Roman"/>
                      <w:color w:val="auto"/>
                      <w:spacing w:val="-4"/>
                      <w:sz w:val="21"/>
                      <w:szCs w:val="21"/>
                      <w:highlight w:val="none"/>
                    </w:rPr>
                    <w:t>的水、电，生产</w:t>
                  </w:r>
                  <w:r>
                    <w:rPr>
                      <w:rFonts w:hint="default" w:ascii="Times New Roman" w:hAnsi="Times New Roman" w:eastAsia="宋体" w:cs="Times New Roman"/>
                      <w:color w:val="auto"/>
                      <w:spacing w:val="8"/>
                      <w:sz w:val="21"/>
                      <w:szCs w:val="21"/>
                      <w:highlight w:val="none"/>
                    </w:rPr>
                    <w:t>废水经三级沉</w:t>
                  </w:r>
                  <w:r>
                    <w:rPr>
                      <w:rFonts w:hint="default" w:ascii="Times New Roman" w:hAnsi="Times New Roman" w:eastAsia="宋体" w:cs="Times New Roman"/>
                      <w:color w:val="auto"/>
                      <w:spacing w:val="7"/>
                      <w:sz w:val="21"/>
                      <w:szCs w:val="21"/>
                      <w:highlight w:val="none"/>
                    </w:rPr>
                    <w:t>淀池沉淀后循</w:t>
                  </w:r>
                  <w:r>
                    <w:rPr>
                      <w:rFonts w:hint="default" w:ascii="Times New Roman" w:hAnsi="Times New Roman" w:eastAsia="宋体" w:cs="Times New Roman"/>
                      <w:color w:val="auto"/>
                      <w:spacing w:val="1"/>
                      <w:sz w:val="21"/>
                      <w:szCs w:val="21"/>
                      <w:highlight w:val="none"/>
                    </w:rPr>
                    <w:t>环使用不外排，</w:t>
                  </w:r>
                  <w:r>
                    <w:rPr>
                      <w:rFonts w:hint="default" w:ascii="Times New Roman" w:hAnsi="Times New Roman" w:eastAsia="宋体" w:cs="Times New Roman"/>
                      <w:color w:val="auto"/>
                      <w:spacing w:val="-3"/>
                      <w:sz w:val="21"/>
                      <w:szCs w:val="21"/>
                      <w:highlight w:val="none"/>
                    </w:rPr>
                    <w:t>产生的废气、生</w:t>
                  </w:r>
                  <w:r>
                    <w:rPr>
                      <w:rFonts w:hint="default" w:ascii="Times New Roman" w:hAnsi="Times New Roman" w:eastAsia="宋体" w:cs="Times New Roman"/>
                      <w:color w:val="auto"/>
                      <w:spacing w:val="7"/>
                      <w:sz w:val="21"/>
                      <w:szCs w:val="21"/>
                      <w:highlight w:val="none"/>
                    </w:rPr>
                    <w:t>活污水及固废经过环保设施处理后均能达</w:t>
                  </w:r>
                  <w:r>
                    <w:rPr>
                      <w:rFonts w:hint="default" w:ascii="Times New Roman" w:hAnsi="Times New Roman" w:eastAsia="宋体" w:cs="Times New Roman"/>
                      <w:color w:val="auto"/>
                      <w:spacing w:val="-3"/>
                      <w:sz w:val="21"/>
                      <w:szCs w:val="21"/>
                      <w:highlight w:val="none"/>
                    </w:rPr>
                    <w:t>标排放，不属于</w:t>
                  </w:r>
                  <w:r>
                    <w:rPr>
                      <w:rFonts w:hint="default" w:ascii="Times New Roman" w:hAnsi="Times New Roman" w:eastAsia="Times New Roman" w:cs="Times New Roman"/>
                      <w:color w:val="auto"/>
                      <w:spacing w:val="6"/>
                      <w:sz w:val="21"/>
                      <w:szCs w:val="21"/>
                      <w:highlight w:val="none"/>
                    </w:rPr>
                    <w:t>“</w:t>
                  </w:r>
                  <w:r>
                    <w:rPr>
                      <w:rFonts w:hint="default" w:ascii="Times New Roman" w:hAnsi="Times New Roman" w:eastAsia="宋体" w:cs="Times New Roman"/>
                      <w:color w:val="auto"/>
                      <w:spacing w:val="6"/>
                      <w:sz w:val="21"/>
                      <w:szCs w:val="21"/>
                      <w:highlight w:val="none"/>
                    </w:rPr>
                    <w:t>三高</w:t>
                  </w:r>
                  <w:r>
                    <w:rPr>
                      <w:rFonts w:hint="default" w:ascii="Times New Roman" w:hAnsi="Times New Roman" w:eastAsia="Times New Roman" w:cs="Times New Roman"/>
                      <w:color w:val="auto"/>
                      <w:spacing w:val="6"/>
                      <w:sz w:val="21"/>
                      <w:szCs w:val="21"/>
                      <w:highlight w:val="none"/>
                    </w:rPr>
                    <w:t>”</w:t>
                  </w:r>
                  <w:r>
                    <w:rPr>
                      <w:rFonts w:hint="default" w:ascii="Times New Roman" w:hAnsi="Times New Roman" w:eastAsia="宋体" w:cs="Times New Roman"/>
                      <w:color w:val="auto"/>
                      <w:spacing w:val="6"/>
                      <w:sz w:val="21"/>
                      <w:szCs w:val="21"/>
                      <w:highlight w:val="none"/>
                    </w:rPr>
                    <w:t>项目。项</w:t>
                  </w:r>
                  <w:r>
                    <w:rPr>
                      <w:rFonts w:hint="default" w:ascii="Times New Roman" w:hAnsi="Times New Roman" w:eastAsia="宋体" w:cs="Times New Roman"/>
                      <w:color w:val="auto"/>
                      <w:spacing w:val="1"/>
                      <w:sz w:val="21"/>
                      <w:szCs w:val="21"/>
                      <w:highlight w:val="none"/>
                    </w:rPr>
                    <w:t>目</w:t>
                  </w:r>
                  <w:r>
                    <w:rPr>
                      <w:rFonts w:hint="default" w:ascii="Times New Roman" w:hAnsi="Times New Roman" w:eastAsia="宋体" w:cs="Times New Roman"/>
                      <w:color w:val="auto"/>
                      <w:spacing w:val="-6"/>
                      <w:sz w:val="21"/>
                      <w:szCs w:val="21"/>
                      <w:highlight w:val="none"/>
                    </w:rPr>
                    <w:t>不在</w:t>
                  </w:r>
                  <w:r>
                    <w:rPr>
                      <w:rFonts w:hint="default" w:ascii="Times New Roman" w:hAnsi="Times New Roman" w:eastAsia="宋体" w:cs="Times New Roman"/>
                      <w:color w:val="auto"/>
                      <w:spacing w:val="-3"/>
                      <w:sz w:val="21"/>
                      <w:szCs w:val="21"/>
                      <w:highlight w:val="none"/>
                    </w:rPr>
                    <w:t>水源涵养区、饮</w:t>
                  </w:r>
                  <w:r>
                    <w:rPr>
                      <w:rFonts w:hint="default" w:ascii="Times New Roman" w:hAnsi="Times New Roman" w:eastAsia="宋体" w:cs="Times New Roman"/>
                      <w:color w:val="auto"/>
                      <w:spacing w:val="19"/>
                      <w:sz w:val="21"/>
                      <w:szCs w:val="21"/>
                      <w:highlight w:val="none"/>
                    </w:rPr>
                    <w:t>用水水源保护</w:t>
                  </w:r>
                  <w:r>
                    <w:rPr>
                      <w:rFonts w:hint="default" w:ascii="Times New Roman" w:hAnsi="Times New Roman" w:eastAsia="宋体" w:cs="Times New Roman"/>
                      <w:color w:val="auto"/>
                      <w:spacing w:val="-3"/>
                      <w:sz w:val="21"/>
                      <w:szCs w:val="21"/>
                      <w:highlight w:val="none"/>
                    </w:rPr>
                    <w:t>区内和河流、湖</w:t>
                  </w:r>
                  <w:r>
                    <w:rPr>
                      <w:rFonts w:hint="default" w:ascii="Times New Roman" w:hAnsi="Times New Roman" w:eastAsia="宋体" w:cs="Times New Roman"/>
                      <w:color w:val="auto"/>
                      <w:spacing w:val="19"/>
                      <w:sz w:val="21"/>
                      <w:szCs w:val="21"/>
                      <w:highlight w:val="none"/>
                    </w:rPr>
                    <w:t>泊、水库等周</w:t>
                  </w:r>
                  <w:r>
                    <w:rPr>
                      <w:rFonts w:hint="default" w:ascii="Times New Roman" w:hAnsi="Times New Roman" w:eastAsia="宋体" w:cs="Times New Roman"/>
                      <w:color w:val="auto"/>
                      <w:spacing w:val="-3"/>
                      <w:sz w:val="21"/>
                      <w:szCs w:val="21"/>
                      <w:highlight w:val="none"/>
                    </w:rPr>
                    <w:t>边</w:t>
                  </w:r>
                  <w:r>
                    <w:rPr>
                      <w:rFonts w:hint="default" w:ascii="Times New Roman" w:hAnsi="Times New Roman" w:eastAsia="宋体" w:cs="Times New Roman"/>
                      <w:color w:val="auto"/>
                      <w:sz w:val="21"/>
                      <w:szCs w:val="21"/>
                      <w:highlight w:val="none"/>
                    </w:rPr>
                    <w:t>。</w:t>
                  </w:r>
                </w:p>
              </w:tc>
              <w:tc>
                <w:tcPr>
                  <w:tcW w:w="690" w:type="dxa"/>
                  <w:tcBorders>
                    <w:top w:val="single" w:color="000000" w:sz="12" w:space="0"/>
                    <w:tl2br w:val="nil"/>
                    <w:tr2bl w:val="nil"/>
                  </w:tcBorders>
                  <w:vAlign w:val="center"/>
                </w:tcPr>
                <w:p w14:paraId="443D3BA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符合</w:t>
                  </w:r>
                </w:p>
              </w:tc>
            </w:tr>
            <w:tr w14:paraId="3314B5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72" w:type="dxa"/>
                  <w:tcBorders>
                    <w:tl2br w:val="nil"/>
                    <w:tr2bl w:val="nil"/>
                  </w:tcBorders>
                  <w:vAlign w:val="center"/>
                </w:tcPr>
                <w:p w14:paraId="4B846C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污染物排放</w:t>
                  </w:r>
                  <w:r>
                    <w:rPr>
                      <w:rFonts w:hint="default" w:ascii="Times New Roman" w:hAnsi="Times New Roman" w:eastAsia="宋体" w:cs="Times New Roman"/>
                      <w:color w:val="auto"/>
                      <w:spacing w:val="2"/>
                      <w:sz w:val="21"/>
                      <w:szCs w:val="21"/>
                      <w:highlight w:val="none"/>
                    </w:rPr>
                    <w:t>管控</w:t>
                  </w:r>
                </w:p>
              </w:tc>
              <w:tc>
                <w:tcPr>
                  <w:tcW w:w="3107" w:type="dxa"/>
                  <w:tcBorders>
                    <w:tl2br w:val="nil"/>
                    <w:tr2bl w:val="nil"/>
                  </w:tcBorders>
                  <w:vAlign w:val="center"/>
                </w:tcPr>
                <w:p w14:paraId="1A1B601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深化行业污染源头治理，深入开展火电行业减排，</w:t>
                  </w:r>
                  <w:r>
                    <w:rPr>
                      <w:rFonts w:hint="default" w:ascii="Times New Roman" w:hAnsi="Times New Roman" w:eastAsia="宋体" w:cs="Times New Roman"/>
                      <w:color w:val="auto"/>
                      <w:spacing w:val="15"/>
                      <w:sz w:val="21"/>
                      <w:szCs w:val="21"/>
                      <w:highlight w:val="none"/>
                    </w:rPr>
                    <w:t>全力推进钢铁行业超低</w:t>
                  </w:r>
                  <w:r>
                    <w:rPr>
                      <w:rFonts w:hint="default" w:ascii="Times New Roman" w:hAnsi="Times New Roman" w:eastAsia="宋体" w:cs="Times New Roman"/>
                      <w:color w:val="auto"/>
                      <w:spacing w:val="1"/>
                      <w:sz w:val="21"/>
                      <w:szCs w:val="21"/>
                      <w:highlight w:val="none"/>
                    </w:rPr>
                    <w:t>排放改造，有序推进石化</w:t>
                  </w:r>
                  <w:r>
                    <w:rPr>
                      <w:rFonts w:hint="default" w:ascii="Times New Roman" w:hAnsi="Times New Roman" w:eastAsia="宋体" w:cs="Times New Roman"/>
                      <w:color w:val="auto"/>
                      <w:spacing w:val="19"/>
                      <w:sz w:val="21"/>
                      <w:szCs w:val="21"/>
                      <w:highlight w:val="none"/>
                    </w:rPr>
                    <w:t>行业</w:t>
                  </w:r>
                  <w:r>
                    <w:rPr>
                      <w:rFonts w:hint="default" w:ascii="Times New Roman" w:hAnsi="Times New Roman" w:eastAsia="Times New Roman" w:cs="Times New Roman"/>
                      <w:color w:val="auto"/>
                      <w:spacing w:val="19"/>
                      <w:sz w:val="21"/>
                      <w:szCs w:val="21"/>
                      <w:highlight w:val="none"/>
                    </w:rPr>
                    <w:t>“</w:t>
                  </w:r>
                  <w:r>
                    <w:rPr>
                      <w:rFonts w:hint="default" w:ascii="Times New Roman" w:hAnsi="Times New Roman" w:eastAsia="宋体" w:cs="Times New Roman"/>
                      <w:color w:val="auto"/>
                      <w:spacing w:val="19"/>
                      <w:sz w:val="21"/>
                      <w:szCs w:val="21"/>
                      <w:highlight w:val="none"/>
                    </w:rPr>
                    <w:t>泄漏检测与修复</w:t>
                  </w:r>
                  <w:r>
                    <w:rPr>
                      <w:rFonts w:hint="default" w:ascii="Times New Roman" w:hAnsi="Times New Roman" w:eastAsia="Times New Roman" w:cs="Times New Roman"/>
                      <w:color w:val="auto"/>
                      <w:spacing w:val="19"/>
                      <w:sz w:val="21"/>
                      <w:szCs w:val="21"/>
                      <w:highlight w:val="none"/>
                    </w:rPr>
                    <w:t>”</w:t>
                  </w:r>
                  <w:r>
                    <w:rPr>
                      <w:rFonts w:hint="default" w:ascii="Times New Roman" w:hAnsi="Times New Roman" w:eastAsia="宋体" w:cs="Times New Roman"/>
                      <w:color w:val="auto"/>
                      <w:spacing w:val="6"/>
                      <w:sz w:val="21"/>
                      <w:szCs w:val="21"/>
                      <w:highlight w:val="none"/>
                    </w:rPr>
                    <w:t>技术改造。强化煤化工、</w:t>
                  </w:r>
                  <w:r>
                    <w:rPr>
                      <w:rFonts w:hint="default" w:ascii="Times New Roman" w:hAnsi="Times New Roman" w:eastAsia="宋体" w:cs="Times New Roman"/>
                      <w:color w:val="auto"/>
                      <w:spacing w:val="1"/>
                      <w:sz w:val="21"/>
                      <w:szCs w:val="21"/>
                      <w:highlight w:val="none"/>
                    </w:rPr>
                    <w:t>石化、有机化工、表面涂装、包装印刷等重点行业挥发性有机物控制。深入</w:t>
                  </w:r>
                  <w:r>
                    <w:rPr>
                      <w:rFonts w:hint="default" w:ascii="Times New Roman" w:hAnsi="Times New Roman" w:eastAsia="宋体" w:cs="Times New Roman"/>
                      <w:color w:val="auto"/>
                      <w:spacing w:val="15"/>
                      <w:sz w:val="21"/>
                      <w:szCs w:val="21"/>
                      <w:highlight w:val="none"/>
                    </w:rPr>
                    <w:t>开展燃煤锅炉污染综合</w:t>
                  </w:r>
                  <w:r>
                    <w:rPr>
                      <w:rFonts w:hint="default" w:ascii="Times New Roman" w:hAnsi="Times New Roman" w:eastAsia="宋体" w:cs="Times New Roman"/>
                      <w:color w:val="auto"/>
                      <w:spacing w:val="1"/>
                      <w:sz w:val="21"/>
                      <w:szCs w:val="21"/>
                      <w:highlight w:val="none"/>
                    </w:rPr>
                    <w:t>整治，深化工业炉窑综合</w:t>
                  </w:r>
                  <w:r>
                    <w:rPr>
                      <w:rFonts w:hint="default" w:ascii="Times New Roman" w:hAnsi="Times New Roman" w:eastAsia="宋体" w:cs="Times New Roman"/>
                      <w:color w:val="auto"/>
                      <w:spacing w:val="3"/>
                      <w:sz w:val="21"/>
                      <w:szCs w:val="21"/>
                      <w:highlight w:val="none"/>
                    </w:rPr>
                    <w:t>治理。加强</w:t>
                  </w:r>
                  <w:r>
                    <w:rPr>
                      <w:rFonts w:hint="default" w:ascii="Times New Roman" w:hAnsi="Times New Roman" w:eastAsia="Times New Roman" w:cs="Times New Roman"/>
                      <w:color w:val="auto"/>
                      <w:spacing w:val="3"/>
                      <w:sz w:val="21"/>
                      <w:szCs w:val="21"/>
                      <w:highlight w:val="none"/>
                    </w:rPr>
                    <w:t>“</w:t>
                  </w:r>
                  <w:r>
                    <w:rPr>
                      <w:rFonts w:hint="default" w:ascii="Times New Roman" w:hAnsi="Times New Roman" w:eastAsia="宋体" w:cs="Times New Roman"/>
                      <w:color w:val="auto"/>
                      <w:spacing w:val="3"/>
                      <w:sz w:val="21"/>
                      <w:szCs w:val="21"/>
                      <w:highlight w:val="none"/>
                    </w:rPr>
                    <w:t>散乱污</w:t>
                  </w:r>
                  <w:r>
                    <w:rPr>
                      <w:rFonts w:hint="default" w:ascii="Times New Roman" w:hAnsi="Times New Roman" w:eastAsia="Times New Roman" w:cs="Times New Roman"/>
                      <w:color w:val="auto"/>
                      <w:spacing w:val="3"/>
                      <w:sz w:val="21"/>
                      <w:szCs w:val="21"/>
                      <w:highlight w:val="none"/>
                    </w:rPr>
                    <w:t>”</w:t>
                  </w:r>
                  <w:r>
                    <w:rPr>
                      <w:rFonts w:hint="default" w:ascii="Times New Roman" w:hAnsi="Times New Roman" w:eastAsia="宋体" w:cs="Times New Roman"/>
                      <w:color w:val="auto"/>
                      <w:spacing w:val="3"/>
                      <w:sz w:val="21"/>
                      <w:szCs w:val="21"/>
                      <w:highlight w:val="none"/>
                    </w:rPr>
                    <w:t>企业</w:t>
                  </w:r>
                  <w:r>
                    <w:rPr>
                      <w:rFonts w:hint="default" w:ascii="Times New Roman" w:hAnsi="Times New Roman" w:eastAsia="宋体" w:cs="Times New Roman"/>
                      <w:color w:val="auto"/>
                      <w:spacing w:val="1"/>
                      <w:sz w:val="21"/>
                      <w:szCs w:val="21"/>
                      <w:highlight w:val="none"/>
                    </w:rPr>
                    <w:t>综合整治。优化区域交通运输结构，加快货物运输绿色转型，做好车油联合管控。以改善流域水环境质量为核心，强化源头控</w:t>
                  </w:r>
                  <w:r>
                    <w:rPr>
                      <w:rFonts w:hint="default" w:ascii="Times New Roman" w:hAnsi="Times New Roman" w:eastAsia="宋体" w:cs="Times New Roman"/>
                      <w:color w:val="auto"/>
                      <w:spacing w:val="19"/>
                      <w:sz w:val="21"/>
                      <w:szCs w:val="21"/>
                      <w:highlight w:val="none"/>
                    </w:rPr>
                    <w:t>制，</w:t>
                  </w:r>
                  <w:r>
                    <w:rPr>
                      <w:rFonts w:hint="default" w:ascii="Times New Roman" w:hAnsi="Times New Roman" w:eastAsia="Times New Roman" w:cs="Times New Roman"/>
                      <w:color w:val="auto"/>
                      <w:spacing w:val="19"/>
                      <w:sz w:val="21"/>
                      <w:szCs w:val="21"/>
                      <w:highlight w:val="none"/>
                    </w:rPr>
                    <w:t>“</w:t>
                  </w:r>
                  <w:r>
                    <w:rPr>
                      <w:rFonts w:hint="default" w:ascii="Times New Roman" w:hAnsi="Times New Roman" w:eastAsia="宋体" w:cs="Times New Roman"/>
                      <w:color w:val="auto"/>
                      <w:spacing w:val="19"/>
                      <w:sz w:val="21"/>
                      <w:szCs w:val="21"/>
                      <w:highlight w:val="none"/>
                    </w:rPr>
                    <w:t>一河（湖）一策</w:t>
                  </w:r>
                  <w:r>
                    <w:rPr>
                      <w:rFonts w:hint="default" w:ascii="Times New Roman" w:hAnsi="Times New Roman" w:eastAsia="Times New Roman" w:cs="Times New Roman"/>
                      <w:color w:val="auto"/>
                      <w:spacing w:val="19"/>
                      <w:sz w:val="21"/>
                      <w:szCs w:val="21"/>
                      <w:highlight w:val="none"/>
                    </w:rPr>
                    <w:t>”</w:t>
                  </w:r>
                  <w:r>
                    <w:rPr>
                      <w:rFonts w:hint="default" w:ascii="Times New Roman" w:hAnsi="Times New Roman" w:eastAsia="宋体" w:cs="Times New Roman"/>
                      <w:color w:val="auto"/>
                      <w:spacing w:val="1"/>
                      <w:sz w:val="21"/>
                      <w:szCs w:val="21"/>
                      <w:highlight w:val="none"/>
                    </w:rPr>
                    <w:t>精准施治，减少水污染物排放，持续改善水环境质量。强化园区（工业集聚区）水污染防治，不断提</w:t>
                  </w:r>
                  <w:r>
                    <w:rPr>
                      <w:rFonts w:hint="default" w:ascii="Times New Roman" w:hAnsi="Times New Roman" w:eastAsia="宋体" w:cs="Times New Roman"/>
                      <w:color w:val="auto"/>
                      <w:spacing w:val="6"/>
                      <w:sz w:val="21"/>
                      <w:szCs w:val="21"/>
                      <w:highlight w:val="none"/>
                    </w:rPr>
                    <w:t>高工业用水重复利用率。</w:t>
                  </w:r>
                  <w:r>
                    <w:rPr>
                      <w:rFonts w:hint="default" w:ascii="Times New Roman" w:hAnsi="Times New Roman" w:eastAsia="宋体" w:cs="Times New Roman"/>
                      <w:color w:val="auto"/>
                      <w:spacing w:val="15"/>
                      <w:sz w:val="21"/>
                      <w:szCs w:val="21"/>
                      <w:highlight w:val="none"/>
                    </w:rPr>
                    <w:t>加快实施城镇污水处理</w:t>
                  </w:r>
                  <w:r>
                    <w:rPr>
                      <w:rFonts w:hint="default" w:ascii="Times New Roman" w:hAnsi="Times New Roman" w:eastAsia="宋体" w:cs="Times New Roman"/>
                      <w:color w:val="auto"/>
                      <w:spacing w:val="1"/>
                      <w:sz w:val="21"/>
                      <w:szCs w:val="21"/>
                      <w:highlight w:val="none"/>
                    </w:rPr>
                    <w:t>设施提质增效，补齐生活</w:t>
                  </w:r>
                  <w:r>
                    <w:rPr>
                      <w:rFonts w:hint="default" w:ascii="Times New Roman" w:hAnsi="Times New Roman" w:eastAsia="宋体" w:cs="Times New Roman"/>
                      <w:color w:val="auto"/>
                      <w:spacing w:val="15"/>
                      <w:sz w:val="21"/>
                      <w:szCs w:val="21"/>
                      <w:highlight w:val="none"/>
                    </w:rPr>
                    <w:t>污水收集和处理设施短板，提高再生水回用比</w:t>
                  </w:r>
                  <w:r>
                    <w:rPr>
                      <w:rFonts w:hint="default" w:ascii="Times New Roman" w:hAnsi="Times New Roman" w:eastAsia="宋体" w:cs="Times New Roman"/>
                      <w:color w:val="auto"/>
                      <w:spacing w:val="1"/>
                      <w:sz w:val="21"/>
                      <w:szCs w:val="21"/>
                      <w:highlight w:val="none"/>
                    </w:rPr>
                    <w:t>例。持续推进农业农村污染防治。提升土壤环境监管能力，加强污染地块安全利用监管。强化工矿用地管理，严格建设用地土壤环境风险管控。加强农</w:t>
                  </w:r>
                  <w:r>
                    <w:rPr>
                      <w:rFonts w:hint="default" w:ascii="Times New Roman" w:hAnsi="Times New Roman" w:eastAsia="宋体" w:cs="Times New Roman"/>
                      <w:color w:val="auto"/>
                      <w:spacing w:val="7"/>
                      <w:sz w:val="21"/>
                      <w:szCs w:val="21"/>
                      <w:highlight w:val="none"/>
                    </w:rPr>
                    <w:t>用地土壤污染源头控制，</w:t>
                  </w:r>
                  <w:r>
                    <w:rPr>
                      <w:rFonts w:hint="default" w:ascii="Times New Roman" w:hAnsi="Times New Roman" w:eastAsia="宋体" w:cs="Times New Roman"/>
                      <w:color w:val="auto"/>
                      <w:spacing w:val="1"/>
                      <w:sz w:val="21"/>
                      <w:szCs w:val="21"/>
                      <w:highlight w:val="none"/>
                    </w:rPr>
                    <w:t>科学施用化肥农药，提高</w:t>
                  </w:r>
                  <w:r>
                    <w:rPr>
                      <w:rFonts w:hint="default" w:ascii="Times New Roman" w:hAnsi="Times New Roman" w:eastAsia="宋体" w:cs="Times New Roman"/>
                      <w:color w:val="auto"/>
                      <w:spacing w:val="6"/>
                      <w:sz w:val="21"/>
                      <w:szCs w:val="21"/>
                      <w:highlight w:val="none"/>
                    </w:rPr>
                    <w:t>农膜回收率。</w:t>
                  </w:r>
                </w:p>
              </w:tc>
              <w:tc>
                <w:tcPr>
                  <w:tcW w:w="2137" w:type="dxa"/>
                  <w:tcBorders>
                    <w:tl2br w:val="nil"/>
                    <w:tr2bl w:val="nil"/>
                  </w:tcBorders>
                  <w:vAlign w:val="center"/>
                </w:tcPr>
                <w:p w14:paraId="69FA3D1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大气环境：本项</w:t>
                  </w:r>
                  <w:r>
                    <w:rPr>
                      <w:rFonts w:hint="default" w:ascii="Times New Roman" w:hAnsi="Times New Roman" w:eastAsia="宋体" w:cs="Times New Roman"/>
                      <w:color w:val="auto"/>
                      <w:spacing w:val="1"/>
                      <w:sz w:val="21"/>
                      <w:szCs w:val="21"/>
                      <w:highlight w:val="none"/>
                    </w:rPr>
                    <w:t>目生产过程中</w:t>
                  </w:r>
                  <w:r>
                    <w:rPr>
                      <w:rFonts w:hint="default" w:ascii="Times New Roman" w:hAnsi="Times New Roman" w:eastAsia="宋体" w:cs="Times New Roman"/>
                      <w:color w:val="auto"/>
                      <w:spacing w:val="7"/>
                      <w:sz w:val="21"/>
                      <w:szCs w:val="21"/>
                      <w:highlight w:val="none"/>
                    </w:rPr>
                    <w:t>大气污染物达</w:t>
                  </w:r>
                  <w:r>
                    <w:rPr>
                      <w:rFonts w:hint="default" w:ascii="Times New Roman" w:hAnsi="Times New Roman" w:eastAsia="宋体" w:cs="Times New Roman"/>
                      <w:color w:val="auto"/>
                      <w:spacing w:val="-3"/>
                      <w:sz w:val="21"/>
                      <w:szCs w:val="21"/>
                      <w:highlight w:val="none"/>
                    </w:rPr>
                    <w:t>标排放，排放总量少，对周围环</w:t>
                  </w:r>
                  <w:r>
                    <w:rPr>
                      <w:rFonts w:hint="default" w:ascii="Times New Roman" w:hAnsi="Times New Roman" w:eastAsia="宋体" w:cs="Times New Roman"/>
                      <w:color w:val="auto"/>
                      <w:spacing w:val="-4"/>
                      <w:sz w:val="21"/>
                      <w:szCs w:val="21"/>
                      <w:highlight w:val="none"/>
                    </w:rPr>
                    <w:t>境影响小。水环境：本项目生产</w:t>
                  </w:r>
                  <w:r>
                    <w:rPr>
                      <w:rFonts w:hint="default" w:ascii="Times New Roman" w:hAnsi="Times New Roman" w:eastAsia="宋体" w:cs="Times New Roman"/>
                      <w:color w:val="auto"/>
                      <w:spacing w:val="8"/>
                      <w:sz w:val="21"/>
                      <w:szCs w:val="21"/>
                      <w:highlight w:val="none"/>
                    </w:rPr>
                    <w:t>废水经三级沉</w:t>
                  </w:r>
                  <w:r>
                    <w:rPr>
                      <w:rFonts w:hint="default" w:ascii="Times New Roman" w:hAnsi="Times New Roman" w:eastAsia="宋体" w:cs="Times New Roman"/>
                      <w:color w:val="auto"/>
                      <w:spacing w:val="7"/>
                      <w:sz w:val="21"/>
                      <w:szCs w:val="21"/>
                      <w:highlight w:val="none"/>
                    </w:rPr>
                    <w:t>淀池沉淀后循</w:t>
                  </w:r>
                  <w:r>
                    <w:rPr>
                      <w:rFonts w:hint="default" w:ascii="Times New Roman" w:hAnsi="Times New Roman" w:eastAsia="宋体" w:cs="Times New Roman"/>
                      <w:color w:val="auto"/>
                      <w:spacing w:val="3"/>
                      <w:sz w:val="21"/>
                      <w:szCs w:val="21"/>
                      <w:highlight w:val="none"/>
                    </w:rPr>
                    <w:t>环使用不外排，</w:t>
                  </w:r>
                  <w:r>
                    <w:rPr>
                      <w:rFonts w:hint="default" w:ascii="Times New Roman" w:hAnsi="Times New Roman" w:eastAsia="宋体" w:cs="Times New Roman"/>
                      <w:color w:val="auto"/>
                      <w:spacing w:val="19"/>
                      <w:sz w:val="21"/>
                      <w:szCs w:val="21"/>
                      <w:highlight w:val="none"/>
                    </w:rPr>
                    <w:t>生活污水排入</w:t>
                  </w:r>
                  <w:r>
                    <w:rPr>
                      <w:rFonts w:hint="default" w:ascii="Times New Roman" w:hAnsi="Times New Roman" w:eastAsia="宋体" w:cs="Times New Roman"/>
                      <w:color w:val="auto"/>
                      <w:spacing w:val="3"/>
                      <w:sz w:val="21"/>
                      <w:szCs w:val="21"/>
                      <w:highlight w:val="none"/>
                    </w:rPr>
                    <w:t>园区污水管网。</w:t>
                  </w:r>
                  <w:r>
                    <w:rPr>
                      <w:rFonts w:hint="default" w:ascii="Times New Roman" w:hAnsi="Times New Roman" w:eastAsia="宋体" w:cs="Times New Roman"/>
                      <w:color w:val="auto"/>
                      <w:spacing w:val="-4"/>
                      <w:sz w:val="21"/>
                      <w:szCs w:val="21"/>
                      <w:highlight w:val="none"/>
                    </w:rPr>
                    <w:t>声环境：项目无</w:t>
                  </w:r>
                  <w:r>
                    <w:rPr>
                      <w:rFonts w:hint="default" w:ascii="Times New Roman" w:hAnsi="Times New Roman" w:eastAsia="宋体" w:cs="Times New Roman"/>
                      <w:color w:val="auto"/>
                      <w:spacing w:val="1"/>
                      <w:sz w:val="21"/>
                      <w:szCs w:val="21"/>
                      <w:highlight w:val="none"/>
                    </w:rPr>
                    <w:t>较大的噪声源，</w:t>
                  </w:r>
                  <w:r>
                    <w:rPr>
                      <w:rFonts w:hint="default" w:ascii="Times New Roman" w:hAnsi="Times New Roman" w:eastAsia="宋体" w:cs="Times New Roman"/>
                      <w:color w:val="auto"/>
                      <w:spacing w:val="19"/>
                      <w:sz w:val="21"/>
                      <w:szCs w:val="21"/>
                      <w:highlight w:val="none"/>
                    </w:rPr>
                    <w:t>声环境质量良</w:t>
                  </w:r>
                  <w:r>
                    <w:rPr>
                      <w:rFonts w:hint="default" w:ascii="Times New Roman" w:hAnsi="Times New Roman" w:eastAsia="宋体" w:cs="Times New Roman"/>
                      <w:color w:val="auto"/>
                      <w:spacing w:val="-3"/>
                      <w:sz w:val="21"/>
                      <w:szCs w:val="21"/>
                      <w:highlight w:val="none"/>
                    </w:rPr>
                    <w:t>好。固废：生活</w:t>
                  </w:r>
                  <w:r>
                    <w:rPr>
                      <w:rFonts w:hint="default" w:ascii="Times New Roman" w:hAnsi="Times New Roman" w:eastAsia="宋体" w:cs="Times New Roman"/>
                      <w:color w:val="auto"/>
                      <w:spacing w:val="19"/>
                      <w:sz w:val="21"/>
                      <w:szCs w:val="21"/>
                      <w:highlight w:val="none"/>
                    </w:rPr>
                    <w:t>垃圾集中收集</w:t>
                  </w:r>
                  <w:r>
                    <w:rPr>
                      <w:rFonts w:hint="default" w:ascii="Times New Roman" w:hAnsi="Times New Roman" w:eastAsia="宋体" w:cs="Times New Roman"/>
                      <w:color w:val="auto"/>
                      <w:spacing w:val="7"/>
                      <w:sz w:val="21"/>
                      <w:szCs w:val="21"/>
                      <w:highlight w:val="none"/>
                    </w:rPr>
                    <w:t>后由环卫部门</w:t>
                  </w:r>
                  <w:r>
                    <w:rPr>
                      <w:rFonts w:hint="default" w:ascii="Times New Roman" w:hAnsi="Times New Roman" w:eastAsia="宋体" w:cs="Times New Roman"/>
                      <w:color w:val="auto"/>
                      <w:spacing w:val="-4"/>
                      <w:sz w:val="21"/>
                      <w:szCs w:val="21"/>
                      <w:highlight w:val="none"/>
                    </w:rPr>
                    <w:t>统一清运；不合</w:t>
                  </w:r>
                  <w:r>
                    <w:rPr>
                      <w:rFonts w:hint="default" w:ascii="Times New Roman" w:hAnsi="Times New Roman" w:eastAsia="宋体" w:cs="Times New Roman"/>
                      <w:color w:val="auto"/>
                      <w:spacing w:val="18"/>
                      <w:sz w:val="21"/>
                      <w:szCs w:val="21"/>
                      <w:highlight w:val="none"/>
                    </w:rPr>
                    <w:t>格产品收集后</w:t>
                  </w:r>
                  <w:r>
                    <w:rPr>
                      <w:rFonts w:hint="default" w:ascii="Times New Roman" w:hAnsi="Times New Roman" w:eastAsia="宋体" w:cs="Times New Roman"/>
                      <w:color w:val="auto"/>
                      <w:spacing w:val="-3"/>
                      <w:sz w:val="21"/>
                      <w:szCs w:val="21"/>
                      <w:highlight w:val="none"/>
                    </w:rPr>
                    <w:t>回用于生产，废</w:t>
                  </w:r>
                  <w:r>
                    <w:rPr>
                      <w:rFonts w:hint="default" w:ascii="Times New Roman" w:hAnsi="Times New Roman" w:eastAsia="宋体" w:cs="Times New Roman"/>
                      <w:color w:val="auto"/>
                      <w:spacing w:val="18"/>
                      <w:sz w:val="21"/>
                      <w:szCs w:val="21"/>
                      <w:highlight w:val="none"/>
                    </w:rPr>
                    <w:t>包装材料收集</w:t>
                  </w:r>
                  <w:r>
                    <w:rPr>
                      <w:rFonts w:hint="default" w:ascii="Times New Roman" w:hAnsi="Times New Roman" w:eastAsia="宋体" w:cs="Times New Roman"/>
                      <w:color w:val="auto"/>
                      <w:spacing w:val="-3"/>
                      <w:sz w:val="21"/>
                      <w:szCs w:val="21"/>
                      <w:highlight w:val="none"/>
                    </w:rPr>
                    <w:t>后外售；废活性</w:t>
                  </w:r>
                  <w:r>
                    <w:rPr>
                      <w:rFonts w:hint="default" w:ascii="Times New Roman" w:hAnsi="Times New Roman" w:eastAsia="宋体" w:cs="Times New Roman"/>
                      <w:color w:val="auto"/>
                      <w:spacing w:val="3"/>
                      <w:sz w:val="21"/>
                      <w:szCs w:val="21"/>
                      <w:highlight w:val="none"/>
                    </w:rPr>
                    <w:t>炭、废催化剂、</w:t>
                  </w:r>
                  <w:r>
                    <w:rPr>
                      <w:rFonts w:hint="default" w:ascii="Times New Roman" w:hAnsi="Times New Roman" w:eastAsia="宋体" w:cs="Times New Roman"/>
                      <w:color w:val="auto"/>
                      <w:spacing w:val="8"/>
                      <w:sz w:val="21"/>
                      <w:szCs w:val="21"/>
                      <w:highlight w:val="none"/>
                    </w:rPr>
                    <w:t>废机油交由有</w:t>
                  </w:r>
                  <w:r>
                    <w:rPr>
                      <w:rFonts w:hint="default" w:ascii="Times New Roman" w:hAnsi="Times New Roman" w:eastAsia="宋体" w:cs="Times New Roman"/>
                      <w:color w:val="auto"/>
                      <w:spacing w:val="6"/>
                      <w:sz w:val="21"/>
                      <w:szCs w:val="21"/>
                      <w:highlight w:val="none"/>
                    </w:rPr>
                    <w:t>资质的单位统</w:t>
                  </w:r>
                  <w:r>
                    <w:rPr>
                      <w:rFonts w:hint="default" w:ascii="Times New Roman" w:hAnsi="Times New Roman" w:eastAsia="宋体" w:cs="Times New Roman"/>
                      <w:color w:val="auto"/>
                      <w:spacing w:val="-4"/>
                      <w:sz w:val="21"/>
                      <w:szCs w:val="21"/>
                      <w:highlight w:val="none"/>
                    </w:rPr>
                    <w:t>一处理。本项目</w:t>
                  </w:r>
                  <w:r>
                    <w:rPr>
                      <w:rFonts w:hint="default" w:ascii="Times New Roman" w:hAnsi="Times New Roman" w:eastAsia="宋体" w:cs="Times New Roman"/>
                      <w:color w:val="auto"/>
                      <w:spacing w:val="18"/>
                      <w:sz w:val="21"/>
                      <w:szCs w:val="21"/>
                      <w:highlight w:val="none"/>
                    </w:rPr>
                    <w:t>采取的环保措</w:t>
                  </w:r>
                  <w:r>
                    <w:rPr>
                      <w:rFonts w:hint="default" w:ascii="Times New Roman" w:hAnsi="Times New Roman" w:eastAsia="宋体" w:cs="Times New Roman"/>
                      <w:color w:val="auto"/>
                      <w:spacing w:val="8"/>
                      <w:sz w:val="21"/>
                      <w:szCs w:val="21"/>
                      <w:highlight w:val="none"/>
                    </w:rPr>
                    <w:t>施能确保污染物对环境质量</w:t>
                  </w:r>
                  <w:r>
                    <w:rPr>
                      <w:rFonts w:hint="default" w:ascii="Times New Roman" w:hAnsi="Times New Roman" w:eastAsia="宋体" w:cs="Times New Roman"/>
                      <w:color w:val="auto"/>
                      <w:spacing w:val="7"/>
                      <w:sz w:val="21"/>
                      <w:szCs w:val="21"/>
                      <w:highlight w:val="none"/>
                    </w:rPr>
                    <w:t>影响</w:t>
                  </w:r>
                  <w:r>
                    <w:rPr>
                      <w:rFonts w:hint="default" w:ascii="Times New Roman" w:hAnsi="Times New Roman" w:cs="Times New Roman"/>
                      <w:color w:val="auto"/>
                      <w:spacing w:val="7"/>
                      <w:sz w:val="21"/>
                      <w:szCs w:val="21"/>
                      <w:highlight w:val="none"/>
                      <w:lang w:eastAsia="zh-CN"/>
                    </w:rPr>
                    <w:t>降到最低</w:t>
                  </w:r>
                  <w:r>
                    <w:rPr>
                      <w:rFonts w:hint="default" w:ascii="Times New Roman" w:hAnsi="Times New Roman" w:eastAsia="宋体" w:cs="Times New Roman"/>
                      <w:color w:val="auto"/>
                      <w:spacing w:val="7"/>
                      <w:sz w:val="21"/>
                      <w:szCs w:val="21"/>
                      <w:highlight w:val="none"/>
                    </w:rPr>
                    <w:t>。</w:t>
                  </w:r>
                </w:p>
              </w:tc>
              <w:tc>
                <w:tcPr>
                  <w:tcW w:w="690" w:type="dxa"/>
                  <w:tcBorders>
                    <w:tl2br w:val="nil"/>
                    <w:tr2bl w:val="nil"/>
                  </w:tcBorders>
                  <w:vAlign w:val="center"/>
                </w:tcPr>
                <w:p w14:paraId="76C8BA9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符合</w:t>
                  </w:r>
                </w:p>
              </w:tc>
            </w:tr>
            <w:tr w14:paraId="0A9C21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72" w:type="dxa"/>
                  <w:tcBorders>
                    <w:tl2br w:val="nil"/>
                    <w:tr2bl w:val="nil"/>
                  </w:tcBorders>
                  <w:vAlign w:val="center"/>
                </w:tcPr>
                <w:p w14:paraId="1D28AA4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环境风险防</w:t>
                  </w:r>
                  <w:r>
                    <w:rPr>
                      <w:rFonts w:hint="default" w:ascii="Times New Roman" w:hAnsi="Times New Roman" w:eastAsia="宋体" w:cs="Times New Roman"/>
                      <w:color w:val="auto"/>
                      <w:spacing w:val="1"/>
                      <w:sz w:val="21"/>
                      <w:szCs w:val="21"/>
                      <w:highlight w:val="none"/>
                    </w:rPr>
                    <w:t>控</w:t>
                  </w:r>
                </w:p>
              </w:tc>
              <w:tc>
                <w:tcPr>
                  <w:tcW w:w="3107" w:type="dxa"/>
                  <w:tcBorders>
                    <w:tl2br w:val="nil"/>
                    <w:tr2bl w:val="nil"/>
                  </w:tcBorders>
                  <w:vAlign w:val="center"/>
                </w:tcPr>
                <w:p w14:paraId="6BB21F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禁止在化工园区外新建、扩建危险化学品生产项</w:t>
                  </w:r>
                  <w:r>
                    <w:rPr>
                      <w:rFonts w:hint="default" w:ascii="Times New Roman" w:hAnsi="Times New Roman" w:eastAsia="宋体" w:cs="Times New Roman"/>
                      <w:color w:val="auto"/>
                      <w:spacing w:val="-3"/>
                      <w:sz w:val="21"/>
                      <w:szCs w:val="21"/>
                      <w:highlight w:val="none"/>
                    </w:rPr>
                    <w:t>目。严格落实危险废物处</w:t>
                  </w:r>
                  <w:r>
                    <w:rPr>
                      <w:rFonts w:hint="default" w:ascii="Times New Roman" w:hAnsi="Times New Roman" w:eastAsia="宋体" w:cs="Times New Roman"/>
                      <w:color w:val="auto"/>
                      <w:spacing w:val="1"/>
                      <w:sz w:val="21"/>
                      <w:szCs w:val="21"/>
                      <w:highlight w:val="none"/>
                    </w:rPr>
                    <w:t>置相关要求。加强重点流域水环境风险管控，保障</w:t>
                  </w:r>
                  <w:r>
                    <w:rPr>
                      <w:rFonts w:hint="default" w:ascii="Times New Roman" w:hAnsi="Times New Roman" w:eastAsia="宋体" w:cs="Times New Roman"/>
                      <w:color w:val="auto"/>
                      <w:spacing w:val="6"/>
                      <w:sz w:val="21"/>
                      <w:szCs w:val="21"/>
                      <w:highlight w:val="none"/>
                    </w:rPr>
                    <w:t>水环境安全。</w:t>
                  </w:r>
                </w:p>
              </w:tc>
              <w:tc>
                <w:tcPr>
                  <w:tcW w:w="2137" w:type="dxa"/>
                  <w:tcBorders>
                    <w:tl2br w:val="nil"/>
                    <w:tr2bl w:val="nil"/>
                  </w:tcBorders>
                  <w:vAlign w:val="center"/>
                </w:tcPr>
                <w:p w14:paraId="56EF928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本项目不涉及</w:t>
                  </w:r>
                  <w:r>
                    <w:rPr>
                      <w:rFonts w:hint="default" w:ascii="Times New Roman" w:hAnsi="Times New Roman" w:eastAsia="宋体" w:cs="Times New Roman"/>
                      <w:color w:val="auto"/>
                      <w:spacing w:val="7"/>
                      <w:sz w:val="21"/>
                      <w:szCs w:val="21"/>
                      <w:highlight w:val="none"/>
                    </w:rPr>
                    <w:t>危险化学品生</w:t>
                  </w:r>
                  <w:r>
                    <w:rPr>
                      <w:rFonts w:hint="default" w:ascii="Times New Roman" w:hAnsi="Times New Roman" w:eastAsia="宋体" w:cs="Times New Roman"/>
                      <w:color w:val="auto"/>
                      <w:spacing w:val="-3"/>
                      <w:sz w:val="21"/>
                      <w:szCs w:val="21"/>
                      <w:highlight w:val="none"/>
                    </w:rPr>
                    <w:t>产。项目运行过</w:t>
                  </w:r>
                  <w:r>
                    <w:rPr>
                      <w:rFonts w:hint="default" w:ascii="Times New Roman" w:hAnsi="Times New Roman" w:eastAsia="宋体" w:cs="Times New Roman"/>
                      <w:color w:val="auto"/>
                      <w:spacing w:val="19"/>
                      <w:sz w:val="21"/>
                      <w:szCs w:val="21"/>
                      <w:highlight w:val="none"/>
                    </w:rPr>
                    <w:t>程产生的废活</w:t>
                  </w:r>
                  <w:r>
                    <w:rPr>
                      <w:rFonts w:hint="default" w:ascii="Times New Roman" w:hAnsi="Times New Roman" w:eastAsia="宋体" w:cs="Times New Roman"/>
                      <w:color w:val="auto"/>
                      <w:spacing w:val="7"/>
                      <w:sz w:val="21"/>
                      <w:szCs w:val="21"/>
                      <w:highlight w:val="none"/>
                    </w:rPr>
                    <w:t>性炭、废催化</w:t>
                  </w:r>
                  <w:r>
                    <w:rPr>
                      <w:rFonts w:hint="default" w:ascii="Times New Roman" w:hAnsi="Times New Roman" w:eastAsia="宋体" w:cs="Times New Roman"/>
                      <w:color w:val="auto"/>
                      <w:spacing w:val="-4"/>
                      <w:sz w:val="21"/>
                      <w:szCs w:val="21"/>
                      <w:highlight w:val="none"/>
                    </w:rPr>
                    <w:t>剂、废机油严格</w:t>
                  </w:r>
                  <w:r>
                    <w:rPr>
                      <w:rFonts w:hint="default" w:ascii="Times New Roman" w:hAnsi="Times New Roman" w:eastAsia="宋体" w:cs="Times New Roman"/>
                      <w:color w:val="auto"/>
                      <w:spacing w:val="18"/>
                      <w:sz w:val="21"/>
                      <w:szCs w:val="21"/>
                      <w:highlight w:val="none"/>
                    </w:rPr>
                    <w:t>按照危险废物</w:t>
                  </w:r>
                  <w:r>
                    <w:rPr>
                      <w:rFonts w:hint="default" w:ascii="Times New Roman" w:hAnsi="Times New Roman" w:eastAsia="宋体" w:cs="Times New Roman"/>
                      <w:color w:val="auto"/>
                      <w:spacing w:val="-4"/>
                      <w:sz w:val="21"/>
                      <w:szCs w:val="21"/>
                      <w:highlight w:val="none"/>
                    </w:rPr>
                    <w:t>收集、储存及处</w:t>
                  </w:r>
                  <w:r>
                    <w:rPr>
                      <w:rFonts w:hint="default" w:ascii="Times New Roman" w:hAnsi="Times New Roman" w:eastAsia="宋体" w:cs="Times New Roman"/>
                      <w:color w:val="auto"/>
                      <w:spacing w:val="5"/>
                      <w:sz w:val="21"/>
                      <w:szCs w:val="21"/>
                      <w:highlight w:val="none"/>
                    </w:rPr>
                    <w:t>置要求。</w:t>
                  </w:r>
                </w:p>
              </w:tc>
              <w:tc>
                <w:tcPr>
                  <w:tcW w:w="690" w:type="dxa"/>
                  <w:tcBorders>
                    <w:tl2br w:val="nil"/>
                    <w:tr2bl w:val="nil"/>
                  </w:tcBorders>
                  <w:vAlign w:val="center"/>
                </w:tcPr>
                <w:p w14:paraId="13200F0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符合</w:t>
                  </w:r>
                </w:p>
              </w:tc>
            </w:tr>
            <w:tr w14:paraId="545D17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72" w:type="dxa"/>
                  <w:tcBorders>
                    <w:tl2br w:val="nil"/>
                    <w:tr2bl w:val="nil"/>
                  </w:tcBorders>
                  <w:vAlign w:val="center"/>
                </w:tcPr>
                <w:p w14:paraId="65E5B27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资源利用效率要求</w:t>
                  </w:r>
                </w:p>
              </w:tc>
              <w:tc>
                <w:tcPr>
                  <w:tcW w:w="3107" w:type="dxa"/>
                  <w:tcBorders>
                    <w:tl2br w:val="nil"/>
                    <w:tr2bl w:val="nil"/>
                  </w:tcBorders>
                  <w:vAlign w:val="center"/>
                </w:tcPr>
                <w:p w14:paraId="1613F74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优化能源结构，控制煤炭等化石能源使用量，鼓励使用清洁能源，协同推进减污降碳。全面实施节水工程，合理开发利用水资</w:t>
                  </w:r>
                  <w:r>
                    <w:rPr>
                      <w:rFonts w:hint="default" w:ascii="Times New Roman" w:hAnsi="Times New Roman" w:eastAsia="宋体" w:cs="Times New Roman"/>
                      <w:color w:val="auto"/>
                      <w:spacing w:val="9"/>
                      <w:sz w:val="21"/>
                      <w:szCs w:val="21"/>
                      <w:highlight w:val="none"/>
                    </w:rPr>
                    <w:t>源，提升水资源利用效</w:t>
                  </w:r>
                  <w:r>
                    <w:rPr>
                      <w:rFonts w:hint="default" w:ascii="Times New Roman" w:hAnsi="Times New Roman" w:eastAsia="宋体" w:cs="Times New Roman"/>
                      <w:color w:val="auto"/>
                      <w:spacing w:val="1"/>
                      <w:sz w:val="21"/>
                      <w:szCs w:val="21"/>
                      <w:highlight w:val="none"/>
                    </w:rPr>
                    <w:t>率，保障生态用水，严防</w:t>
                  </w:r>
                  <w:r>
                    <w:rPr>
                      <w:rFonts w:hint="default" w:ascii="Times New Roman" w:hAnsi="Times New Roman" w:eastAsia="宋体" w:cs="Times New Roman"/>
                      <w:color w:val="auto"/>
                      <w:spacing w:val="6"/>
                      <w:sz w:val="21"/>
                      <w:szCs w:val="21"/>
                      <w:highlight w:val="none"/>
                    </w:rPr>
                    <w:t>地下水超采。</w:t>
                  </w:r>
                </w:p>
              </w:tc>
              <w:tc>
                <w:tcPr>
                  <w:tcW w:w="2137" w:type="dxa"/>
                  <w:tcBorders>
                    <w:tl2br w:val="nil"/>
                    <w:tr2bl w:val="nil"/>
                  </w:tcBorders>
                  <w:vAlign w:val="center"/>
                </w:tcPr>
                <w:p w14:paraId="3D1647E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本项目为农用</w:t>
                  </w:r>
                  <w:r>
                    <w:rPr>
                      <w:rFonts w:hint="default" w:ascii="Times New Roman" w:hAnsi="Times New Roman" w:eastAsia="宋体" w:cs="Times New Roman"/>
                      <w:color w:val="auto"/>
                      <w:spacing w:val="1"/>
                      <w:sz w:val="21"/>
                      <w:szCs w:val="21"/>
                      <w:highlight w:val="none"/>
                    </w:rPr>
                    <w:t>地膜生产项目，</w:t>
                  </w:r>
                  <w:r>
                    <w:rPr>
                      <w:rFonts w:hint="default" w:ascii="Times New Roman" w:hAnsi="Times New Roman" w:eastAsia="宋体" w:cs="Times New Roman"/>
                      <w:color w:val="auto"/>
                      <w:spacing w:val="19"/>
                      <w:sz w:val="21"/>
                      <w:szCs w:val="21"/>
                      <w:highlight w:val="none"/>
                    </w:rPr>
                    <w:t>项目生产运营</w:t>
                  </w:r>
                  <w:r>
                    <w:rPr>
                      <w:rFonts w:hint="default" w:ascii="Times New Roman" w:hAnsi="Times New Roman" w:eastAsia="宋体" w:cs="Times New Roman"/>
                      <w:color w:val="auto"/>
                      <w:spacing w:val="8"/>
                      <w:sz w:val="21"/>
                      <w:szCs w:val="21"/>
                      <w:highlight w:val="none"/>
                    </w:rPr>
                    <w:t>过程中会消耗</w:t>
                  </w:r>
                  <w:r>
                    <w:rPr>
                      <w:rFonts w:hint="default" w:ascii="Times New Roman" w:hAnsi="Times New Roman" w:eastAsia="宋体" w:cs="Times New Roman"/>
                      <w:color w:val="auto"/>
                      <w:spacing w:val="-7"/>
                      <w:sz w:val="21"/>
                      <w:szCs w:val="21"/>
                      <w:highlight w:val="none"/>
                    </w:rPr>
                    <w:t>电、水等清洁能</w:t>
                  </w:r>
                  <w:r>
                    <w:rPr>
                      <w:rFonts w:hint="default" w:ascii="Times New Roman" w:hAnsi="Times New Roman" w:eastAsia="宋体" w:cs="Times New Roman"/>
                      <w:color w:val="auto"/>
                      <w:spacing w:val="-3"/>
                      <w:sz w:val="21"/>
                      <w:szCs w:val="21"/>
                      <w:highlight w:val="none"/>
                    </w:rPr>
                    <w:t>源。项目生产废</w:t>
                  </w:r>
                  <w:r>
                    <w:rPr>
                      <w:rFonts w:hint="default" w:ascii="Times New Roman" w:hAnsi="Times New Roman" w:eastAsia="宋体" w:cs="Times New Roman"/>
                      <w:color w:val="auto"/>
                      <w:spacing w:val="7"/>
                      <w:sz w:val="21"/>
                      <w:szCs w:val="21"/>
                      <w:highlight w:val="none"/>
                    </w:rPr>
                    <w:t>水经三级沉淀</w:t>
                  </w:r>
                  <w:r>
                    <w:rPr>
                      <w:rFonts w:hint="default" w:ascii="Times New Roman" w:hAnsi="Times New Roman" w:eastAsia="宋体" w:cs="Times New Roman"/>
                      <w:color w:val="auto"/>
                      <w:spacing w:val="8"/>
                      <w:sz w:val="21"/>
                      <w:szCs w:val="21"/>
                      <w:highlight w:val="none"/>
                    </w:rPr>
                    <w:t>池沉淀后循环</w:t>
                  </w:r>
                  <w:r>
                    <w:rPr>
                      <w:rFonts w:hint="default" w:ascii="Times New Roman" w:hAnsi="Times New Roman" w:eastAsia="宋体" w:cs="Times New Roman"/>
                      <w:color w:val="auto"/>
                      <w:spacing w:val="-3"/>
                      <w:sz w:val="21"/>
                      <w:szCs w:val="21"/>
                      <w:highlight w:val="none"/>
                    </w:rPr>
                    <w:t>使用不外排，生</w:t>
                  </w:r>
                  <w:r>
                    <w:rPr>
                      <w:rFonts w:hint="default" w:ascii="Times New Roman" w:hAnsi="Times New Roman" w:eastAsia="宋体" w:cs="Times New Roman"/>
                      <w:color w:val="auto"/>
                      <w:spacing w:val="18"/>
                      <w:sz w:val="21"/>
                      <w:szCs w:val="21"/>
                      <w:highlight w:val="none"/>
                    </w:rPr>
                    <w:t>活污水直排</w:t>
                  </w:r>
                  <w:r>
                    <w:rPr>
                      <w:rFonts w:hint="default" w:ascii="Times New Roman" w:hAnsi="Times New Roman" w:eastAsia="宋体" w:cs="Times New Roman"/>
                      <w:color w:val="auto"/>
                      <w:spacing w:val="-3"/>
                      <w:sz w:val="21"/>
                      <w:szCs w:val="21"/>
                      <w:highlight w:val="none"/>
                    </w:rPr>
                    <w:t>污水管网</w:t>
                  </w:r>
                  <w:r>
                    <w:rPr>
                      <w:rFonts w:hint="default" w:ascii="Times New Roman" w:hAnsi="Times New Roman" w:eastAsia="宋体" w:cs="Times New Roman"/>
                      <w:color w:val="auto"/>
                      <w:spacing w:val="3"/>
                      <w:sz w:val="21"/>
                      <w:szCs w:val="21"/>
                      <w:highlight w:val="none"/>
                    </w:rPr>
                    <w:t>。</w:t>
                  </w:r>
                </w:p>
              </w:tc>
              <w:tc>
                <w:tcPr>
                  <w:tcW w:w="690" w:type="dxa"/>
                  <w:tcBorders>
                    <w:tl2br w:val="nil"/>
                    <w:tr2bl w:val="nil"/>
                  </w:tcBorders>
                  <w:vAlign w:val="center"/>
                </w:tcPr>
                <w:p w14:paraId="103054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符合</w:t>
                  </w:r>
                </w:p>
              </w:tc>
            </w:tr>
          </w:tbl>
          <w:p w14:paraId="311E7836">
            <w:pPr>
              <w:spacing w:before="109" w:line="219" w:lineRule="auto"/>
              <w:ind w:left="109"/>
              <w:rPr>
                <w:rFonts w:hint="default" w:ascii="Times New Roman" w:hAnsi="Times New Roman" w:eastAsia="宋体" w:cs="Times New Roman"/>
                <w:b/>
                <w:bCs/>
                <w:color w:val="auto"/>
                <w:spacing w:val="-7"/>
                <w:sz w:val="24"/>
                <w:szCs w:val="24"/>
                <w:highlight w:val="none"/>
              </w:rPr>
            </w:pPr>
          </w:p>
          <w:p w14:paraId="16D8B068">
            <w:pPr>
              <w:pStyle w:val="40"/>
              <w:adjustRightInd/>
              <w:spacing w:line="360" w:lineRule="auto"/>
              <w:ind w:left="0" w:leftChars="0" w:firstLine="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与</w:t>
            </w:r>
            <w:r>
              <w:rPr>
                <w:rFonts w:hint="default" w:ascii="Times New Roman" w:hAnsi="Times New Roman" w:eastAsia="宋体" w:cs="Times New Roman"/>
                <w:b/>
                <w:bCs/>
                <w:color w:val="auto"/>
                <w:spacing w:val="-7"/>
                <w:sz w:val="24"/>
                <w:szCs w:val="24"/>
                <w:highlight w:val="none"/>
              </w:rPr>
              <w:t>《</w:t>
            </w:r>
            <w:r>
              <w:rPr>
                <w:rFonts w:hint="default" w:ascii="Times New Roman" w:hAnsi="Times New Roman" w:cs="Times New Roman"/>
                <w:b/>
                <w:bCs/>
                <w:color w:val="auto"/>
                <w:spacing w:val="-7"/>
                <w:sz w:val="24"/>
                <w:szCs w:val="24"/>
                <w:highlight w:val="none"/>
                <w:lang w:eastAsia="zh-CN"/>
              </w:rPr>
              <w:t>昌吉回族自治州生态环境分区管控动态更新成果</w:t>
            </w:r>
            <w:r>
              <w:rPr>
                <w:rFonts w:hint="default" w:ascii="Times New Roman" w:hAnsi="Times New Roman" w:eastAsia="宋体" w:cs="Times New Roman"/>
                <w:b/>
                <w:bCs/>
                <w:color w:val="auto"/>
                <w:spacing w:val="-4"/>
                <w:sz w:val="24"/>
                <w:szCs w:val="24"/>
                <w:highlight w:val="none"/>
              </w:rPr>
              <w:t>》</w:t>
            </w:r>
            <w:r>
              <w:rPr>
                <w:rFonts w:hint="default" w:ascii="Times New Roman" w:hAnsi="Times New Roman" w:eastAsia="宋体" w:cs="Times New Roman"/>
                <w:b/>
                <w:bCs/>
                <w:color w:val="auto"/>
                <w:sz w:val="24"/>
                <w:szCs w:val="24"/>
                <w:highlight w:val="none"/>
                <w:lang w:val="en-US" w:eastAsia="zh-CN"/>
              </w:rPr>
              <w:t>符合性分析</w:t>
            </w:r>
          </w:p>
          <w:p w14:paraId="41B6A7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本项目位于新疆维吾尔自治区昌吉市六工镇，项目选址属于昌吉回族自治州“三线一单”生态环境分区管控方案中的“昌吉市城镇集中建设区重点管控单元”；环境管控单元编码：ZH652301</w:t>
            </w:r>
            <w:r>
              <w:rPr>
                <w:rFonts w:hint="default" w:ascii="Times New Roman" w:hAnsi="Times New Roman" w:cs="Times New Roman"/>
                <w:b w:val="0"/>
                <w:bCs w:val="0"/>
                <w:color w:val="auto"/>
                <w:sz w:val="24"/>
                <w:szCs w:val="24"/>
                <w:highlight w:val="none"/>
                <w:lang w:val="en-US" w:eastAsia="zh-CN"/>
              </w:rPr>
              <w:t>4000</w:t>
            </w:r>
            <w:r>
              <w:rPr>
                <w:rFonts w:hint="default" w:ascii="Times New Roman" w:hAnsi="Times New Roman" w:eastAsia="宋体" w:cs="Times New Roman"/>
                <w:b w:val="0"/>
                <w:bCs w:val="0"/>
                <w:color w:val="auto"/>
                <w:sz w:val="24"/>
                <w:szCs w:val="24"/>
                <w:highlight w:val="none"/>
                <w:lang w:val="en-US" w:eastAsia="zh-CN"/>
              </w:rPr>
              <w:t>1，详见图</w:t>
            </w:r>
            <w:r>
              <w:rPr>
                <w:rFonts w:hint="default" w:ascii="Times New Roman" w:hAnsi="Times New Roman"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lang w:val="en-US" w:eastAsia="zh-CN"/>
              </w:rPr>
              <w:t>。项目与“昌吉回族自治州“三线一单”生态环境分区管控方案要求符合性分析见下表。</w:t>
            </w:r>
          </w:p>
          <w:p w14:paraId="515B7966">
            <w:pPr>
              <w:pStyle w:val="36"/>
              <w:keepNext w:val="0"/>
              <w:keepLines w:val="0"/>
              <w:pageBreakBefore w:val="0"/>
              <w:widowControl w:val="0"/>
              <w:kinsoku/>
              <w:wordWrap/>
              <w:overflowPunct/>
              <w:topLinePunct w:val="0"/>
              <w:autoSpaceDE/>
              <w:autoSpaceDN/>
              <w:bidi w:val="0"/>
              <w:adjustRightInd/>
              <w:snapToGrid/>
              <w:spacing w:before="0" w:beforeLines="0" w:line="240" w:lineRule="auto"/>
              <w:ind w:left="0" w:leftChars="0"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sz w:val="21"/>
                <w:szCs w:val="21"/>
                <w:highlight w:val="none"/>
                <w:lang w:val="en-US" w:eastAsia="zh-CN"/>
              </w:rPr>
              <w:t>表1-</w:t>
            </w:r>
            <w:r>
              <w:rPr>
                <w:rFonts w:hint="default" w:ascii="Times New Roman" w:hAnsi="Times New Roman" w:cs="Times New Roman"/>
                <w:b/>
                <w:bCs/>
                <w:color w:val="auto"/>
                <w:sz w:val="21"/>
                <w:szCs w:val="21"/>
                <w:highlight w:val="none"/>
                <w:lang w:val="en-US" w:eastAsia="zh-CN"/>
              </w:rPr>
              <w:t xml:space="preserve">3   </w:t>
            </w:r>
            <w:r>
              <w:rPr>
                <w:rFonts w:hint="default" w:ascii="Times New Roman" w:hAnsi="Times New Roman" w:eastAsia="宋体" w:cs="Times New Roman"/>
                <w:b/>
                <w:bCs/>
                <w:color w:val="auto"/>
                <w:sz w:val="21"/>
                <w:szCs w:val="21"/>
                <w:highlight w:val="none"/>
              </w:rPr>
              <w:t>项目与“昌吉回族自治州“三线一单”生态环境分区管控方案及生态环境准入清单”符合性分析一览表</w:t>
            </w:r>
          </w:p>
          <w:tbl>
            <w:tblPr>
              <w:tblStyle w:val="24"/>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9"/>
              <w:gridCol w:w="695"/>
              <w:gridCol w:w="706"/>
              <w:gridCol w:w="2354"/>
              <w:gridCol w:w="1458"/>
              <w:gridCol w:w="666"/>
            </w:tblGrid>
            <w:tr w14:paraId="7361EA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669" w:type="dxa"/>
                  <w:tcBorders>
                    <w:bottom w:val="single" w:color="000000" w:sz="12" w:space="0"/>
                  </w:tcBorders>
                  <w:shd w:val="clear" w:color="auto" w:fill="auto"/>
                  <w:vAlign w:val="top"/>
                </w:tcPr>
                <w:p w14:paraId="0C1A27AA">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环境管控单元编码</w:t>
                  </w:r>
                </w:p>
              </w:tc>
              <w:tc>
                <w:tcPr>
                  <w:tcW w:w="695" w:type="dxa"/>
                  <w:tcBorders>
                    <w:bottom w:val="single" w:color="000000" w:sz="12" w:space="0"/>
                  </w:tcBorders>
                  <w:shd w:val="clear" w:color="auto" w:fill="auto"/>
                  <w:vAlign w:val="top"/>
                </w:tcPr>
                <w:p w14:paraId="79A48550">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环境管控单元名称</w:t>
                  </w:r>
                </w:p>
              </w:tc>
              <w:tc>
                <w:tcPr>
                  <w:tcW w:w="706" w:type="dxa"/>
                  <w:tcBorders>
                    <w:bottom w:val="single" w:color="000000" w:sz="12" w:space="0"/>
                  </w:tcBorders>
                  <w:shd w:val="clear" w:color="auto" w:fill="auto"/>
                  <w:noWrap/>
                  <w:vAlign w:val="center"/>
                </w:tcPr>
                <w:p w14:paraId="173051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单元管控要求</w:t>
                  </w:r>
                </w:p>
              </w:tc>
              <w:tc>
                <w:tcPr>
                  <w:tcW w:w="2354" w:type="dxa"/>
                  <w:tcBorders>
                    <w:bottom w:val="single" w:color="000000" w:sz="12" w:space="0"/>
                  </w:tcBorders>
                  <w:shd w:val="clear" w:color="auto" w:fill="auto"/>
                  <w:vAlign w:val="center"/>
                </w:tcPr>
                <w:p w14:paraId="117CAF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管控要求</w:t>
                  </w:r>
                </w:p>
              </w:tc>
              <w:tc>
                <w:tcPr>
                  <w:tcW w:w="1458" w:type="dxa"/>
                  <w:tcBorders>
                    <w:bottom w:val="single" w:color="000000" w:sz="12" w:space="0"/>
                  </w:tcBorders>
                  <w:shd w:val="clear" w:color="auto" w:fill="auto"/>
                  <w:vAlign w:val="center"/>
                </w:tcPr>
                <w:p w14:paraId="57F180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项目情况</w:t>
                  </w:r>
                </w:p>
              </w:tc>
              <w:tc>
                <w:tcPr>
                  <w:tcW w:w="666" w:type="dxa"/>
                  <w:tcBorders>
                    <w:bottom w:val="single" w:color="000000" w:sz="12" w:space="0"/>
                  </w:tcBorders>
                  <w:shd w:val="clear" w:color="auto" w:fill="auto"/>
                  <w:noWrap/>
                  <w:vAlign w:val="center"/>
                </w:tcPr>
                <w:p w14:paraId="2113CA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符合性</w:t>
                  </w:r>
                </w:p>
              </w:tc>
            </w:tr>
            <w:tr w14:paraId="1A0B94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669" w:type="dxa"/>
                  <w:vMerge w:val="restart"/>
                  <w:tcBorders>
                    <w:top w:val="single" w:color="000000" w:sz="12" w:space="0"/>
                    <w:tl2br w:val="nil"/>
                    <w:tr2bl w:val="nil"/>
                  </w:tcBorders>
                  <w:shd w:val="clear" w:color="auto" w:fill="auto"/>
                  <w:vAlign w:val="center"/>
                </w:tcPr>
                <w:p w14:paraId="15D89C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ZH65230140001</w:t>
                  </w:r>
                </w:p>
              </w:tc>
              <w:tc>
                <w:tcPr>
                  <w:tcW w:w="695" w:type="dxa"/>
                  <w:vMerge w:val="restart"/>
                  <w:tcBorders>
                    <w:top w:val="single" w:color="000000" w:sz="12" w:space="0"/>
                    <w:tl2br w:val="nil"/>
                    <w:tr2bl w:val="nil"/>
                  </w:tcBorders>
                  <w:shd w:val="clear" w:color="auto" w:fill="auto"/>
                  <w:vAlign w:val="center"/>
                </w:tcPr>
                <w:p w14:paraId="373BA1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昌吉市城镇集中建设区重点管控单元</w:t>
                  </w:r>
                </w:p>
              </w:tc>
              <w:tc>
                <w:tcPr>
                  <w:tcW w:w="706" w:type="dxa"/>
                  <w:tcBorders>
                    <w:top w:val="single" w:color="000000" w:sz="12" w:space="0"/>
                    <w:tl2br w:val="nil"/>
                    <w:tr2bl w:val="nil"/>
                  </w:tcBorders>
                  <w:shd w:val="clear" w:color="auto" w:fill="auto"/>
                  <w:vAlign w:val="center"/>
                </w:tcPr>
                <w:p w14:paraId="0A2D1A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空间布局约束</w:t>
                  </w:r>
                </w:p>
              </w:tc>
              <w:tc>
                <w:tcPr>
                  <w:tcW w:w="2354" w:type="dxa"/>
                  <w:tcBorders>
                    <w:top w:val="single" w:color="000000" w:sz="12" w:space="0"/>
                    <w:tl2br w:val="nil"/>
                    <w:tr2bl w:val="nil"/>
                  </w:tcBorders>
                  <w:shd w:val="clear" w:color="auto" w:fill="auto"/>
                  <w:vAlign w:val="center"/>
                </w:tcPr>
                <w:p w14:paraId="66F82F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1、城市建成区内不得建设高污染的火电、化工、冶金、造纸、钢铁、建材等工业项目；已经建成的，应当逐步搬迁。</w:t>
                  </w:r>
                </w:p>
                <w:p w14:paraId="4DD9B7E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在居民住宅区等人口密集区域和机关、医院、学校、幼儿园、养老院等其他需要特殊保护的区域及其周边，不得新建、改建和扩建易产生恶臭气体的生产项目，或者从事其他产生恶臭气体的生产经营活动。已建成的，应当逐步搬迁或者升级改造。</w:t>
                  </w:r>
                </w:p>
                <w:p w14:paraId="3DA057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3、昌吉州“乌-昌-石”区域内不再新增自备燃煤机组。有序推进昌吉州“乌-昌-石”区域内自备电厂替代或退出。</w:t>
                  </w:r>
                </w:p>
                <w:p w14:paraId="263413E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4、不再新建每小时65蒸吨以下的燃煤锅炉。</w:t>
                  </w:r>
                </w:p>
                <w:p w14:paraId="34092F7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5、“乌-昌-石”区域30万千瓦及以上热电联产电厂供热半径15公里范围内的燃煤锅炉和落后燃煤小热电实行关停整合。</w:t>
                  </w:r>
                </w:p>
              </w:tc>
              <w:tc>
                <w:tcPr>
                  <w:tcW w:w="1458" w:type="dxa"/>
                  <w:tcBorders>
                    <w:top w:val="single" w:color="000000" w:sz="12" w:space="0"/>
                    <w:tl2br w:val="nil"/>
                    <w:tr2bl w:val="nil"/>
                  </w:tcBorders>
                  <w:shd w:val="clear" w:color="auto" w:fill="auto"/>
                  <w:vAlign w:val="center"/>
                </w:tcPr>
                <w:p w14:paraId="4AA8604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1.本项目为塑料制品项目，且在原厂区内建设，不属于火电、化工、冶金、造纸、钢铁、建材等工业项目。</w:t>
                  </w:r>
                </w:p>
                <w:p w14:paraId="3709482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2.本项目位于昌吉市六工镇，项目运营期仅产生少量的挥发性有机物，经</w:t>
                  </w:r>
                  <w:r>
                    <w:rPr>
                      <w:rFonts w:hint="default" w:ascii="Times New Roman" w:hAnsi="Times New Roman" w:cs="Times New Roman"/>
                      <w:i w:val="0"/>
                      <w:iCs w:val="0"/>
                      <w:color w:val="auto"/>
                      <w:kern w:val="0"/>
                      <w:sz w:val="21"/>
                      <w:szCs w:val="21"/>
                      <w:highlight w:val="none"/>
                      <w:u w:val="none"/>
                      <w:lang w:val="en-US" w:eastAsia="zh-CN" w:bidi="ar"/>
                    </w:rPr>
                    <w:t>活性炭吸附脱附+催化燃烧装置</w:t>
                  </w:r>
                  <w:r>
                    <w:rPr>
                      <w:rFonts w:hint="default" w:ascii="Times New Roman" w:hAnsi="Times New Roman" w:eastAsia="宋体" w:cs="Times New Roman"/>
                      <w:i w:val="0"/>
                      <w:iCs w:val="0"/>
                      <w:color w:val="auto"/>
                      <w:kern w:val="0"/>
                      <w:sz w:val="21"/>
                      <w:szCs w:val="21"/>
                      <w:highlight w:val="none"/>
                      <w:u w:val="none"/>
                      <w:lang w:val="en-US" w:eastAsia="zh-CN" w:bidi="ar"/>
                    </w:rPr>
                    <w:t>处理后能够达标排放，项目运营期无恶臭气体产生。</w:t>
                  </w:r>
                </w:p>
                <w:p w14:paraId="05B55721">
                  <w:pPr>
                    <w:pStyle w:val="31"/>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3.本项目不新建燃煤锅炉。</w:t>
                  </w:r>
                </w:p>
                <w:p w14:paraId="1A9D620A">
                  <w:pP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w:t>
                  </w:r>
                  <w:r>
                    <w:rPr>
                      <w:rFonts w:hint="default" w:ascii="Times New Roman" w:hAnsi="Times New Roman" w:eastAsia="宋体" w:cs="Times New Roman"/>
                      <w:color w:val="auto"/>
                      <w:sz w:val="21"/>
                      <w:szCs w:val="21"/>
                      <w:highlight w:val="none"/>
                      <w:lang w:val="en-US" w:eastAsia="zh-CN"/>
                    </w:rPr>
                    <w:t>项目区采用电锅炉采暖、供热，不建设</w:t>
                  </w:r>
                  <w:r>
                    <w:rPr>
                      <w:rFonts w:hint="default" w:ascii="Times New Roman" w:hAnsi="Times New Roman" w:eastAsia="宋体" w:cs="Times New Roman"/>
                      <w:i w:val="0"/>
                      <w:iCs w:val="0"/>
                      <w:color w:val="auto"/>
                      <w:kern w:val="0"/>
                      <w:sz w:val="21"/>
                      <w:szCs w:val="21"/>
                      <w:highlight w:val="none"/>
                      <w:u w:val="none"/>
                      <w:lang w:val="en-US" w:eastAsia="zh-CN" w:bidi="ar"/>
                    </w:rPr>
                    <w:t>燃煤锅炉。</w:t>
                  </w:r>
                </w:p>
                <w:p w14:paraId="17D8EC7E">
                  <w:pPr>
                    <w:pStyle w:val="31"/>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default" w:ascii="Times New Roman" w:hAnsi="Times New Roman" w:eastAsia="宋体" w:cs="Times New Roman"/>
                      <w:color w:val="auto"/>
                      <w:sz w:val="21"/>
                      <w:szCs w:val="21"/>
                      <w:highlight w:val="none"/>
                      <w:lang w:val="en-US" w:eastAsia="zh-CN"/>
                    </w:rPr>
                    <w:t>项目区采用电锅炉采暖、供热，不建设</w:t>
                  </w:r>
                  <w:r>
                    <w:rPr>
                      <w:rFonts w:hint="default" w:ascii="Times New Roman" w:hAnsi="Times New Roman" w:eastAsia="宋体" w:cs="Times New Roman"/>
                      <w:i w:val="0"/>
                      <w:iCs w:val="0"/>
                      <w:color w:val="auto"/>
                      <w:kern w:val="0"/>
                      <w:sz w:val="21"/>
                      <w:szCs w:val="21"/>
                      <w:highlight w:val="none"/>
                      <w:u w:val="none"/>
                      <w:lang w:val="en-US" w:eastAsia="zh-CN" w:bidi="ar"/>
                    </w:rPr>
                    <w:t>燃煤锅炉。</w:t>
                  </w:r>
                </w:p>
              </w:tc>
              <w:tc>
                <w:tcPr>
                  <w:tcW w:w="666" w:type="dxa"/>
                  <w:tcBorders>
                    <w:top w:val="single" w:color="000000" w:sz="12" w:space="0"/>
                    <w:tl2br w:val="nil"/>
                    <w:tr2bl w:val="nil"/>
                  </w:tcBorders>
                  <w:shd w:val="clear" w:color="auto" w:fill="auto"/>
                  <w:noWrap/>
                  <w:vAlign w:val="center"/>
                </w:tcPr>
                <w:p w14:paraId="4FE060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7F44BF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669" w:type="dxa"/>
                  <w:vMerge w:val="continue"/>
                  <w:tcBorders>
                    <w:tl2br w:val="nil"/>
                    <w:tr2bl w:val="nil"/>
                  </w:tcBorders>
                  <w:shd w:val="clear" w:color="auto" w:fill="auto"/>
                  <w:vAlign w:val="center"/>
                </w:tcPr>
                <w:p w14:paraId="4113332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695" w:type="dxa"/>
                  <w:vMerge w:val="continue"/>
                  <w:tcBorders>
                    <w:tl2br w:val="nil"/>
                    <w:tr2bl w:val="nil"/>
                  </w:tcBorders>
                  <w:shd w:val="clear" w:color="auto" w:fill="auto"/>
                  <w:vAlign w:val="center"/>
                </w:tcPr>
                <w:p w14:paraId="54E36A1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706" w:type="dxa"/>
                  <w:tcBorders>
                    <w:tl2br w:val="nil"/>
                    <w:tr2bl w:val="nil"/>
                  </w:tcBorders>
                  <w:shd w:val="clear" w:color="auto" w:fill="auto"/>
                  <w:vAlign w:val="center"/>
                </w:tcPr>
                <w:p w14:paraId="161694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污染物排放管控</w:t>
                  </w:r>
                </w:p>
              </w:tc>
              <w:tc>
                <w:tcPr>
                  <w:tcW w:w="2354" w:type="dxa"/>
                  <w:tcBorders>
                    <w:tl2br w:val="nil"/>
                    <w:tr2bl w:val="nil"/>
                  </w:tcBorders>
                  <w:shd w:val="clear" w:color="auto" w:fill="auto"/>
                  <w:vAlign w:val="center"/>
                </w:tcPr>
                <w:p w14:paraId="56A23E1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1、到2024年县级及以上城市建成区基本淘汰35蒸吨/小时及以下的燃煤锅炉，“乌-昌-石”区域基本淘汰65蒸吨/小时以下燃煤锅炉。</w:t>
                  </w:r>
                </w:p>
                <w:p w14:paraId="1AFF88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2、新（改、扩）建项目应执行最严格的大气污染物排放标准。</w:t>
                  </w:r>
                </w:p>
                <w:p w14:paraId="7CE070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3、向城镇污水集中处理设施排放水污染物，应当达到《污水综合排放标准》（GB 8978-1996）要求。排污许可中另有要求的执行许可的标准限值。</w:t>
                  </w:r>
                </w:p>
                <w:p w14:paraId="3F3558C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4、施工工地全面落实“六个百分之百”（施工工地周边围挡、物料堆放覆盖、出入车辆冲洗、施工现场地面硬化、拆迁工地湿法作业、渣土车辆密闭运输）。</w:t>
                  </w:r>
                </w:p>
                <w:p w14:paraId="10869E5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5、开展县级城市建成区内黑臭水体排查整治，加强城镇污水处理设施运行监管，推进城镇污水处理设施及配套管网建设和改造。</w:t>
                  </w:r>
                </w:p>
                <w:p w14:paraId="3456E31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6、“乌-昌-石”区域内，已实施超低排放的涉气排污单位，其实施超低排放改造的污染因子执行超低排放限值，其他污染因子执行特别排放限值和特别控制要求。</w:t>
                  </w:r>
                </w:p>
              </w:tc>
              <w:tc>
                <w:tcPr>
                  <w:tcW w:w="1458" w:type="dxa"/>
                  <w:tcBorders>
                    <w:tl2br w:val="nil"/>
                    <w:tr2bl w:val="nil"/>
                  </w:tcBorders>
                  <w:shd w:val="clear" w:color="auto" w:fill="auto"/>
                  <w:vAlign w:val="center"/>
                </w:tcPr>
                <w:p w14:paraId="11E35025">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sz w:val="21"/>
                      <w:szCs w:val="21"/>
                      <w:highlight w:val="none"/>
                      <w:u w:val="none"/>
                      <w:lang w:val="en-US" w:eastAsia="zh-CN"/>
                    </w:rPr>
                    <w:t>1.</w:t>
                  </w:r>
                  <w:r>
                    <w:rPr>
                      <w:rFonts w:hint="default" w:ascii="Times New Roman" w:hAnsi="Times New Roman" w:eastAsia="宋体" w:cs="Times New Roman"/>
                      <w:color w:val="auto"/>
                      <w:sz w:val="21"/>
                      <w:szCs w:val="21"/>
                      <w:highlight w:val="none"/>
                      <w:lang w:val="en-US" w:eastAsia="zh-CN"/>
                    </w:rPr>
                    <w:t>项目区采用电锅炉采暖、供热，不建设</w:t>
                  </w:r>
                  <w:r>
                    <w:rPr>
                      <w:rFonts w:hint="default" w:ascii="Times New Roman" w:hAnsi="Times New Roman" w:eastAsia="宋体" w:cs="Times New Roman"/>
                      <w:i w:val="0"/>
                      <w:iCs w:val="0"/>
                      <w:color w:val="auto"/>
                      <w:kern w:val="0"/>
                      <w:sz w:val="21"/>
                      <w:szCs w:val="21"/>
                      <w:highlight w:val="none"/>
                      <w:u w:val="none"/>
                      <w:lang w:val="en-US" w:eastAsia="zh-CN" w:bidi="ar"/>
                    </w:rPr>
                    <w:t>燃煤锅炉。</w:t>
                  </w:r>
                </w:p>
                <w:p w14:paraId="72171251">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default" w:ascii="Times New Roman" w:hAnsi="Times New Roman" w:eastAsia="宋体" w:cs="Times New Roman"/>
                      <w:color w:val="auto"/>
                      <w:sz w:val="21"/>
                      <w:szCs w:val="21"/>
                      <w:highlight w:val="none"/>
                      <w:lang w:val="en-US" w:eastAsia="zh-CN"/>
                    </w:rPr>
                    <w:t>本项目运营期产生的污染物为挥发性有机物，已执行</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eastAsia="zh-CN"/>
                    </w:rPr>
                    <w:t>合成树脂工业污染物排放标准</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eastAsia="zh-CN"/>
                    </w:rPr>
                    <w:t>（GB31572-201</w:t>
                  </w:r>
                  <w:r>
                    <w:rPr>
                      <w:rFonts w:hint="default" w:ascii="Times New Roman" w:hAnsi="Times New Roman" w:eastAsia="宋体" w:cs="Times New Roman"/>
                      <w:color w:val="auto"/>
                      <w:sz w:val="21"/>
                      <w:szCs w:val="21"/>
                      <w:highlight w:val="none"/>
                      <w:lang w:val="zh-CN" w:eastAsia="zh-CN"/>
                    </w:rPr>
                    <w:t>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zh-CN" w:eastAsia="zh-CN"/>
                    </w:rPr>
                    <w:t>中</w:t>
                  </w:r>
                  <w:r>
                    <w:rPr>
                      <w:rFonts w:hint="default" w:ascii="Times New Roman" w:hAnsi="Times New Roman" w:eastAsia="宋体" w:cs="Times New Roman"/>
                      <w:color w:val="auto"/>
                      <w:sz w:val="21"/>
                      <w:szCs w:val="21"/>
                      <w:highlight w:val="none"/>
                      <w:lang w:eastAsia="zh-CN"/>
                    </w:rPr>
                    <w:t>表5大气污染物特别排放限值，</w:t>
                  </w:r>
                  <w:r>
                    <w:rPr>
                      <w:rFonts w:hint="default" w:ascii="Times New Roman" w:hAnsi="Times New Roman" w:eastAsia="宋体" w:cs="Times New Roman"/>
                      <w:color w:val="auto"/>
                      <w:sz w:val="21"/>
                      <w:szCs w:val="21"/>
                      <w:highlight w:val="none"/>
                      <w:lang w:val="en-US" w:eastAsia="zh-CN"/>
                    </w:rPr>
                    <w:t>已是最严格标准。</w:t>
                  </w:r>
                </w:p>
                <w:p w14:paraId="2F61FECF">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3.项目运营期产生的废水主要是生活污水，能够</w:t>
                  </w:r>
                  <w:r>
                    <w:rPr>
                      <w:rFonts w:hint="default" w:ascii="Times New Roman" w:hAnsi="Times New Roman" w:eastAsia="宋体" w:cs="Times New Roman"/>
                      <w:i w:val="0"/>
                      <w:iCs w:val="0"/>
                      <w:color w:val="auto"/>
                      <w:kern w:val="0"/>
                      <w:sz w:val="21"/>
                      <w:szCs w:val="21"/>
                      <w:highlight w:val="none"/>
                      <w:u w:val="none"/>
                      <w:lang w:val="en-US" w:eastAsia="zh-CN" w:bidi="ar"/>
                    </w:rPr>
                    <w:t>达到《污水综合排放标准》（GB 8978-1996）要求。</w:t>
                  </w:r>
                </w:p>
                <w:p w14:paraId="7A7C251B">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5.本项目不涉及污水处理设施及配套管网建设和改造。</w:t>
                  </w:r>
                </w:p>
                <w:p w14:paraId="39AE7CFB">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6.本项目建设地点位于“乌-昌-石”区域内，</w:t>
                  </w:r>
                  <w:r>
                    <w:rPr>
                      <w:rFonts w:hint="default" w:ascii="Times New Roman" w:hAnsi="Times New Roman" w:eastAsia="宋体" w:cs="Times New Roman"/>
                      <w:color w:val="auto"/>
                      <w:sz w:val="21"/>
                      <w:szCs w:val="21"/>
                      <w:highlight w:val="none"/>
                      <w:lang w:val="en-US" w:eastAsia="zh-CN"/>
                    </w:rPr>
                    <w:t>已执行</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eastAsia="zh-CN"/>
                    </w:rPr>
                    <w:t>合成树脂工业污染物排放标准</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eastAsia="zh-CN"/>
                    </w:rPr>
                    <w:t>（GB31572-201</w:t>
                  </w:r>
                  <w:r>
                    <w:rPr>
                      <w:rFonts w:hint="default" w:ascii="Times New Roman" w:hAnsi="Times New Roman" w:eastAsia="宋体" w:cs="Times New Roman"/>
                      <w:color w:val="auto"/>
                      <w:sz w:val="21"/>
                      <w:szCs w:val="21"/>
                      <w:highlight w:val="none"/>
                      <w:lang w:val="zh-CN" w:eastAsia="zh-CN"/>
                    </w:rPr>
                    <w:t>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zh-CN" w:eastAsia="zh-CN"/>
                    </w:rPr>
                    <w:t>中</w:t>
                  </w:r>
                  <w:r>
                    <w:rPr>
                      <w:rFonts w:hint="default" w:ascii="Times New Roman" w:hAnsi="Times New Roman" w:eastAsia="宋体" w:cs="Times New Roman"/>
                      <w:color w:val="auto"/>
                      <w:sz w:val="21"/>
                      <w:szCs w:val="21"/>
                      <w:highlight w:val="none"/>
                      <w:lang w:eastAsia="zh-CN"/>
                    </w:rPr>
                    <w:t>表5大气污染物特别排放限值，</w:t>
                  </w:r>
                  <w:r>
                    <w:rPr>
                      <w:rFonts w:hint="default" w:ascii="Times New Roman" w:hAnsi="Times New Roman" w:eastAsia="宋体" w:cs="Times New Roman"/>
                      <w:color w:val="auto"/>
                      <w:sz w:val="21"/>
                      <w:szCs w:val="21"/>
                      <w:highlight w:val="none"/>
                      <w:lang w:val="en-US" w:eastAsia="zh-CN"/>
                    </w:rPr>
                    <w:t>已是最严格标准。</w:t>
                  </w:r>
                </w:p>
              </w:tc>
              <w:tc>
                <w:tcPr>
                  <w:tcW w:w="666" w:type="dxa"/>
                  <w:tcBorders>
                    <w:tl2br w:val="nil"/>
                    <w:tr2bl w:val="nil"/>
                  </w:tcBorders>
                  <w:shd w:val="clear" w:color="auto" w:fill="auto"/>
                  <w:noWrap/>
                  <w:vAlign w:val="center"/>
                </w:tcPr>
                <w:p w14:paraId="58A20DF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02C936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669" w:type="dxa"/>
                  <w:vMerge w:val="continue"/>
                  <w:tcBorders>
                    <w:tl2br w:val="nil"/>
                    <w:tr2bl w:val="nil"/>
                  </w:tcBorders>
                  <w:shd w:val="clear" w:color="auto" w:fill="auto"/>
                  <w:vAlign w:val="center"/>
                </w:tcPr>
                <w:p w14:paraId="6DEBECC5">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695" w:type="dxa"/>
                  <w:vMerge w:val="continue"/>
                  <w:tcBorders>
                    <w:tl2br w:val="nil"/>
                    <w:tr2bl w:val="nil"/>
                  </w:tcBorders>
                  <w:shd w:val="clear" w:color="auto" w:fill="auto"/>
                  <w:vAlign w:val="center"/>
                </w:tcPr>
                <w:p w14:paraId="1B8E56C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706" w:type="dxa"/>
                  <w:tcBorders>
                    <w:tl2br w:val="nil"/>
                    <w:tr2bl w:val="nil"/>
                  </w:tcBorders>
                  <w:shd w:val="clear" w:color="auto" w:fill="auto"/>
                  <w:vAlign w:val="center"/>
                </w:tcPr>
                <w:p w14:paraId="787A56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环境风险防控</w:t>
                  </w:r>
                </w:p>
              </w:tc>
              <w:tc>
                <w:tcPr>
                  <w:tcW w:w="2354" w:type="dxa"/>
                  <w:tcBorders>
                    <w:tl2br w:val="nil"/>
                    <w:tr2bl w:val="nil"/>
                  </w:tcBorders>
                  <w:shd w:val="clear" w:color="auto" w:fill="auto"/>
                  <w:vAlign w:val="center"/>
                </w:tcPr>
                <w:p w14:paraId="135A9D6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1、严格危险化学品废弃处置。对城镇人口密集区现有不符合安全和卫生防护距离要求的危险化学品生产企业，进行定量风险评估，就地改造达标、搬迁进入规范化工园区或关闭退出。</w:t>
                  </w:r>
                </w:p>
                <w:p w14:paraId="1B244A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提升饮用水安全保障水平。以县级及以上集中式饮用水水源地为重点，推进饮用水水源保护区规范化建设，统筹推进备用水源或应急水源建设。强化饮用水水源保护区环境应急管理，完善重大突发环境事件的物资和技术储备。针对汇水区、补给区存在兵地跨界的，建立统一的饮用水水源应急和执法机制，共享应急物资。</w:t>
                  </w:r>
                </w:p>
              </w:tc>
              <w:tc>
                <w:tcPr>
                  <w:tcW w:w="1458" w:type="dxa"/>
                  <w:tcBorders>
                    <w:tl2br w:val="nil"/>
                    <w:tr2bl w:val="nil"/>
                  </w:tcBorders>
                  <w:shd w:val="clear" w:color="auto" w:fill="auto"/>
                  <w:vAlign w:val="center"/>
                </w:tcPr>
                <w:p w14:paraId="79F7AF5E">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sz w:val="21"/>
                      <w:szCs w:val="21"/>
                      <w:highlight w:val="none"/>
                      <w:u w:val="none"/>
                      <w:lang w:val="en-US" w:eastAsia="zh-CN"/>
                    </w:rPr>
                    <w:t>1.本项目运营期无</w:t>
                  </w:r>
                  <w:r>
                    <w:rPr>
                      <w:rFonts w:hint="default" w:ascii="Times New Roman" w:hAnsi="Times New Roman" w:eastAsia="宋体" w:cs="Times New Roman"/>
                      <w:i w:val="0"/>
                      <w:iCs w:val="0"/>
                      <w:color w:val="auto"/>
                      <w:kern w:val="0"/>
                      <w:sz w:val="21"/>
                      <w:szCs w:val="21"/>
                      <w:highlight w:val="none"/>
                      <w:u w:val="none"/>
                      <w:lang w:val="en-US" w:eastAsia="zh-CN" w:bidi="ar"/>
                    </w:rPr>
                    <w:t>危险化学品产生及使用，</w:t>
                  </w:r>
                  <w:r>
                    <w:rPr>
                      <w:rFonts w:hint="default" w:ascii="Times New Roman" w:hAnsi="Times New Roman" w:cs="Times New Roman"/>
                      <w:i w:val="0"/>
                      <w:iCs w:val="0"/>
                      <w:color w:val="auto"/>
                      <w:kern w:val="0"/>
                      <w:sz w:val="21"/>
                      <w:szCs w:val="21"/>
                      <w:highlight w:val="none"/>
                      <w:u w:val="none"/>
                      <w:lang w:val="en-US" w:eastAsia="zh-CN" w:bidi="ar"/>
                    </w:rPr>
                    <w:t>仅</w:t>
                  </w:r>
                  <w:r>
                    <w:rPr>
                      <w:rFonts w:hint="default" w:ascii="Times New Roman" w:hAnsi="Times New Roman" w:eastAsia="宋体" w:cs="Times New Roman"/>
                      <w:i w:val="0"/>
                      <w:iCs w:val="0"/>
                      <w:color w:val="auto"/>
                      <w:kern w:val="0"/>
                      <w:sz w:val="21"/>
                      <w:szCs w:val="21"/>
                      <w:highlight w:val="none"/>
                      <w:u w:val="none"/>
                      <w:lang w:val="en-US" w:eastAsia="zh-CN" w:bidi="ar"/>
                    </w:rPr>
                    <w:t>产生废活性炭、废催化剂、废润滑油</w:t>
                  </w:r>
                  <w:r>
                    <w:rPr>
                      <w:rFonts w:hint="eastAsia" w:ascii="Times New Roman" w:hAnsi="Times New Roman" w:cs="Times New Roman"/>
                      <w:i w:val="0"/>
                      <w:iCs w:val="0"/>
                      <w:color w:val="auto"/>
                      <w:kern w:val="0"/>
                      <w:sz w:val="21"/>
                      <w:szCs w:val="21"/>
                      <w:highlight w:val="none"/>
                      <w:u w:val="none"/>
                      <w:lang w:val="en-US" w:eastAsia="zh-CN" w:bidi="ar"/>
                    </w:rPr>
                    <w:t>、废润滑油同</w:t>
                  </w:r>
                  <w:r>
                    <w:rPr>
                      <w:rFonts w:hint="default" w:ascii="Times New Roman" w:hAnsi="Times New Roman" w:eastAsia="宋体" w:cs="Times New Roman"/>
                      <w:i w:val="0"/>
                      <w:iCs w:val="0"/>
                      <w:color w:val="auto"/>
                      <w:kern w:val="0"/>
                      <w:sz w:val="21"/>
                      <w:szCs w:val="21"/>
                      <w:highlight w:val="none"/>
                      <w:u w:val="none"/>
                      <w:lang w:val="en-US" w:eastAsia="zh-CN" w:bidi="ar"/>
                    </w:rPr>
                    <w:t>等危险废物，建设单位依托现有的</w:t>
                  </w:r>
                  <w:r>
                    <w:rPr>
                      <w:rFonts w:hint="default" w:ascii="Times New Roman" w:hAnsi="Times New Roman" w:cs="Times New Roman"/>
                      <w:i w:val="0"/>
                      <w:iCs w:val="0"/>
                      <w:color w:val="auto"/>
                      <w:kern w:val="0"/>
                      <w:sz w:val="21"/>
                      <w:szCs w:val="21"/>
                      <w:highlight w:val="none"/>
                      <w:u w:val="none"/>
                      <w:lang w:val="en-US" w:eastAsia="zh-CN" w:bidi="ar"/>
                    </w:rPr>
                    <w:t>危废暂存点</w:t>
                  </w:r>
                  <w:r>
                    <w:rPr>
                      <w:rFonts w:hint="default" w:ascii="Times New Roman" w:hAnsi="Times New Roman" w:eastAsia="宋体" w:cs="Times New Roman"/>
                      <w:i w:val="0"/>
                      <w:iCs w:val="0"/>
                      <w:color w:val="auto"/>
                      <w:kern w:val="0"/>
                      <w:sz w:val="21"/>
                      <w:szCs w:val="21"/>
                      <w:highlight w:val="none"/>
                      <w:u w:val="none"/>
                      <w:lang w:val="en-US" w:eastAsia="zh-CN" w:bidi="ar"/>
                    </w:rPr>
                    <w:t>进行贮存，定期委托第</w:t>
                  </w:r>
                  <w:r>
                    <w:rPr>
                      <w:rFonts w:hint="eastAsia" w:ascii="Times New Roman" w:hAnsi="Times New Roman" w:cs="Times New Roman"/>
                      <w:i w:val="0"/>
                      <w:iCs w:val="0"/>
                      <w:color w:val="auto"/>
                      <w:kern w:val="0"/>
                      <w:sz w:val="21"/>
                      <w:szCs w:val="21"/>
                      <w:highlight w:val="none"/>
                      <w:u w:val="none"/>
                      <w:lang w:val="en-US" w:eastAsia="zh-CN" w:bidi="ar"/>
                    </w:rPr>
                    <w:t>资质单位</w:t>
                  </w:r>
                  <w:r>
                    <w:rPr>
                      <w:rFonts w:hint="default" w:ascii="Times New Roman" w:hAnsi="Times New Roman" w:eastAsia="宋体" w:cs="Times New Roman"/>
                      <w:i w:val="0"/>
                      <w:iCs w:val="0"/>
                      <w:color w:val="auto"/>
                      <w:kern w:val="0"/>
                      <w:sz w:val="21"/>
                      <w:szCs w:val="21"/>
                      <w:highlight w:val="none"/>
                      <w:u w:val="none"/>
                      <w:lang w:val="en-US" w:eastAsia="zh-CN" w:bidi="ar"/>
                    </w:rPr>
                    <w:t>进行处置。</w:t>
                  </w:r>
                </w:p>
                <w:p w14:paraId="7CD89689">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2.本项目不在饮用水水源保护区</w:t>
                  </w:r>
                </w:p>
              </w:tc>
              <w:tc>
                <w:tcPr>
                  <w:tcW w:w="666" w:type="dxa"/>
                  <w:tcBorders>
                    <w:tl2br w:val="nil"/>
                    <w:tr2bl w:val="nil"/>
                  </w:tcBorders>
                  <w:shd w:val="clear" w:color="auto" w:fill="auto"/>
                  <w:noWrap/>
                  <w:vAlign w:val="center"/>
                </w:tcPr>
                <w:p w14:paraId="2623C79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0228E8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 w:hRule="atLeast"/>
                <w:jc w:val="center"/>
              </w:trPr>
              <w:tc>
                <w:tcPr>
                  <w:tcW w:w="669" w:type="dxa"/>
                  <w:vMerge w:val="continue"/>
                  <w:tcBorders>
                    <w:tl2br w:val="nil"/>
                    <w:tr2bl w:val="nil"/>
                  </w:tcBorders>
                  <w:shd w:val="clear" w:color="auto" w:fill="auto"/>
                  <w:vAlign w:val="center"/>
                </w:tcPr>
                <w:p w14:paraId="29153EB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695" w:type="dxa"/>
                  <w:vMerge w:val="continue"/>
                  <w:tcBorders>
                    <w:tl2br w:val="nil"/>
                    <w:tr2bl w:val="nil"/>
                  </w:tcBorders>
                  <w:shd w:val="clear" w:color="auto" w:fill="auto"/>
                  <w:vAlign w:val="center"/>
                </w:tcPr>
                <w:p w14:paraId="48F19D4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highlight w:val="none"/>
                      <w:u w:val="none"/>
                    </w:rPr>
                  </w:pPr>
                </w:p>
              </w:tc>
              <w:tc>
                <w:tcPr>
                  <w:tcW w:w="706" w:type="dxa"/>
                  <w:tcBorders>
                    <w:tl2br w:val="nil"/>
                    <w:tr2bl w:val="nil"/>
                  </w:tcBorders>
                  <w:shd w:val="clear" w:color="auto" w:fill="auto"/>
                  <w:vAlign w:val="center"/>
                </w:tcPr>
                <w:p w14:paraId="22651E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资源开发效率要求</w:t>
                  </w:r>
                </w:p>
              </w:tc>
              <w:tc>
                <w:tcPr>
                  <w:tcW w:w="2354" w:type="dxa"/>
                  <w:tcBorders>
                    <w:tl2br w:val="nil"/>
                    <w:tr2bl w:val="nil"/>
                  </w:tcBorders>
                  <w:shd w:val="clear" w:color="auto" w:fill="auto"/>
                  <w:vAlign w:val="center"/>
                </w:tcPr>
                <w:p w14:paraId="167BF7E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禁燃区内禁止销售、燃用原煤、粉煤、各种可燃废物等高污染燃料；禁止新建、扩建燃用高污染燃料的设施，已建设成的，应当在规定的期限内改用清洁能源；严格控制引进高载能项目，禁止建设不符合国家和自治区环境保护标准的项目。</w:t>
                  </w:r>
                </w:p>
                <w:p w14:paraId="1439A50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2、加大城镇污水再生利用工程建设力度，推进区域再生水循环利用，到2025年，城市生活污水再生利用率力争达到60%。</w:t>
                  </w:r>
                </w:p>
              </w:tc>
              <w:tc>
                <w:tcPr>
                  <w:tcW w:w="1458" w:type="dxa"/>
                  <w:tcBorders>
                    <w:tl2br w:val="nil"/>
                    <w:tr2bl w:val="nil"/>
                  </w:tcBorders>
                  <w:shd w:val="clear" w:color="auto" w:fill="auto"/>
                  <w:vAlign w:val="center"/>
                </w:tcPr>
                <w:p w14:paraId="2B07CB14">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sz w:val="21"/>
                      <w:szCs w:val="21"/>
                      <w:highlight w:val="none"/>
                      <w:u w:val="none"/>
                      <w:lang w:val="en-US" w:eastAsia="zh-CN"/>
                    </w:rPr>
                    <w:t>1.</w:t>
                  </w:r>
                  <w:r>
                    <w:rPr>
                      <w:rFonts w:hint="default" w:ascii="Times New Roman" w:hAnsi="Times New Roman" w:eastAsia="宋体" w:cs="Times New Roman"/>
                      <w:color w:val="auto"/>
                      <w:sz w:val="21"/>
                      <w:szCs w:val="21"/>
                      <w:highlight w:val="none"/>
                      <w:lang w:val="en-US" w:eastAsia="zh-CN"/>
                    </w:rPr>
                    <w:t>项目区采用电锅炉采暖、供热，不建设</w:t>
                  </w:r>
                  <w:r>
                    <w:rPr>
                      <w:rFonts w:hint="default" w:ascii="Times New Roman" w:hAnsi="Times New Roman" w:eastAsia="宋体" w:cs="Times New Roman"/>
                      <w:i w:val="0"/>
                      <w:iCs w:val="0"/>
                      <w:color w:val="auto"/>
                      <w:kern w:val="0"/>
                      <w:sz w:val="21"/>
                      <w:szCs w:val="21"/>
                      <w:highlight w:val="none"/>
                      <w:u w:val="none"/>
                      <w:lang w:val="en-US" w:eastAsia="zh-CN" w:bidi="ar"/>
                    </w:rPr>
                    <w:t>燃煤锅炉。</w:t>
                  </w:r>
                </w:p>
                <w:p w14:paraId="7EA395E7">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lang w:val="en-US" w:eastAsia="zh-CN"/>
                    </w:rPr>
                    <w:t>2.本项目不涉及</w:t>
                  </w:r>
                  <w:r>
                    <w:rPr>
                      <w:rFonts w:hint="default" w:ascii="Times New Roman" w:hAnsi="Times New Roman" w:eastAsia="宋体" w:cs="Times New Roman"/>
                      <w:i w:val="0"/>
                      <w:iCs w:val="0"/>
                      <w:color w:val="auto"/>
                      <w:kern w:val="0"/>
                      <w:sz w:val="21"/>
                      <w:szCs w:val="21"/>
                      <w:highlight w:val="none"/>
                      <w:u w:val="none"/>
                      <w:lang w:val="en-US" w:eastAsia="zh-CN" w:bidi="ar"/>
                    </w:rPr>
                    <w:t>污水再生利用</w:t>
                  </w:r>
                  <w:r>
                    <w:rPr>
                      <w:rFonts w:hint="default" w:ascii="Times New Roman" w:hAnsi="Times New Roman" w:eastAsia="宋体" w:cs="Times New Roman"/>
                      <w:i w:val="0"/>
                      <w:iCs w:val="0"/>
                      <w:color w:val="auto"/>
                      <w:sz w:val="21"/>
                      <w:szCs w:val="21"/>
                      <w:highlight w:val="none"/>
                      <w:u w:val="none"/>
                      <w:lang w:val="en-US" w:eastAsia="zh-CN"/>
                    </w:rPr>
                    <w:t>。</w:t>
                  </w:r>
                </w:p>
              </w:tc>
              <w:tc>
                <w:tcPr>
                  <w:tcW w:w="666" w:type="dxa"/>
                  <w:tcBorders>
                    <w:tl2br w:val="nil"/>
                    <w:tr2bl w:val="nil"/>
                  </w:tcBorders>
                  <w:shd w:val="clear" w:color="auto" w:fill="auto"/>
                  <w:noWrap/>
                  <w:vAlign w:val="center"/>
                </w:tcPr>
                <w:p w14:paraId="7BC1833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bl>
          <w:p w14:paraId="7BB1E3DA">
            <w:pPr>
              <w:spacing w:line="360" w:lineRule="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5.与《关于进一步加强塑料污染治理的意见》（发改环资〔2020〕80号）符合性分析</w:t>
            </w:r>
          </w:p>
          <w:p w14:paraId="1D9893AF">
            <w:pPr>
              <w:spacing w:line="360" w:lineRule="auto"/>
              <w:ind w:firstLine="480" w:firstLineChars="200"/>
              <w:rPr>
                <w:rFonts w:hint="default" w:ascii="Times New Roman" w:hAnsi="Times New Roman" w:cs="Times New Roman"/>
                <w:b w:val="0"/>
                <w:bCs w:val="0"/>
                <w:color w:val="auto"/>
                <w:sz w:val="24"/>
                <w:highlight w:val="none"/>
                <w:lang w:val="en-US" w:eastAsia="zh-CN"/>
              </w:rPr>
            </w:pPr>
            <w:r>
              <w:rPr>
                <w:rFonts w:hint="default" w:ascii="Times New Roman" w:hAnsi="Times New Roman" w:cs="Times New Roman"/>
                <w:b w:val="0"/>
                <w:bCs w:val="0"/>
                <w:color w:val="auto"/>
                <w:sz w:val="24"/>
                <w:highlight w:val="none"/>
                <w:lang w:val="en-US" w:eastAsia="zh-CN"/>
              </w:rPr>
              <w:t>根据《关于进一步加强塑料污染治理的意见》要求：二、禁止、限制部分塑料制品的生产、销售和使用：（四）禁止生产、销售的塑料制品。禁止生产和销售厚度小于0.025毫米的超薄塑料购物袋、厚度小于0.01毫米的聚乙烯农用地膜。禁止以医疗废物为原料制造塑料制品。全面禁止废塑料进口。三、推广应用替代产品和模式：（八）增加绿色产品供给。塑料制品生产企业要严格执行有关法律法规，生产符合相关标准的塑料制品，不得违规添加对人体、环境的化学添加剂。推行绿色设计，提升塑料制品的安全性和回收利用性能。积极采用新型绿色环保功能材料，增加使用符合质量控制标准和用途管制要求的再生塑料，加强可循环、易回收、可降解替代材料和产品研发，降低应用成本，有效增加绿色产品供给。</w:t>
            </w:r>
          </w:p>
          <w:p w14:paraId="787DD7F8">
            <w:pPr>
              <w:spacing w:line="360" w:lineRule="auto"/>
              <w:ind w:firstLine="480" w:firstLineChars="20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val="0"/>
                <w:bCs w:val="0"/>
                <w:color w:val="auto"/>
                <w:sz w:val="24"/>
                <w:highlight w:val="none"/>
                <w:lang w:val="en-US" w:eastAsia="zh-CN"/>
              </w:rPr>
              <w:t>本项目购买聚乙烯颗粒新料生产地膜（厚度为0.05~0.08mm）。项目采用原料均为新料，不含医疗废物及进口废塑料。本项目生产的产品均符合相关产品质量标准要求，生产过程中不添加对人体、环境有害的添加剂。因此本项目的建设符合《关于进一步加强塑料污染治理的意见》（发改环资〔2020〕80号）要求。</w:t>
            </w:r>
          </w:p>
          <w:p w14:paraId="313E014E">
            <w:pPr>
              <w:spacing w:line="360" w:lineRule="auto"/>
              <w:ind w:firstLine="0" w:firstLineChars="0"/>
              <w:outlineLvl w:val="3"/>
              <w:rPr>
                <w:rFonts w:hint="default" w:ascii="Times New Roman" w:hAnsi="Times New Roman" w:eastAsia="宋体" w:cs="Times New Roman"/>
                <w:b/>
                <w:bCs/>
                <w:snapToGrid w:val="0"/>
                <w:color w:val="auto"/>
                <w:kern w:val="0"/>
                <w:sz w:val="24"/>
                <w:highlight w:val="none"/>
              </w:rPr>
            </w:pPr>
            <w:r>
              <w:rPr>
                <w:rFonts w:hint="default" w:ascii="Times New Roman" w:hAnsi="Times New Roman" w:cs="Times New Roman"/>
                <w:b/>
                <w:bCs/>
                <w:snapToGrid w:val="0"/>
                <w:color w:val="auto"/>
                <w:kern w:val="0"/>
                <w:sz w:val="24"/>
                <w:highlight w:val="none"/>
                <w:lang w:val="en-US" w:eastAsia="zh-CN"/>
              </w:rPr>
              <w:t>6.</w:t>
            </w:r>
            <w:r>
              <w:rPr>
                <w:rFonts w:hint="default" w:ascii="Times New Roman" w:hAnsi="Times New Roman" w:eastAsia="宋体" w:cs="Times New Roman"/>
                <w:b/>
                <w:bCs/>
                <w:snapToGrid w:val="0"/>
                <w:color w:val="auto"/>
                <w:kern w:val="0"/>
                <w:sz w:val="24"/>
                <w:highlight w:val="none"/>
              </w:rPr>
              <w:t>与《关于印发“十四五”塑料污染治理行动方案的通知》（发改环资〔2021〕1298号）符合性分析</w:t>
            </w:r>
          </w:p>
          <w:p w14:paraId="306F369A">
            <w:pPr>
              <w:widowControl w:val="0"/>
              <w:spacing w:after="0" w:afterLines="0" w:line="360" w:lineRule="auto"/>
              <w:ind w:firstLine="480" w:firstLineChars="200"/>
              <w:jc w:val="both"/>
              <w:rPr>
                <w:rFonts w:hint="default" w:ascii="Times New Roman" w:hAnsi="Times New Roman" w:eastAsia="宋体" w:cs="Times New Roman"/>
                <w:bCs/>
                <w:snapToGrid w:val="0"/>
                <w:color w:val="auto"/>
                <w:sz w:val="24"/>
                <w:szCs w:val="24"/>
                <w:highlight w:val="none"/>
                <w:lang w:val="en-US" w:eastAsia="zh-CN" w:bidi="ar-SA"/>
              </w:rPr>
            </w:pPr>
            <w:r>
              <w:rPr>
                <w:rFonts w:hint="default" w:ascii="Times New Roman" w:hAnsi="Times New Roman" w:eastAsia="宋体" w:cs="Times New Roman"/>
                <w:bCs/>
                <w:snapToGrid w:val="0"/>
                <w:color w:val="auto"/>
                <w:sz w:val="24"/>
                <w:szCs w:val="24"/>
                <w:highlight w:val="none"/>
                <w:lang w:val="en-US" w:eastAsia="zh-CN" w:bidi="ar-SA"/>
              </w:rPr>
              <w:t>本项目与《关于印发“十四五”塑料污染治理行动方案的通知》（发改环资〔2021〕1298号）符合情况见下表。</w:t>
            </w:r>
          </w:p>
          <w:p w14:paraId="7C917645">
            <w:pPr>
              <w:widowControl w:val="0"/>
              <w:spacing w:after="0" w:afterLines="0" w:line="240" w:lineRule="auto"/>
              <w:ind w:left="0" w:leftChars="0" w:firstLine="0" w:firstLineChars="0"/>
              <w:jc w:val="center"/>
              <w:rPr>
                <w:rFonts w:hint="default" w:ascii="Times New Roman" w:hAnsi="Times New Roman" w:eastAsia="宋体" w:cs="Times New Roman"/>
                <w:b/>
                <w:bCs w:val="0"/>
                <w:snapToGrid w:val="0"/>
                <w:color w:val="auto"/>
                <w:sz w:val="21"/>
                <w:szCs w:val="21"/>
                <w:highlight w:val="none"/>
                <w:lang w:val="en-US" w:eastAsia="zh-CN" w:bidi="ar-SA"/>
              </w:rPr>
            </w:pPr>
            <w:r>
              <w:rPr>
                <w:rFonts w:hint="default" w:ascii="Times New Roman" w:hAnsi="Times New Roman" w:eastAsia="宋体" w:cs="Times New Roman"/>
                <w:b/>
                <w:bCs w:val="0"/>
                <w:snapToGrid w:val="0"/>
                <w:color w:val="auto"/>
                <w:sz w:val="21"/>
                <w:szCs w:val="21"/>
                <w:highlight w:val="none"/>
                <w:lang w:val="en-US" w:eastAsia="zh-CN" w:bidi="ar-SA"/>
              </w:rPr>
              <w:t>表1</w:t>
            </w:r>
            <w:r>
              <w:rPr>
                <w:rFonts w:hint="eastAsia" w:ascii="Times New Roman" w:hAnsi="Times New Roman" w:cs="Times New Roman"/>
                <w:b/>
                <w:bCs w:val="0"/>
                <w:snapToGrid w:val="0"/>
                <w:color w:val="auto"/>
                <w:sz w:val="21"/>
                <w:szCs w:val="21"/>
                <w:highlight w:val="none"/>
                <w:lang w:val="en-US" w:eastAsia="zh-CN" w:bidi="ar-SA"/>
              </w:rPr>
              <w:t xml:space="preserve">-4   </w:t>
            </w:r>
            <w:r>
              <w:rPr>
                <w:rFonts w:hint="default" w:ascii="Times New Roman" w:hAnsi="Times New Roman" w:eastAsia="宋体" w:cs="Times New Roman"/>
                <w:b/>
                <w:bCs w:val="0"/>
                <w:snapToGrid w:val="0"/>
                <w:color w:val="auto"/>
                <w:sz w:val="21"/>
                <w:szCs w:val="21"/>
                <w:highlight w:val="none"/>
                <w:lang w:val="en-US" w:eastAsia="zh-CN" w:bidi="ar-SA"/>
              </w:rPr>
              <w:t>项目与《关于印发“十四五”塑料污染治理行动方案的通知》（发改环资〔2021〕1298号）符合情况</w:t>
            </w:r>
          </w:p>
          <w:tbl>
            <w:tblPr>
              <w:tblStyle w:val="24"/>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950"/>
              <w:gridCol w:w="1756"/>
              <w:gridCol w:w="713"/>
            </w:tblGrid>
            <w:tr w14:paraId="09B3B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2" w:type="pct"/>
                  <w:tcBorders>
                    <w:tl2br w:val="nil"/>
                    <w:tr2bl w:val="nil"/>
                  </w:tcBorders>
                  <w:noWrap w:val="0"/>
                  <w:vAlign w:val="center"/>
                </w:tcPr>
                <w:p w14:paraId="2A65A98D">
                  <w:pPr>
                    <w:spacing w:line="240" w:lineRule="auto"/>
                    <w:ind w:firstLine="0" w:firstLineChars="0"/>
                    <w:jc w:val="center"/>
                    <w:rPr>
                      <w:rFonts w:hint="default" w:ascii="Times New Roman" w:hAnsi="Times New Roman" w:eastAsia="宋体" w:cs="Times New Roman"/>
                      <w:b/>
                      <w:bCs w:val="0"/>
                      <w:snapToGrid w:val="0"/>
                      <w:color w:val="auto"/>
                      <w:kern w:val="0"/>
                      <w:sz w:val="21"/>
                      <w:szCs w:val="21"/>
                      <w:highlight w:val="none"/>
                    </w:rPr>
                  </w:pPr>
                  <w:r>
                    <w:rPr>
                      <w:rFonts w:hint="default" w:ascii="Times New Roman" w:hAnsi="Times New Roman" w:eastAsia="宋体" w:cs="Times New Roman"/>
                      <w:b/>
                      <w:bCs w:val="0"/>
                      <w:snapToGrid w:val="0"/>
                      <w:color w:val="auto"/>
                      <w:kern w:val="0"/>
                      <w:sz w:val="21"/>
                      <w:szCs w:val="21"/>
                      <w:highlight w:val="none"/>
                    </w:rPr>
                    <w:t>项目</w:t>
                  </w:r>
                </w:p>
              </w:tc>
              <w:tc>
                <w:tcPr>
                  <w:tcW w:w="2274" w:type="pct"/>
                  <w:tcBorders>
                    <w:tl2br w:val="nil"/>
                    <w:tr2bl w:val="nil"/>
                  </w:tcBorders>
                  <w:noWrap w:val="0"/>
                  <w:vAlign w:val="center"/>
                </w:tcPr>
                <w:p w14:paraId="11F70AED">
                  <w:pPr>
                    <w:spacing w:line="240" w:lineRule="auto"/>
                    <w:ind w:firstLine="0" w:firstLineChars="0"/>
                    <w:jc w:val="center"/>
                    <w:rPr>
                      <w:rFonts w:hint="default" w:ascii="Times New Roman" w:hAnsi="Times New Roman" w:eastAsia="宋体" w:cs="Times New Roman"/>
                      <w:b/>
                      <w:bCs w:val="0"/>
                      <w:snapToGrid w:val="0"/>
                      <w:color w:val="auto"/>
                      <w:kern w:val="0"/>
                      <w:sz w:val="21"/>
                      <w:szCs w:val="21"/>
                      <w:highlight w:val="none"/>
                    </w:rPr>
                  </w:pPr>
                  <w:r>
                    <w:rPr>
                      <w:rFonts w:hint="default" w:ascii="Times New Roman" w:hAnsi="Times New Roman" w:eastAsia="宋体" w:cs="Times New Roman"/>
                      <w:b/>
                      <w:bCs w:val="0"/>
                      <w:snapToGrid w:val="0"/>
                      <w:color w:val="auto"/>
                      <w:kern w:val="0"/>
                      <w:sz w:val="21"/>
                      <w:szCs w:val="21"/>
                      <w:highlight w:val="none"/>
                    </w:rPr>
                    <w:t>《关于印发“十四五”塑料污染治理行动方案的通知》中要求</w:t>
                  </w:r>
                </w:p>
              </w:tc>
              <w:tc>
                <w:tcPr>
                  <w:tcW w:w="1353" w:type="pct"/>
                  <w:tcBorders>
                    <w:tl2br w:val="nil"/>
                    <w:tr2bl w:val="nil"/>
                  </w:tcBorders>
                  <w:noWrap w:val="0"/>
                  <w:vAlign w:val="center"/>
                </w:tcPr>
                <w:p w14:paraId="56D44FA2">
                  <w:pPr>
                    <w:spacing w:line="240" w:lineRule="auto"/>
                    <w:ind w:firstLine="0" w:firstLineChars="0"/>
                    <w:jc w:val="center"/>
                    <w:rPr>
                      <w:rFonts w:hint="default" w:ascii="Times New Roman" w:hAnsi="Times New Roman" w:eastAsia="宋体" w:cs="Times New Roman"/>
                      <w:b/>
                      <w:bCs w:val="0"/>
                      <w:snapToGrid w:val="0"/>
                      <w:color w:val="auto"/>
                      <w:kern w:val="0"/>
                      <w:sz w:val="21"/>
                      <w:szCs w:val="21"/>
                      <w:highlight w:val="none"/>
                    </w:rPr>
                  </w:pPr>
                  <w:r>
                    <w:rPr>
                      <w:rFonts w:hint="default" w:ascii="Times New Roman" w:hAnsi="Times New Roman" w:eastAsia="宋体" w:cs="Times New Roman"/>
                      <w:b/>
                      <w:bCs w:val="0"/>
                      <w:snapToGrid w:val="0"/>
                      <w:color w:val="auto"/>
                      <w:kern w:val="0"/>
                      <w:sz w:val="21"/>
                      <w:szCs w:val="21"/>
                      <w:highlight w:val="none"/>
                    </w:rPr>
                    <w:t>本项目情况</w:t>
                  </w:r>
                </w:p>
              </w:tc>
              <w:tc>
                <w:tcPr>
                  <w:tcW w:w="549" w:type="pct"/>
                  <w:tcBorders>
                    <w:tl2br w:val="nil"/>
                    <w:tr2bl w:val="nil"/>
                  </w:tcBorders>
                  <w:noWrap w:val="0"/>
                  <w:vAlign w:val="center"/>
                </w:tcPr>
                <w:p w14:paraId="27B1F579">
                  <w:pPr>
                    <w:spacing w:line="240" w:lineRule="auto"/>
                    <w:ind w:firstLine="0" w:firstLineChars="0"/>
                    <w:jc w:val="center"/>
                    <w:rPr>
                      <w:rFonts w:hint="default" w:ascii="Times New Roman" w:hAnsi="Times New Roman" w:eastAsia="宋体" w:cs="Times New Roman"/>
                      <w:b/>
                      <w:bCs w:val="0"/>
                      <w:snapToGrid w:val="0"/>
                      <w:color w:val="auto"/>
                      <w:kern w:val="0"/>
                      <w:sz w:val="21"/>
                      <w:szCs w:val="21"/>
                      <w:highlight w:val="none"/>
                    </w:rPr>
                  </w:pPr>
                  <w:r>
                    <w:rPr>
                      <w:rFonts w:hint="default" w:ascii="Times New Roman" w:hAnsi="Times New Roman" w:eastAsia="宋体" w:cs="Times New Roman"/>
                      <w:b/>
                      <w:bCs w:val="0"/>
                      <w:snapToGrid w:val="0"/>
                      <w:color w:val="auto"/>
                      <w:kern w:val="0"/>
                      <w:sz w:val="21"/>
                      <w:szCs w:val="21"/>
                      <w:highlight w:val="none"/>
                    </w:rPr>
                    <w:t>符合性</w:t>
                  </w:r>
                </w:p>
              </w:tc>
            </w:tr>
            <w:tr w14:paraId="6342D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2" w:type="pct"/>
                  <w:tcBorders>
                    <w:tl2br w:val="nil"/>
                    <w:tr2bl w:val="nil"/>
                  </w:tcBorders>
                  <w:noWrap w:val="0"/>
                  <w:vAlign w:val="center"/>
                </w:tcPr>
                <w:p w14:paraId="6EACDBB3">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积极推动塑料生产和使用源头减量</w:t>
                  </w:r>
                </w:p>
              </w:tc>
              <w:tc>
                <w:tcPr>
                  <w:tcW w:w="2274" w:type="pct"/>
                  <w:tcBorders>
                    <w:tl2br w:val="nil"/>
                    <w:tr2bl w:val="nil"/>
                  </w:tcBorders>
                  <w:noWrap w:val="0"/>
                  <w:vAlign w:val="center"/>
                </w:tcPr>
                <w:p w14:paraId="38F8F126">
                  <w:pPr>
                    <w:spacing w:line="240" w:lineRule="auto"/>
                    <w:ind w:firstLine="0" w:firstLineChars="0"/>
                    <w:rPr>
                      <w:rFonts w:hint="default" w:ascii="Times New Roman" w:hAnsi="Times New Roman" w:eastAsia="宋体" w:cs="Times New Roman"/>
                      <w:bCs/>
                      <w:snapToGrid w:val="0"/>
                      <w:color w:val="auto"/>
                      <w:kern w:val="0"/>
                      <w:sz w:val="21"/>
                      <w:szCs w:val="21"/>
                      <w:highlight w:val="none"/>
                      <w:lang w:eastAsia="zh-CN"/>
                    </w:rPr>
                  </w:pPr>
                  <w:r>
                    <w:rPr>
                      <w:rFonts w:hint="default" w:ascii="Times New Roman" w:hAnsi="Times New Roman" w:eastAsia="宋体" w:cs="Times New Roman"/>
                      <w:bCs/>
                      <w:snapToGrid w:val="0"/>
                      <w:color w:val="auto"/>
                      <w:kern w:val="0"/>
                      <w:sz w:val="21"/>
                      <w:szCs w:val="21"/>
                      <w:highlight w:val="none"/>
                    </w:rPr>
                    <w:t>禁止生产厚度小于0.025毫米的超薄塑料购物袋、厚度小于0.01毫米的聚乙烯农用地膜</w:t>
                  </w:r>
                  <w:r>
                    <w:rPr>
                      <w:rFonts w:hint="default" w:ascii="Times New Roman" w:hAnsi="Times New Roman" w:eastAsia="宋体" w:cs="Times New Roman"/>
                      <w:bCs/>
                      <w:snapToGrid w:val="0"/>
                      <w:color w:val="auto"/>
                      <w:kern w:val="0"/>
                      <w:sz w:val="21"/>
                      <w:szCs w:val="21"/>
                      <w:highlight w:val="none"/>
                      <w:lang w:eastAsia="zh-CN"/>
                    </w:rPr>
                    <w:t>、含塑料微珠日化产品等部分危害环境和人体健康的产品。</w:t>
                  </w:r>
                </w:p>
              </w:tc>
              <w:tc>
                <w:tcPr>
                  <w:tcW w:w="1353" w:type="pct"/>
                  <w:tcBorders>
                    <w:tl2br w:val="nil"/>
                    <w:tr2bl w:val="nil"/>
                  </w:tcBorders>
                  <w:noWrap w:val="0"/>
                  <w:vAlign w:val="center"/>
                </w:tcPr>
                <w:p w14:paraId="78126419">
                  <w:pPr>
                    <w:spacing w:line="240" w:lineRule="auto"/>
                    <w:ind w:firstLine="0" w:firstLineChars="0"/>
                    <w:rPr>
                      <w:rFonts w:hint="default" w:ascii="Times New Roman" w:hAnsi="Times New Roman" w:eastAsia="宋体" w:cs="Times New Roman"/>
                      <w:bCs/>
                      <w:snapToGrid w:val="0"/>
                      <w:color w:val="auto"/>
                      <w:kern w:val="0"/>
                      <w:sz w:val="21"/>
                      <w:szCs w:val="21"/>
                      <w:highlight w:val="none"/>
                      <w:lang w:val="en-US" w:eastAsia="zh-CN"/>
                    </w:rPr>
                  </w:pPr>
                  <w:r>
                    <w:rPr>
                      <w:rFonts w:hint="default" w:ascii="Times New Roman" w:hAnsi="Times New Roman" w:eastAsia="宋体" w:cs="Times New Roman"/>
                      <w:bCs/>
                      <w:snapToGrid w:val="0"/>
                      <w:color w:val="auto"/>
                      <w:kern w:val="0"/>
                      <w:sz w:val="21"/>
                      <w:szCs w:val="21"/>
                      <w:highlight w:val="none"/>
                      <w:lang w:val="en-US" w:eastAsia="zh-CN"/>
                    </w:rPr>
                    <w:t>项目地膜厚度产品厚度规格在0.05~0.08mm，生产的滴灌带厚度大于0.2mm，不涉及</w:t>
                  </w:r>
                  <w:r>
                    <w:rPr>
                      <w:rFonts w:hint="default" w:ascii="Times New Roman" w:hAnsi="Times New Roman" w:eastAsia="宋体" w:cs="Times New Roman"/>
                      <w:bCs/>
                      <w:snapToGrid w:val="0"/>
                      <w:color w:val="auto"/>
                      <w:kern w:val="0"/>
                      <w:sz w:val="21"/>
                      <w:szCs w:val="21"/>
                      <w:highlight w:val="none"/>
                      <w:lang w:eastAsia="zh-CN"/>
                    </w:rPr>
                    <w:t>含塑料微珠日化产品等部分危害环境和人体健康的产品</w:t>
                  </w:r>
                </w:p>
              </w:tc>
              <w:tc>
                <w:tcPr>
                  <w:tcW w:w="549" w:type="pct"/>
                  <w:tcBorders>
                    <w:tl2br w:val="nil"/>
                    <w:tr2bl w:val="nil"/>
                  </w:tcBorders>
                  <w:noWrap w:val="0"/>
                  <w:vAlign w:val="center"/>
                </w:tcPr>
                <w:p w14:paraId="4F45FFFB">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符合</w:t>
                  </w:r>
                </w:p>
              </w:tc>
            </w:tr>
            <w:tr w14:paraId="56CD1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2" w:type="pct"/>
                  <w:tcBorders>
                    <w:tl2br w:val="nil"/>
                    <w:tr2bl w:val="nil"/>
                  </w:tcBorders>
                  <w:noWrap w:val="0"/>
                  <w:vAlign w:val="center"/>
                </w:tcPr>
                <w:p w14:paraId="4A8DF0A7">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持续推进一次性塑料制品使用减量</w:t>
                  </w:r>
                </w:p>
              </w:tc>
              <w:tc>
                <w:tcPr>
                  <w:tcW w:w="2274" w:type="pct"/>
                  <w:tcBorders>
                    <w:tl2br w:val="nil"/>
                    <w:tr2bl w:val="nil"/>
                  </w:tcBorders>
                  <w:noWrap w:val="0"/>
                  <w:vAlign w:val="center"/>
                </w:tcPr>
                <w:p w14:paraId="0CBC6D15">
                  <w:pPr>
                    <w:spacing w:line="240" w:lineRule="auto"/>
                    <w:ind w:firstLine="0" w:firstLineChars="0"/>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落实国家有关禁止、限制销售和使用部分塑料制品的规定。</w:t>
                  </w:r>
                </w:p>
              </w:tc>
              <w:tc>
                <w:tcPr>
                  <w:tcW w:w="1353" w:type="pct"/>
                  <w:tcBorders>
                    <w:tl2br w:val="nil"/>
                    <w:tr2bl w:val="nil"/>
                  </w:tcBorders>
                  <w:noWrap w:val="0"/>
                  <w:vAlign w:val="center"/>
                </w:tcPr>
                <w:p w14:paraId="4EEDE47D">
                  <w:pPr>
                    <w:spacing w:line="240" w:lineRule="auto"/>
                    <w:ind w:firstLine="0" w:firstLineChars="0"/>
                    <w:rPr>
                      <w:rFonts w:hint="default" w:ascii="Times New Roman" w:hAnsi="Times New Roman" w:eastAsia="宋体" w:cs="Times New Roman"/>
                      <w:bCs/>
                      <w:snapToGrid w:val="0"/>
                      <w:color w:val="auto"/>
                      <w:kern w:val="0"/>
                      <w:sz w:val="21"/>
                      <w:szCs w:val="21"/>
                      <w:highlight w:val="none"/>
                      <w:lang w:val="en-US" w:eastAsia="zh-CN"/>
                    </w:rPr>
                  </w:pPr>
                  <w:r>
                    <w:rPr>
                      <w:rFonts w:hint="default" w:ascii="Times New Roman" w:hAnsi="Times New Roman" w:eastAsia="宋体" w:cs="Times New Roman"/>
                      <w:bCs/>
                      <w:snapToGrid w:val="0"/>
                      <w:color w:val="auto"/>
                      <w:kern w:val="0"/>
                      <w:sz w:val="21"/>
                      <w:szCs w:val="21"/>
                      <w:highlight w:val="none"/>
                      <w:lang w:val="en-US" w:eastAsia="zh-CN"/>
                    </w:rPr>
                    <w:t>本项目</w:t>
                  </w:r>
                  <w:r>
                    <w:rPr>
                      <w:rFonts w:hint="default" w:ascii="Times New Roman" w:hAnsi="Times New Roman" w:cs="Times New Roman"/>
                      <w:bCs/>
                      <w:snapToGrid w:val="0"/>
                      <w:color w:val="auto"/>
                      <w:kern w:val="0"/>
                      <w:sz w:val="21"/>
                      <w:szCs w:val="21"/>
                      <w:highlight w:val="none"/>
                      <w:lang w:val="en-US" w:eastAsia="zh-CN"/>
                    </w:rPr>
                    <w:t>不</w:t>
                  </w:r>
                  <w:r>
                    <w:rPr>
                      <w:rFonts w:hint="default" w:ascii="Times New Roman" w:hAnsi="Times New Roman" w:eastAsia="宋体" w:cs="Times New Roman"/>
                      <w:bCs/>
                      <w:snapToGrid w:val="0"/>
                      <w:color w:val="auto"/>
                      <w:kern w:val="0"/>
                      <w:sz w:val="21"/>
                      <w:szCs w:val="21"/>
                      <w:highlight w:val="none"/>
                      <w:lang w:val="en-US" w:eastAsia="zh-CN"/>
                    </w:rPr>
                    <w:t>回收废旧塑料，不涉及</w:t>
                  </w:r>
                  <w:r>
                    <w:rPr>
                      <w:rFonts w:hint="default" w:ascii="Times New Roman" w:hAnsi="Times New Roman" w:eastAsia="宋体" w:cs="Times New Roman"/>
                      <w:bCs/>
                      <w:snapToGrid w:val="0"/>
                      <w:color w:val="auto"/>
                      <w:kern w:val="0"/>
                      <w:sz w:val="21"/>
                      <w:szCs w:val="21"/>
                      <w:highlight w:val="none"/>
                    </w:rPr>
                    <w:t>国家有关禁止、限制销售和使用部分塑料制品</w:t>
                  </w:r>
                </w:p>
              </w:tc>
              <w:tc>
                <w:tcPr>
                  <w:tcW w:w="549" w:type="pct"/>
                  <w:tcBorders>
                    <w:tl2br w:val="nil"/>
                    <w:tr2bl w:val="nil"/>
                  </w:tcBorders>
                  <w:noWrap w:val="0"/>
                  <w:vAlign w:val="center"/>
                </w:tcPr>
                <w:p w14:paraId="303A4C35">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符合</w:t>
                  </w:r>
                </w:p>
              </w:tc>
            </w:tr>
            <w:tr w14:paraId="220BD0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2" w:type="pct"/>
                  <w:tcBorders>
                    <w:tl2br w:val="nil"/>
                    <w:tr2bl w:val="nil"/>
                  </w:tcBorders>
                  <w:noWrap w:val="0"/>
                  <w:vAlign w:val="center"/>
                </w:tcPr>
                <w:p w14:paraId="4D79A793">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加强塑料废弃物规范回收和清运</w:t>
                  </w:r>
                </w:p>
              </w:tc>
              <w:tc>
                <w:tcPr>
                  <w:tcW w:w="2274" w:type="pct"/>
                  <w:tcBorders>
                    <w:tl2br w:val="nil"/>
                    <w:tr2bl w:val="nil"/>
                  </w:tcBorders>
                  <w:noWrap w:val="0"/>
                  <w:vAlign w:val="center"/>
                </w:tcPr>
                <w:p w14:paraId="06331F92">
                  <w:pPr>
                    <w:spacing w:line="240" w:lineRule="auto"/>
                    <w:ind w:firstLine="0" w:firstLineChars="0"/>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结合生活垃圾分类，推进城市再生资源回收网点与生活垃圾分类网点融合，在大型社区、写字楼、商场、医院、学校、场馆等地，合理布局生活垃圾分类收集设施设备，提高塑料废弃物收集转运效率，提升塑料废弃物回收规范化水平。</w:t>
                  </w:r>
                </w:p>
              </w:tc>
              <w:tc>
                <w:tcPr>
                  <w:tcW w:w="1353" w:type="pct"/>
                  <w:tcBorders>
                    <w:tl2br w:val="nil"/>
                    <w:tr2bl w:val="nil"/>
                  </w:tcBorders>
                  <w:noWrap w:val="0"/>
                  <w:vAlign w:val="center"/>
                </w:tcPr>
                <w:p w14:paraId="7E912931">
                  <w:pPr>
                    <w:spacing w:line="240" w:lineRule="auto"/>
                    <w:ind w:firstLine="0" w:firstLineChars="0"/>
                    <w:rPr>
                      <w:rFonts w:hint="default" w:ascii="Times New Roman" w:hAnsi="Times New Roman" w:eastAsia="宋体" w:cs="Times New Roman"/>
                      <w:bCs/>
                      <w:snapToGrid w:val="0"/>
                      <w:color w:val="auto"/>
                      <w:kern w:val="0"/>
                      <w:sz w:val="21"/>
                      <w:szCs w:val="21"/>
                      <w:highlight w:val="none"/>
                      <w:lang w:val="en-US" w:eastAsia="zh-CN"/>
                    </w:rPr>
                  </w:pPr>
                  <w:r>
                    <w:rPr>
                      <w:rFonts w:hint="default" w:ascii="Times New Roman" w:hAnsi="Times New Roman" w:eastAsia="宋体" w:cs="Times New Roman"/>
                      <w:bCs/>
                      <w:snapToGrid w:val="0"/>
                      <w:color w:val="auto"/>
                      <w:kern w:val="0"/>
                      <w:sz w:val="21"/>
                      <w:szCs w:val="21"/>
                      <w:highlight w:val="none"/>
                      <w:lang w:val="en-US" w:eastAsia="zh-CN"/>
                    </w:rPr>
                    <w:t>本项目</w:t>
                  </w:r>
                  <w:r>
                    <w:rPr>
                      <w:rFonts w:hint="default" w:ascii="Times New Roman" w:hAnsi="Times New Roman" w:cs="Times New Roman"/>
                      <w:bCs/>
                      <w:snapToGrid w:val="0"/>
                      <w:color w:val="auto"/>
                      <w:kern w:val="0"/>
                      <w:sz w:val="21"/>
                      <w:szCs w:val="21"/>
                      <w:highlight w:val="none"/>
                      <w:lang w:val="en-US" w:eastAsia="zh-CN"/>
                    </w:rPr>
                    <w:t>不涉及</w:t>
                  </w:r>
                  <w:r>
                    <w:rPr>
                      <w:rFonts w:hint="default" w:ascii="Times New Roman" w:hAnsi="Times New Roman" w:eastAsia="宋体" w:cs="Times New Roman"/>
                      <w:bCs/>
                      <w:snapToGrid w:val="0"/>
                      <w:color w:val="auto"/>
                      <w:kern w:val="0"/>
                      <w:sz w:val="21"/>
                      <w:szCs w:val="21"/>
                      <w:highlight w:val="none"/>
                      <w:lang w:val="en-US" w:eastAsia="zh-CN"/>
                    </w:rPr>
                    <w:t>对废旧塑料进行回收利用</w:t>
                  </w:r>
                </w:p>
              </w:tc>
              <w:tc>
                <w:tcPr>
                  <w:tcW w:w="549" w:type="pct"/>
                  <w:tcBorders>
                    <w:tl2br w:val="nil"/>
                    <w:tr2bl w:val="nil"/>
                  </w:tcBorders>
                  <w:noWrap w:val="0"/>
                  <w:vAlign w:val="center"/>
                </w:tcPr>
                <w:p w14:paraId="0E5BDD59">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符合</w:t>
                  </w:r>
                </w:p>
              </w:tc>
            </w:tr>
            <w:tr w14:paraId="03F95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2" w:type="pct"/>
                  <w:tcBorders>
                    <w:tl2br w:val="nil"/>
                    <w:tr2bl w:val="nil"/>
                  </w:tcBorders>
                  <w:noWrap w:val="0"/>
                  <w:vAlign w:val="center"/>
                </w:tcPr>
                <w:p w14:paraId="2810F154">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建立完善农村塑料废弃物收运处置体系</w:t>
                  </w:r>
                </w:p>
              </w:tc>
              <w:tc>
                <w:tcPr>
                  <w:tcW w:w="2274" w:type="pct"/>
                  <w:tcBorders>
                    <w:tl2br w:val="nil"/>
                    <w:tr2bl w:val="nil"/>
                  </w:tcBorders>
                  <w:noWrap w:val="0"/>
                  <w:vAlign w:val="center"/>
                </w:tcPr>
                <w:p w14:paraId="58F5A745">
                  <w:pPr>
                    <w:spacing w:line="240" w:lineRule="auto"/>
                    <w:ind w:firstLine="0" w:firstLineChars="0"/>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深入实施农膜回收行动，继续开展农膜回收示范县建设，推广标准地膜应用，推动机械化捡拾、专业化回收和资源化利用。</w:t>
                  </w:r>
                </w:p>
              </w:tc>
              <w:tc>
                <w:tcPr>
                  <w:tcW w:w="1353" w:type="pct"/>
                  <w:tcBorders>
                    <w:tl2br w:val="nil"/>
                    <w:tr2bl w:val="nil"/>
                  </w:tcBorders>
                  <w:noWrap w:val="0"/>
                  <w:vAlign w:val="center"/>
                </w:tcPr>
                <w:p w14:paraId="4E5F7A0E">
                  <w:pPr>
                    <w:spacing w:line="240" w:lineRule="auto"/>
                    <w:ind w:firstLine="0" w:firstLineChars="0"/>
                    <w:rPr>
                      <w:rFonts w:hint="default" w:ascii="Times New Roman" w:hAnsi="Times New Roman" w:eastAsia="宋体" w:cs="Times New Roman"/>
                      <w:bCs/>
                      <w:snapToGrid w:val="0"/>
                      <w:color w:val="auto"/>
                      <w:kern w:val="0"/>
                      <w:sz w:val="21"/>
                      <w:szCs w:val="21"/>
                      <w:highlight w:val="none"/>
                      <w:lang w:val="en-US" w:eastAsia="zh-CN"/>
                    </w:rPr>
                  </w:pPr>
                  <w:r>
                    <w:rPr>
                      <w:rFonts w:hint="default" w:ascii="Times New Roman" w:hAnsi="Times New Roman" w:eastAsia="宋体" w:cs="Times New Roman"/>
                      <w:bCs/>
                      <w:snapToGrid w:val="0"/>
                      <w:color w:val="auto"/>
                      <w:kern w:val="0"/>
                      <w:sz w:val="21"/>
                      <w:szCs w:val="21"/>
                      <w:highlight w:val="none"/>
                      <w:lang w:val="en-US" w:eastAsia="zh-CN"/>
                    </w:rPr>
                    <w:t>本项目</w:t>
                  </w:r>
                  <w:r>
                    <w:rPr>
                      <w:rFonts w:hint="default" w:ascii="Times New Roman" w:hAnsi="Times New Roman" w:cs="Times New Roman"/>
                      <w:bCs/>
                      <w:snapToGrid w:val="0"/>
                      <w:color w:val="auto"/>
                      <w:kern w:val="0"/>
                      <w:sz w:val="21"/>
                      <w:szCs w:val="21"/>
                      <w:highlight w:val="none"/>
                      <w:lang w:val="en-US" w:eastAsia="zh-CN"/>
                    </w:rPr>
                    <w:t>为扩建项目，项目建设使用新料进行生产，建设单位已建设1条造粒生产线，可以回收废旧地膜，回收的废旧地膜用于造粒</w:t>
                  </w:r>
                  <w:r>
                    <w:rPr>
                      <w:rFonts w:hint="default" w:ascii="Times New Roman" w:hAnsi="Times New Roman" w:eastAsia="宋体" w:cs="Times New Roman"/>
                      <w:bCs/>
                      <w:snapToGrid w:val="0"/>
                      <w:color w:val="auto"/>
                      <w:kern w:val="0"/>
                      <w:sz w:val="21"/>
                      <w:szCs w:val="21"/>
                      <w:highlight w:val="none"/>
                      <w:lang w:val="en-US" w:eastAsia="zh-CN"/>
                    </w:rPr>
                    <w:t>，</w:t>
                  </w:r>
                  <w:r>
                    <w:rPr>
                      <w:rFonts w:hint="default" w:ascii="Times New Roman" w:hAnsi="Times New Roman" w:cs="Times New Roman"/>
                      <w:bCs/>
                      <w:snapToGrid w:val="0"/>
                      <w:color w:val="auto"/>
                      <w:kern w:val="0"/>
                      <w:sz w:val="21"/>
                      <w:szCs w:val="21"/>
                      <w:highlight w:val="none"/>
                      <w:lang w:val="en-US" w:eastAsia="zh-CN"/>
                    </w:rPr>
                    <w:t>生产的颗粒用于滴灌带的生产，不作为地膜生产的原料本项目的原料。</w:t>
                  </w:r>
                </w:p>
              </w:tc>
              <w:tc>
                <w:tcPr>
                  <w:tcW w:w="549" w:type="pct"/>
                  <w:tcBorders>
                    <w:tl2br w:val="nil"/>
                    <w:tr2bl w:val="nil"/>
                  </w:tcBorders>
                  <w:noWrap w:val="0"/>
                  <w:vAlign w:val="center"/>
                </w:tcPr>
                <w:p w14:paraId="4666724F">
                  <w:pPr>
                    <w:spacing w:line="240" w:lineRule="auto"/>
                    <w:ind w:firstLine="0" w:firstLineChars="0"/>
                    <w:jc w:val="center"/>
                    <w:rPr>
                      <w:rFonts w:hint="default" w:ascii="Times New Roman" w:hAnsi="Times New Roman" w:eastAsia="宋体" w:cs="Times New Roman"/>
                      <w:bCs/>
                      <w:snapToGrid w:val="0"/>
                      <w:color w:val="auto"/>
                      <w:kern w:val="0"/>
                      <w:sz w:val="21"/>
                      <w:szCs w:val="21"/>
                      <w:highlight w:val="none"/>
                    </w:rPr>
                  </w:pPr>
                  <w:r>
                    <w:rPr>
                      <w:rFonts w:hint="default" w:ascii="Times New Roman" w:hAnsi="Times New Roman" w:eastAsia="宋体" w:cs="Times New Roman"/>
                      <w:bCs/>
                      <w:snapToGrid w:val="0"/>
                      <w:color w:val="auto"/>
                      <w:kern w:val="0"/>
                      <w:sz w:val="21"/>
                      <w:szCs w:val="21"/>
                      <w:highlight w:val="none"/>
                    </w:rPr>
                    <w:t>符合</w:t>
                  </w:r>
                </w:p>
              </w:tc>
            </w:tr>
          </w:tbl>
          <w:p w14:paraId="060EB9F7">
            <w:pPr>
              <w:spacing w:line="360" w:lineRule="auto"/>
              <w:rPr>
                <w:rFonts w:hint="default" w:ascii="Times New Roman" w:hAnsi="Times New Roman" w:cs="Times New Roman"/>
                <w:b/>
                <w:bCs/>
                <w:color w:val="auto"/>
                <w:sz w:val="24"/>
                <w:highlight w:val="none"/>
                <w:lang w:val="en-US" w:eastAsia="zh-CN"/>
              </w:rPr>
            </w:pPr>
          </w:p>
          <w:p w14:paraId="7CD5DFFC">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7"/>
                <w:sz w:val="24"/>
                <w:szCs w:val="24"/>
                <w:highlight w:val="none"/>
                <w:lang w:val="en-US" w:eastAsia="zh-CN"/>
              </w:rPr>
              <w:t>7.</w:t>
            </w:r>
            <w:r>
              <w:rPr>
                <w:rFonts w:hint="default" w:ascii="Times New Roman" w:hAnsi="Times New Roman" w:eastAsia="宋体" w:cs="Times New Roman"/>
                <w:b/>
                <w:bCs/>
                <w:color w:val="auto"/>
                <w:spacing w:val="-7"/>
                <w:sz w:val="24"/>
                <w:szCs w:val="24"/>
                <w:highlight w:val="none"/>
              </w:rPr>
              <w:t>与《新疆维吾尔自治区生态环境保护“十四五”规</w:t>
            </w:r>
            <w:r>
              <w:rPr>
                <w:rFonts w:hint="default" w:ascii="Times New Roman" w:hAnsi="Times New Roman" w:eastAsia="宋体" w:cs="Times New Roman"/>
                <w:b/>
                <w:bCs/>
                <w:color w:val="auto"/>
                <w:spacing w:val="-4"/>
                <w:sz w:val="24"/>
                <w:szCs w:val="24"/>
                <w:highlight w:val="none"/>
              </w:rPr>
              <w:t>划》符合性分析</w:t>
            </w:r>
          </w:p>
          <w:p w14:paraId="7A2A67B3">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根据自治区党委、自治区人民政府印发《新疆生态环境</w:t>
            </w:r>
            <w:r>
              <w:rPr>
                <w:rFonts w:hint="default" w:ascii="Times New Roman" w:hAnsi="Times New Roman" w:eastAsia="宋体" w:cs="Times New Roman"/>
                <w:color w:val="auto"/>
                <w:spacing w:val="-2"/>
                <w:sz w:val="24"/>
                <w:szCs w:val="24"/>
                <w:highlight w:val="none"/>
              </w:rPr>
              <w:t>保护“十四五”规划》相关内容：</w:t>
            </w:r>
          </w:p>
          <w:p w14:paraId="41A7AF35">
            <w:pPr>
              <w:keepNext w:val="0"/>
              <w:keepLines w:val="0"/>
              <w:pageBreakBefore w:val="0"/>
              <w:widowControl w:val="0"/>
              <w:kinsoku/>
              <w:wordWrap/>
              <w:overflowPunct/>
              <w:topLinePunct w:val="0"/>
              <w:autoSpaceDE/>
              <w:autoSpaceDN/>
              <w:bidi w:val="0"/>
              <w:adjustRightInd/>
              <w:snapToGrid/>
              <w:spacing w:line="360" w:lineRule="auto"/>
              <w:ind w:left="0" w:right="0" w:firstLine="488"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“加强重点行业</w:t>
            </w:r>
            <w:r>
              <w:rPr>
                <w:rFonts w:hint="default" w:ascii="Times New Roman" w:hAnsi="Times New Roman" w:eastAsia="宋体" w:cs="Times New Roman"/>
                <w:color w:val="auto"/>
                <w:sz w:val="24"/>
                <w:szCs w:val="24"/>
                <w:highlight w:val="none"/>
                <w:lang w:eastAsia="zh-CN"/>
              </w:rPr>
              <w:t>VOCs（以非甲烷总烃计）</w:t>
            </w:r>
            <w:r>
              <w:rPr>
                <w:rFonts w:hint="default" w:ascii="Times New Roman" w:hAnsi="Times New Roman" w:eastAsia="宋体" w:cs="Times New Roman"/>
                <w:color w:val="auto"/>
                <w:spacing w:val="2"/>
                <w:sz w:val="24"/>
                <w:szCs w:val="24"/>
                <w:highlight w:val="none"/>
              </w:rPr>
              <w:t>治理。实施</w:t>
            </w:r>
            <w:r>
              <w:rPr>
                <w:rFonts w:hint="default" w:ascii="Times New Roman" w:hAnsi="Times New Roman" w:eastAsia="宋体" w:cs="Times New Roman"/>
                <w:color w:val="auto"/>
                <w:sz w:val="24"/>
                <w:szCs w:val="24"/>
                <w:highlight w:val="none"/>
                <w:lang w:eastAsia="zh-CN"/>
              </w:rPr>
              <w:t>VOCs（以非甲烷总烃计）</w:t>
            </w:r>
            <w:r>
              <w:rPr>
                <w:rFonts w:hint="default" w:ascii="Times New Roman" w:hAnsi="Times New Roman" w:eastAsia="宋体" w:cs="Times New Roman"/>
                <w:color w:val="auto"/>
                <w:spacing w:val="2"/>
                <w:sz w:val="24"/>
                <w:szCs w:val="24"/>
                <w:highlight w:val="none"/>
              </w:rPr>
              <w:t>排放总量控制，</w:t>
            </w:r>
            <w:r>
              <w:rPr>
                <w:rFonts w:hint="default" w:ascii="Times New Roman" w:hAnsi="Times New Roman" w:eastAsia="宋体" w:cs="Times New Roman"/>
                <w:color w:val="auto"/>
                <w:spacing w:val="1"/>
                <w:sz w:val="24"/>
                <w:szCs w:val="24"/>
                <w:highlight w:val="none"/>
              </w:rPr>
              <w:t>重点推进石油天然气开采、石化、化工、包装印刷、工业涂</w:t>
            </w:r>
            <w:r>
              <w:rPr>
                <w:rFonts w:hint="default" w:ascii="Times New Roman" w:hAnsi="Times New Roman" w:eastAsia="宋体" w:cs="Times New Roman"/>
                <w:color w:val="auto"/>
                <w:spacing w:val="-3"/>
                <w:sz w:val="24"/>
                <w:szCs w:val="24"/>
                <w:highlight w:val="none"/>
              </w:rPr>
              <w:t>装、油品储运销等重点行业排放源以及机动车等移动</w:t>
            </w:r>
            <w:r>
              <w:rPr>
                <w:rFonts w:hint="default" w:ascii="Times New Roman" w:hAnsi="Times New Roman" w:eastAsia="宋体" w:cs="Times New Roman"/>
                <w:color w:val="auto"/>
                <w:spacing w:val="-4"/>
                <w:sz w:val="24"/>
                <w:szCs w:val="24"/>
                <w:highlight w:val="none"/>
              </w:rPr>
              <w:t>源</w:t>
            </w:r>
            <w:r>
              <w:rPr>
                <w:rFonts w:hint="default" w:ascii="Times New Roman" w:hAnsi="Times New Roman" w:eastAsia="宋体" w:cs="Times New Roman"/>
                <w:color w:val="auto"/>
                <w:spacing w:val="-4"/>
                <w:sz w:val="24"/>
                <w:szCs w:val="24"/>
                <w:highlight w:val="none"/>
                <w:lang w:eastAsia="zh-CN"/>
              </w:rPr>
              <w:t>VOCs（以非甲烷总烃计）</w:t>
            </w:r>
            <w:r>
              <w:rPr>
                <w:rFonts w:hint="default" w:ascii="Times New Roman" w:hAnsi="Times New Roman" w:eastAsia="宋体" w:cs="Times New Roman"/>
                <w:color w:val="auto"/>
                <w:spacing w:val="1"/>
                <w:sz w:val="24"/>
                <w:szCs w:val="24"/>
                <w:highlight w:val="none"/>
              </w:rPr>
              <w:t>污染防治，加强重点行业、重点企业的精细化管控；全面推</w:t>
            </w:r>
            <w:r>
              <w:rPr>
                <w:rFonts w:hint="default" w:ascii="Times New Roman" w:hAnsi="Times New Roman" w:eastAsia="宋体" w:cs="Times New Roman"/>
                <w:color w:val="auto"/>
                <w:spacing w:val="-3"/>
                <w:sz w:val="24"/>
                <w:szCs w:val="24"/>
                <w:highlight w:val="none"/>
              </w:rPr>
              <w:t>进使用低</w:t>
            </w:r>
            <w:r>
              <w:rPr>
                <w:rFonts w:hint="default" w:ascii="Times New Roman" w:hAnsi="Times New Roman" w:eastAsia="宋体" w:cs="Times New Roman"/>
                <w:color w:val="auto"/>
                <w:spacing w:val="-3"/>
                <w:sz w:val="24"/>
                <w:szCs w:val="24"/>
                <w:highlight w:val="none"/>
                <w:lang w:eastAsia="zh-CN"/>
              </w:rPr>
              <w:t>VOCs（以非甲烷总烃计）</w:t>
            </w:r>
            <w:r>
              <w:rPr>
                <w:rFonts w:hint="default" w:ascii="Times New Roman" w:hAnsi="Times New Roman" w:eastAsia="宋体" w:cs="Times New Roman"/>
                <w:color w:val="auto"/>
                <w:spacing w:val="-3"/>
                <w:sz w:val="24"/>
                <w:szCs w:val="24"/>
                <w:highlight w:val="none"/>
              </w:rPr>
              <w:t>含量涂料、油墨、胶粘剂、清洗剂等；加</w:t>
            </w:r>
            <w:r>
              <w:rPr>
                <w:rFonts w:hint="default" w:ascii="Times New Roman" w:hAnsi="Times New Roman" w:eastAsia="宋体" w:cs="Times New Roman"/>
                <w:color w:val="auto"/>
                <w:spacing w:val="-4"/>
                <w:sz w:val="24"/>
                <w:szCs w:val="24"/>
                <w:highlight w:val="none"/>
              </w:rPr>
              <w:t>强汽</w:t>
            </w:r>
            <w:r>
              <w:rPr>
                <w:rFonts w:hint="default" w:ascii="Times New Roman" w:hAnsi="Times New Roman" w:eastAsia="宋体" w:cs="Times New Roman"/>
                <w:color w:val="auto"/>
                <w:spacing w:val="-3"/>
                <w:sz w:val="24"/>
                <w:szCs w:val="24"/>
                <w:highlight w:val="none"/>
              </w:rPr>
              <w:t>修行业</w:t>
            </w:r>
            <w:r>
              <w:rPr>
                <w:rFonts w:hint="default" w:ascii="Times New Roman" w:hAnsi="Times New Roman" w:eastAsia="宋体" w:cs="Times New Roman"/>
                <w:color w:val="auto"/>
                <w:spacing w:val="-3"/>
                <w:sz w:val="24"/>
                <w:szCs w:val="24"/>
                <w:highlight w:val="none"/>
                <w:lang w:eastAsia="zh-CN"/>
              </w:rPr>
              <w:t>VOCs（以非甲烷总烃计）</w:t>
            </w:r>
            <w:r>
              <w:rPr>
                <w:rFonts w:hint="default" w:ascii="Times New Roman" w:hAnsi="Times New Roman" w:eastAsia="宋体" w:cs="Times New Roman"/>
                <w:color w:val="auto"/>
                <w:spacing w:val="-3"/>
                <w:sz w:val="24"/>
                <w:szCs w:val="24"/>
                <w:highlight w:val="none"/>
              </w:rPr>
              <w:t>综合治理，加大餐饮油烟污染治理力度，持</w:t>
            </w:r>
            <w:r>
              <w:rPr>
                <w:rFonts w:hint="default" w:ascii="Times New Roman" w:hAnsi="Times New Roman" w:eastAsia="宋体" w:cs="Times New Roman"/>
                <w:color w:val="auto"/>
                <w:spacing w:val="-4"/>
                <w:sz w:val="24"/>
                <w:szCs w:val="24"/>
                <w:highlight w:val="none"/>
              </w:rPr>
              <w:t>续削</w:t>
            </w:r>
            <w:r>
              <w:rPr>
                <w:rFonts w:hint="default" w:ascii="Times New Roman" w:hAnsi="Times New Roman" w:eastAsia="宋体" w:cs="Times New Roman"/>
                <w:color w:val="auto"/>
                <w:spacing w:val="10"/>
                <w:sz w:val="24"/>
                <w:szCs w:val="24"/>
                <w:highlight w:val="none"/>
              </w:rPr>
              <w:t>减</w:t>
            </w:r>
            <w:r>
              <w:rPr>
                <w:rFonts w:hint="default" w:ascii="Times New Roman" w:hAnsi="Times New Roman" w:eastAsia="宋体" w:cs="Times New Roman"/>
                <w:color w:val="auto"/>
                <w:sz w:val="24"/>
                <w:szCs w:val="24"/>
                <w:highlight w:val="none"/>
                <w:lang w:eastAsia="zh-CN"/>
              </w:rPr>
              <w:t>VOCs（以非甲烷总烃计）</w:t>
            </w:r>
            <w:r>
              <w:rPr>
                <w:rFonts w:hint="default" w:ascii="Times New Roman" w:hAnsi="Times New Roman" w:eastAsia="宋体" w:cs="Times New Roman"/>
                <w:color w:val="auto"/>
                <w:spacing w:val="10"/>
                <w:sz w:val="24"/>
                <w:szCs w:val="24"/>
                <w:highlight w:val="none"/>
              </w:rPr>
              <w:t>排放量。”</w:t>
            </w:r>
          </w:p>
          <w:p w14:paraId="37B46B87">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val="en-US" w:eastAsia="zh-CN"/>
              </w:rPr>
              <w:t>项目运营期会产生挥发性有机物，产生的挥发性有机物</w:t>
            </w:r>
            <w:r>
              <w:rPr>
                <w:rFonts w:hint="default" w:ascii="Times New Roman" w:hAnsi="Times New Roman" w:cs="Times New Roman"/>
                <w:color w:val="auto"/>
                <w:sz w:val="24"/>
                <w:highlight w:val="none"/>
              </w:rPr>
              <w:t>经集气罩收集后通过</w:t>
            </w:r>
            <w:r>
              <w:rPr>
                <w:rFonts w:hint="default" w:ascii="Times New Roman" w:hAnsi="Times New Roman" w:cs="Times New Roman"/>
                <w:color w:val="auto"/>
                <w:sz w:val="24"/>
                <w:highlight w:val="none"/>
                <w:lang w:val="en-US" w:eastAsia="zh-CN"/>
              </w:rPr>
              <w:t>活性炭吸附脱附+催化燃烧装置</w:t>
            </w:r>
            <w:r>
              <w:rPr>
                <w:rFonts w:hint="default" w:ascii="Times New Roman" w:hAnsi="Times New Roman" w:cs="Times New Roman"/>
                <w:color w:val="auto"/>
                <w:sz w:val="24"/>
                <w:highlight w:val="none"/>
              </w:rPr>
              <w:t>处理后由15m高排气筒达标排放</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pacing w:val="1"/>
                <w:sz w:val="24"/>
                <w:szCs w:val="24"/>
                <w:highlight w:val="none"/>
              </w:rPr>
              <w:t>环保设施治理后均能达标排放，对环境造</w:t>
            </w:r>
            <w:r>
              <w:rPr>
                <w:rFonts w:hint="default" w:ascii="Times New Roman" w:hAnsi="Times New Roman" w:eastAsia="宋体" w:cs="Times New Roman"/>
                <w:color w:val="auto"/>
                <w:spacing w:val="-5"/>
                <w:sz w:val="24"/>
                <w:szCs w:val="24"/>
                <w:highlight w:val="none"/>
              </w:rPr>
              <w:t>成的影响程度很小，本项目符合《新疆维吾尔自治区</w:t>
            </w:r>
            <w:r>
              <w:rPr>
                <w:rFonts w:hint="default" w:ascii="Times New Roman" w:hAnsi="Times New Roman" w:eastAsia="Times New Roman" w:cs="Times New Roman"/>
                <w:color w:val="auto"/>
                <w:spacing w:val="-5"/>
                <w:sz w:val="24"/>
                <w:szCs w:val="24"/>
                <w:highlight w:val="none"/>
              </w:rPr>
              <w:t>“</w:t>
            </w:r>
            <w:r>
              <w:rPr>
                <w:rFonts w:hint="default" w:ascii="Times New Roman" w:hAnsi="Times New Roman" w:eastAsia="宋体" w:cs="Times New Roman"/>
                <w:color w:val="auto"/>
                <w:spacing w:val="-5"/>
                <w:sz w:val="24"/>
                <w:szCs w:val="24"/>
                <w:highlight w:val="none"/>
              </w:rPr>
              <w:t>十四五</w:t>
            </w:r>
            <w:r>
              <w:rPr>
                <w:rFonts w:hint="default" w:ascii="Times New Roman" w:hAnsi="Times New Roman" w:eastAsia="Times New Roman" w:cs="Times New Roman"/>
                <w:color w:val="auto"/>
                <w:spacing w:val="-5"/>
                <w:sz w:val="24"/>
                <w:szCs w:val="24"/>
                <w:highlight w:val="none"/>
              </w:rPr>
              <w:t>”</w:t>
            </w:r>
            <w:r>
              <w:rPr>
                <w:rFonts w:hint="default" w:ascii="Times New Roman" w:hAnsi="Times New Roman" w:eastAsia="宋体" w:cs="Times New Roman"/>
                <w:color w:val="auto"/>
                <w:spacing w:val="-1"/>
                <w:sz w:val="24"/>
                <w:szCs w:val="24"/>
                <w:highlight w:val="none"/>
              </w:rPr>
              <w:t>生态环境保护规划》的相关要求。</w:t>
            </w:r>
          </w:p>
          <w:p w14:paraId="4EC0F993">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pacing w:val="-7"/>
                <w:sz w:val="24"/>
                <w:szCs w:val="24"/>
                <w:highlight w:val="none"/>
                <w:lang w:val="en-US" w:eastAsia="zh-CN"/>
              </w:rPr>
              <w:t>8.</w:t>
            </w:r>
            <w:r>
              <w:rPr>
                <w:rFonts w:hint="default" w:ascii="Times New Roman" w:hAnsi="Times New Roman" w:eastAsia="宋体" w:cs="Times New Roman"/>
                <w:b/>
                <w:bCs/>
                <w:color w:val="auto"/>
                <w:spacing w:val="-7"/>
                <w:sz w:val="24"/>
                <w:szCs w:val="24"/>
                <w:highlight w:val="none"/>
              </w:rPr>
              <w:t>与《新疆维吾尔自治区大气污染防治条例》符合性</w:t>
            </w:r>
            <w:r>
              <w:rPr>
                <w:rFonts w:hint="default" w:ascii="Times New Roman" w:hAnsi="Times New Roman" w:eastAsia="宋体" w:cs="Times New Roman"/>
                <w:b/>
                <w:bCs/>
                <w:color w:val="auto"/>
                <w:spacing w:val="-9"/>
                <w:sz w:val="24"/>
                <w:szCs w:val="24"/>
                <w:highlight w:val="none"/>
              </w:rPr>
              <w:t>分析</w:t>
            </w:r>
          </w:p>
          <w:p w14:paraId="7CBBE842">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根据《新疆维吾尔自治区大气污染防治条例》相关要求：</w:t>
            </w:r>
            <w:r>
              <w:rPr>
                <w:rFonts w:hint="default" w:ascii="Times New Roman" w:hAnsi="Times New Roman" w:eastAsia="宋体" w:cs="Times New Roman"/>
                <w:color w:val="auto"/>
                <w:sz w:val="24"/>
                <w:szCs w:val="24"/>
                <w:highlight w:val="none"/>
              </w:rPr>
              <w:t>“各级人民政府应当实行煤炭消费总量控制制度，采取有利于煤炭消费总量削减的经济、技术政策和措施，鼓励和支持清洁能源的开发利用，引导企业开展清洁能源替代，减少煤炭生产、使用、转化过程中的大气污染物排放</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1D9DCA71">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jc w:val="both"/>
              <w:textAlignment w:val="auto"/>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rPr>
              <w:t>禁止在自治区行政区域内引进能（水）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w:t>
            </w:r>
            <w:r>
              <w:rPr>
                <w:rFonts w:hint="default" w:ascii="Times New Roman" w:hAnsi="Times New Roman" w:eastAsia="宋体" w:cs="Times New Roman"/>
                <w:color w:val="auto"/>
                <w:spacing w:val="3"/>
                <w:sz w:val="24"/>
                <w:szCs w:val="24"/>
                <w:highlight w:val="none"/>
              </w:rPr>
              <w:t>目录的工艺、设备、产品。</w:t>
            </w:r>
            <w:r>
              <w:rPr>
                <w:rFonts w:hint="default" w:ascii="Times New Roman" w:hAnsi="Times New Roman" w:eastAsia="Times New Roman" w:cs="Times New Roman"/>
                <w:color w:val="auto"/>
                <w:spacing w:val="3"/>
                <w:sz w:val="24"/>
                <w:szCs w:val="24"/>
                <w:highlight w:val="none"/>
              </w:rPr>
              <w:t>”</w:t>
            </w:r>
          </w:p>
          <w:p w14:paraId="0D1A5FF6">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“自治区人民政府工业和信息化、发展和改革、生态环</w:t>
            </w:r>
            <w:r>
              <w:rPr>
                <w:rFonts w:hint="default" w:ascii="Times New Roman" w:hAnsi="Times New Roman" w:eastAsia="宋体" w:cs="Times New Roman"/>
                <w:color w:val="auto"/>
                <w:spacing w:val="-1"/>
                <w:sz w:val="24"/>
                <w:szCs w:val="24"/>
                <w:highlight w:val="none"/>
              </w:rPr>
              <w:t>境等部门制定产业结构调整目录时，应当将严重污染大气的</w:t>
            </w:r>
            <w:r>
              <w:rPr>
                <w:rFonts w:hint="default" w:ascii="Times New Roman" w:hAnsi="Times New Roman" w:eastAsia="宋体" w:cs="Times New Roman"/>
                <w:color w:val="auto"/>
                <w:sz w:val="24"/>
                <w:szCs w:val="24"/>
                <w:highlight w:val="none"/>
              </w:rPr>
              <w:t>工艺、设备、产品列入淘汰目录。州、市（地）、县（市、</w:t>
            </w:r>
            <w:r>
              <w:rPr>
                <w:rFonts w:hint="default" w:ascii="Times New Roman" w:hAnsi="Times New Roman" w:eastAsia="宋体" w:cs="Times New Roman"/>
                <w:color w:val="auto"/>
                <w:spacing w:val="-1"/>
                <w:sz w:val="24"/>
                <w:szCs w:val="24"/>
                <w:highlight w:val="none"/>
              </w:rPr>
              <w:t>区）人民政府（行政公署）应当组织制定现有高污染工业</w:t>
            </w:r>
            <w:r>
              <w:rPr>
                <w:rFonts w:hint="default" w:ascii="Times New Roman" w:hAnsi="Times New Roman" w:cs="Times New Roman"/>
                <w:color w:val="auto"/>
                <w:spacing w:val="-1"/>
                <w:sz w:val="24"/>
                <w:szCs w:val="24"/>
                <w:highlight w:val="none"/>
                <w:lang w:eastAsia="zh-CN"/>
              </w:rPr>
              <w:t>项目核准</w:t>
            </w:r>
            <w:r>
              <w:rPr>
                <w:rFonts w:hint="default" w:ascii="Times New Roman" w:hAnsi="Times New Roman" w:eastAsia="宋体" w:cs="Times New Roman"/>
                <w:color w:val="auto"/>
                <w:spacing w:val="-2"/>
                <w:sz w:val="24"/>
                <w:szCs w:val="24"/>
                <w:highlight w:val="none"/>
              </w:rPr>
              <w:t>改造或者关停计划，并组织实施。禁止新建、改建、</w:t>
            </w:r>
            <w:r>
              <w:rPr>
                <w:rFonts w:hint="default" w:ascii="Times New Roman" w:hAnsi="Times New Roman" w:eastAsia="宋体" w:cs="Times New Roman"/>
                <w:color w:val="auto"/>
                <w:spacing w:val="-1"/>
                <w:sz w:val="24"/>
                <w:szCs w:val="24"/>
                <w:highlight w:val="none"/>
              </w:rPr>
              <w:t>扩建列入淘汰类目录的高污染工业项目。禁止使用列入淘汰类目录的工艺、设备、产品”。</w:t>
            </w:r>
          </w:p>
          <w:p w14:paraId="37FEF33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本项目不属于三高项目，项目生产过程中产生的废气、生活污水、噪声、固废等采取有效的治理措施，对周围环境影响较小。项目所用设备不属于淘汰目录内的淘汰设备，符</w:t>
            </w:r>
            <w:r>
              <w:rPr>
                <w:rFonts w:hint="default" w:ascii="Times New Roman" w:hAnsi="Times New Roman" w:eastAsia="宋体" w:cs="Times New Roman"/>
                <w:color w:val="auto"/>
                <w:spacing w:val="-1"/>
                <w:sz w:val="24"/>
                <w:szCs w:val="24"/>
                <w:highlight w:val="none"/>
              </w:rPr>
              <w:t>合《新疆维吾尔自治区大气污染防治条例》要求。</w:t>
            </w:r>
          </w:p>
          <w:p w14:paraId="6CDFD446">
            <w:pPr>
              <w:pageBreakBefore w:val="0"/>
              <w:kinsoku/>
              <w:wordWrap/>
              <w:topLinePunct w:val="0"/>
              <w:autoSpaceDE/>
              <w:autoSpaceDN/>
              <w:bidi w:val="0"/>
              <w:adjustRightInd/>
              <w:spacing w:line="360" w:lineRule="auto"/>
              <w:ind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9.项</w:t>
            </w:r>
            <w:r>
              <w:rPr>
                <w:rFonts w:hint="default" w:ascii="Times New Roman" w:hAnsi="Times New Roman" w:cs="Times New Roman"/>
                <w:b/>
                <w:bCs/>
                <w:color w:val="auto"/>
                <w:sz w:val="24"/>
                <w:szCs w:val="24"/>
                <w:highlight w:val="none"/>
                <w:lang w:val="en-US" w:eastAsia="zh-CN"/>
              </w:rPr>
              <w:t>目与《</w:t>
            </w:r>
            <w:r>
              <w:rPr>
                <w:rFonts w:hint="default" w:ascii="Times New Roman" w:hAnsi="Times New Roman" w:eastAsia="宋体" w:cs="Times New Roman"/>
                <w:b/>
                <w:bCs/>
                <w:color w:val="auto"/>
                <w:kern w:val="0"/>
                <w:sz w:val="24"/>
                <w:szCs w:val="24"/>
                <w:highlight w:val="none"/>
                <w:lang w:val="en-US" w:eastAsia="zh-CN" w:bidi="ar"/>
              </w:rPr>
              <w:t>关于促进全区废旧塑料再生利用行业有序发展的指导意见</w:t>
            </w:r>
            <w:r>
              <w:rPr>
                <w:rFonts w:hint="default" w:ascii="Times New Roman" w:hAnsi="Times New Roman" w:cs="Times New Roman"/>
                <w:b/>
                <w:bCs/>
                <w:color w:val="auto"/>
                <w:sz w:val="24"/>
                <w:szCs w:val="24"/>
                <w:highlight w:val="none"/>
                <w:lang w:val="en-US" w:eastAsia="zh-CN"/>
              </w:rPr>
              <w:t>》的符合性分析</w:t>
            </w:r>
          </w:p>
          <w:p w14:paraId="367E74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新疆维吾尔自治区生态环境厅关于促进全区废旧塑料再生利用行业有序发展的指导意见指出：</w:t>
            </w:r>
          </w:p>
          <w:p w14:paraId="340CF7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（一）新建和改扩建废塑料再生利用项目必须严格执行生态环境保护法律法规和环境影响评价制度，未经有审批权生态环境行政主管部门审批，不得建设和组织生产。</w:t>
            </w:r>
          </w:p>
          <w:p w14:paraId="3D17D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（二）新建和改扩建废塑料再生利用项目，厂址宜靠近废塑料集散地，应符合县级（含）以上人民政府制定的环境保护规划或废塑料行业发展规划。</w:t>
            </w:r>
          </w:p>
          <w:p w14:paraId="7BA7AB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三）在各级人民政府依法设立的工业区以外进行项目建设的，不得占用农用地，且不得在城乡规划区边界外5公里以内，区控重点河流两岸、高速公路、铁路干线及重要地下管网及其他需严防污染的食品、药品等企业周边1000米以内建设；禁止在生态保护红线内新建废塑料再生利用企业。已在上述区域内开工建设、投产运营的废塑料再生利用项目和企业，要通过搬迁、转产等方式逐步退出。</w:t>
            </w:r>
          </w:p>
          <w:p w14:paraId="1C6771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本项目位于新疆维吾尔自治区昌吉回族自治州昌吉市六工镇新疆凯狮威塑业有限责任公司院内，本项目为新建项目，新建地膜生产线20条，年产6000吨地膜。目前项目尚未建设，待昌吉州生态环境局审批后开工。目前，昌吉市暂未发布废塑料行业发展规划，本项目占地性质不属于农用地，不占用耕地及基本农田，项目区周边1000米以内建设无食品、药品等企业，且本项目不在生态保护红线范围内，综上，本项目的建设符合《关于促进全区废旧塑料再生利用行业有序发展的指导意见》的相关要求。</w:t>
            </w:r>
          </w:p>
          <w:p w14:paraId="6BEDF047">
            <w:pPr>
              <w:spacing w:line="360" w:lineRule="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val="en-US" w:eastAsia="zh-CN"/>
              </w:rPr>
              <w:t>10.</w:t>
            </w:r>
            <w:r>
              <w:rPr>
                <w:rFonts w:hint="default" w:ascii="Times New Roman" w:hAnsi="Times New Roman" w:cs="Times New Roman"/>
                <w:b/>
                <w:bCs/>
                <w:color w:val="auto"/>
                <w:sz w:val="24"/>
                <w:highlight w:val="none"/>
              </w:rPr>
              <w:t>选址合理合法性分析</w:t>
            </w:r>
          </w:p>
          <w:p w14:paraId="52CC8C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w:t>
            </w:r>
            <w:r>
              <w:rPr>
                <w:rFonts w:hint="default" w:ascii="Times New Roman" w:hAnsi="Times New Roman" w:cs="Times New Roman"/>
                <w:color w:val="auto"/>
                <w:sz w:val="24"/>
                <w:szCs w:val="24"/>
                <w:highlight w:val="none"/>
                <w:lang w:val="en-US" w:eastAsia="zh-CN"/>
              </w:rPr>
              <w:t>昌吉市六工镇</w:t>
            </w:r>
            <w:r>
              <w:rPr>
                <w:rFonts w:hint="default" w:ascii="Times New Roman" w:hAnsi="Times New Roman" w:cs="Times New Roman"/>
                <w:color w:val="auto"/>
                <w:sz w:val="24"/>
                <w:highlight w:val="none"/>
              </w:rPr>
              <w:t>。本项目企业用地为工业用地，符合</w:t>
            </w:r>
            <w:r>
              <w:rPr>
                <w:rFonts w:hint="default" w:ascii="Times New Roman" w:hAnsi="Times New Roman" w:cs="Times New Roman"/>
                <w:color w:val="auto"/>
                <w:sz w:val="24"/>
                <w:highlight w:val="none"/>
                <w:lang w:eastAsia="zh-CN"/>
              </w:rPr>
              <w:t>城镇规划</w:t>
            </w:r>
            <w:r>
              <w:rPr>
                <w:rFonts w:hint="default" w:ascii="Times New Roman" w:hAnsi="Times New Roman" w:cs="Times New Roman"/>
                <w:color w:val="auto"/>
                <w:sz w:val="24"/>
                <w:highlight w:val="none"/>
              </w:rPr>
              <w:t>。项目运营期地膜生产加热熔融产生的</w:t>
            </w:r>
            <w:r>
              <w:rPr>
                <w:rFonts w:hint="default" w:ascii="Times New Roman" w:hAnsi="Times New Roman" w:cs="Times New Roman"/>
                <w:color w:val="auto"/>
                <w:sz w:val="24"/>
                <w:highlight w:val="none"/>
                <w:lang w:eastAsia="zh-CN"/>
              </w:rPr>
              <w:t>VOCs（以非甲烷总烃计）</w:t>
            </w:r>
            <w:r>
              <w:rPr>
                <w:rFonts w:hint="default" w:ascii="Times New Roman" w:hAnsi="Times New Roman" w:cs="Times New Roman"/>
                <w:color w:val="auto"/>
                <w:sz w:val="24"/>
                <w:highlight w:val="none"/>
              </w:rPr>
              <w:t>经集气罩收集后通过</w:t>
            </w:r>
            <w:r>
              <w:rPr>
                <w:rFonts w:hint="default" w:ascii="Times New Roman" w:hAnsi="Times New Roman" w:cs="Times New Roman"/>
                <w:color w:val="auto"/>
                <w:sz w:val="24"/>
                <w:highlight w:val="none"/>
                <w:lang w:val="en-US" w:eastAsia="zh-CN"/>
              </w:rPr>
              <w:t>活性炭吸附脱附+催化燃烧装置</w:t>
            </w:r>
            <w:r>
              <w:rPr>
                <w:rFonts w:hint="default" w:ascii="Times New Roman" w:hAnsi="Times New Roman" w:cs="Times New Roman"/>
                <w:color w:val="auto"/>
                <w:sz w:val="24"/>
                <w:highlight w:val="none"/>
              </w:rPr>
              <w:t>处理后由15m高排气筒达标排放，对周边大气环境的影响较小；项目生活污水依托现有</w:t>
            </w:r>
            <w:r>
              <w:rPr>
                <w:rFonts w:hint="default" w:ascii="Times New Roman" w:hAnsi="Times New Roman" w:cs="Times New Roman"/>
                <w:color w:val="auto"/>
                <w:sz w:val="24"/>
                <w:highlight w:val="none"/>
                <w:lang w:val="en-US" w:eastAsia="zh-CN"/>
              </w:rPr>
              <w:t>下水管网排入</w:t>
            </w:r>
            <w:r>
              <w:rPr>
                <w:rFonts w:hint="default" w:ascii="Times New Roman" w:hAnsi="Times New Roman" w:cs="Times New Roman"/>
                <w:color w:val="auto"/>
                <w:sz w:val="24"/>
                <w:highlight w:val="none"/>
              </w:rPr>
              <w:t>污水处理厂处置；运营期间机械设备产生的噪声经过加强设备维护，厂房隔声等措施治理后对项目区外环境影响较小；项目运营</w:t>
            </w:r>
            <w:r>
              <w:rPr>
                <w:rFonts w:hint="default" w:ascii="Times New Roman" w:hAnsi="Times New Roman" w:cs="Times New Roman"/>
                <w:color w:val="auto"/>
                <w:sz w:val="24"/>
                <w:highlight w:val="none"/>
                <w:lang w:eastAsia="zh-CN"/>
              </w:rPr>
              <w:t>期间</w:t>
            </w:r>
            <w:r>
              <w:rPr>
                <w:rFonts w:hint="default" w:ascii="Times New Roman" w:hAnsi="Times New Roman" w:cs="Times New Roman"/>
                <w:color w:val="auto"/>
                <w:sz w:val="24"/>
                <w:highlight w:val="none"/>
              </w:rPr>
              <w:t>产生的各类固体废物及生活垃圾均能得到有效的处理处置，不会产生二次污染。</w:t>
            </w:r>
          </w:p>
          <w:p w14:paraId="261E1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综上分析，本项目选址基本合理可行。</w:t>
            </w:r>
          </w:p>
          <w:p w14:paraId="0EAF6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lang w:val="en-US" w:eastAsia="zh-CN"/>
              </w:rPr>
            </w:pPr>
          </w:p>
          <w:p w14:paraId="0372AA96">
            <w:pPr>
              <w:pStyle w:val="31"/>
              <w:rPr>
                <w:rFonts w:hint="default" w:ascii="Times New Roman" w:hAnsi="Times New Roman" w:cs="Times New Roman"/>
                <w:color w:val="auto"/>
                <w:sz w:val="24"/>
                <w:highlight w:val="none"/>
                <w:lang w:val="en-US" w:eastAsia="zh-CN"/>
              </w:rPr>
            </w:pPr>
          </w:p>
          <w:p w14:paraId="58C9C008">
            <w:pPr>
              <w:rPr>
                <w:rFonts w:hint="default" w:ascii="Times New Roman" w:hAnsi="Times New Roman" w:cs="Times New Roman"/>
                <w:color w:val="auto"/>
                <w:sz w:val="24"/>
                <w:highlight w:val="none"/>
                <w:lang w:val="en-US" w:eastAsia="zh-CN"/>
              </w:rPr>
            </w:pPr>
          </w:p>
          <w:p w14:paraId="575F3D28">
            <w:pPr>
              <w:pStyle w:val="31"/>
              <w:rPr>
                <w:rFonts w:hint="default" w:ascii="Times New Roman" w:hAnsi="Times New Roman" w:cs="Times New Roman"/>
                <w:color w:val="auto"/>
                <w:sz w:val="24"/>
                <w:highlight w:val="none"/>
                <w:lang w:val="en-US" w:eastAsia="zh-CN"/>
              </w:rPr>
            </w:pPr>
          </w:p>
          <w:p w14:paraId="775C95A8">
            <w:pPr>
              <w:rPr>
                <w:rFonts w:hint="default" w:ascii="Times New Roman" w:hAnsi="Times New Roman" w:cs="Times New Roman"/>
                <w:color w:val="auto"/>
                <w:sz w:val="24"/>
                <w:highlight w:val="none"/>
                <w:lang w:val="en-US" w:eastAsia="zh-CN"/>
              </w:rPr>
            </w:pPr>
          </w:p>
          <w:p w14:paraId="75CE4D14">
            <w:pPr>
              <w:pStyle w:val="2"/>
              <w:rPr>
                <w:rFonts w:hint="default" w:ascii="Times New Roman" w:hAnsi="Times New Roman" w:cs="Times New Roman"/>
                <w:color w:val="auto"/>
                <w:sz w:val="24"/>
                <w:highlight w:val="none"/>
                <w:lang w:val="en-US" w:eastAsia="zh-CN"/>
              </w:rPr>
            </w:pPr>
          </w:p>
          <w:p w14:paraId="3A8DB5B4">
            <w:pPr>
              <w:pStyle w:val="5"/>
              <w:rPr>
                <w:rFonts w:hint="default" w:ascii="Times New Roman" w:hAnsi="Times New Roman" w:cs="Times New Roman"/>
                <w:color w:val="auto"/>
                <w:sz w:val="24"/>
                <w:highlight w:val="none"/>
                <w:lang w:val="en-US" w:eastAsia="zh-CN"/>
              </w:rPr>
            </w:pPr>
          </w:p>
          <w:p w14:paraId="17CB5939">
            <w:pPr>
              <w:pStyle w:val="31"/>
              <w:rPr>
                <w:rFonts w:hint="default" w:ascii="Times New Roman" w:hAnsi="Times New Roman" w:cs="Times New Roman"/>
                <w:color w:val="auto"/>
                <w:sz w:val="24"/>
                <w:highlight w:val="none"/>
                <w:lang w:val="en-US" w:eastAsia="zh-CN"/>
              </w:rPr>
            </w:pPr>
          </w:p>
          <w:p w14:paraId="124CC1C8">
            <w:pPr>
              <w:rPr>
                <w:rFonts w:hint="default" w:ascii="Times New Roman" w:hAnsi="Times New Roman" w:cs="Times New Roman"/>
                <w:color w:val="auto"/>
                <w:highlight w:val="none"/>
                <w:lang w:val="en-US" w:eastAsia="zh-CN"/>
              </w:rPr>
            </w:pPr>
          </w:p>
          <w:p w14:paraId="096F7AF4">
            <w:pPr>
              <w:rPr>
                <w:rFonts w:hint="default" w:ascii="Times New Roman" w:hAnsi="Times New Roman" w:cs="Times New Roman"/>
                <w:color w:val="auto"/>
                <w:sz w:val="24"/>
                <w:highlight w:val="none"/>
                <w:lang w:val="en-US" w:eastAsia="zh-CN"/>
              </w:rPr>
            </w:pPr>
          </w:p>
          <w:p w14:paraId="615FB8E4">
            <w:pPr>
              <w:pStyle w:val="31"/>
              <w:rPr>
                <w:rFonts w:hint="default" w:ascii="Times New Roman" w:hAnsi="Times New Roman" w:cs="Times New Roman"/>
                <w:color w:val="auto"/>
                <w:sz w:val="24"/>
                <w:highlight w:val="none"/>
                <w:lang w:val="en-US" w:eastAsia="zh-CN"/>
              </w:rPr>
            </w:pPr>
          </w:p>
          <w:p w14:paraId="767BE078">
            <w:pPr>
              <w:rPr>
                <w:rFonts w:hint="default" w:ascii="Times New Roman" w:hAnsi="Times New Roman" w:cs="Times New Roman"/>
                <w:color w:val="auto"/>
                <w:sz w:val="24"/>
                <w:highlight w:val="none"/>
                <w:lang w:val="en-US" w:eastAsia="zh-CN"/>
              </w:rPr>
            </w:pPr>
          </w:p>
          <w:p w14:paraId="400807BA">
            <w:pPr>
              <w:pStyle w:val="31"/>
              <w:rPr>
                <w:rFonts w:hint="default" w:ascii="Times New Roman" w:hAnsi="Times New Roman" w:cs="Times New Roman"/>
                <w:color w:val="auto"/>
                <w:sz w:val="24"/>
                <w:highlight w:val="none"/>
                <w:lang w:val="en-US" w:eastAsia="zh-CN"/>
              </w:rPr>
            </w:pPr>
          </w:p>
          <w:p w14:paraId="7B281607">
            <w:pPr>
              <w:rPr>
                <w:rFonts w:hint="default" w:ascii="Times New Roman" w:hAnsi="Times New Roman" w:cs="Times New Roman"/>
                <w:color w:val="auto"/>
                <w:sz w:val="24"/>
                <w:highlight w:val="none"/>
                <w:lang w:val="en-US" w:eastAsia="zh-CN"/>
              </w:rPr>
            </w:pPr>
          </w:p>
          <w:p w14:paraId="3EE58CD8">
            <w:pPr>
              <w:rPr>
                <w:rFonts w:hint="default" w:ascii="Times New Roman" w:hAnsi="Times New Roman" w:cs="Times New Roman"/>
                <w:color w:val="auto"/>
                <w:sz w:val="24"/>
                <w:highlight w:val="none"/>
                <w:lang w:val="en-US" w:eastAsia="zh-CN"/>
              </w:rPr>
            </w:pPr>
          </w:p>
          <w:p w14:paraId="5CBE74C0">
            <w:pPr>
              <w:pStyle w:val="31"/>
              <w:rPr>
                <w:rFonts w:hint="default" w:ascii="Times New Roman" w:hAnsi="Times New Roman" w:cs="Times New Roman"/>
                <w:color w:val="auto"/>
                <w:sz w:val="24"/>
                <w:highlight w:val="none"/>
                <w:lang w:val="en-US" w:eastAsia="zh-CN"/>
              </w:rPr>
            </w:pPr>
          </w:p>
          <w:p w14:paraId="62AC24FE">
            <w:pPr>
              <w:pStyle w:val="31"/>
              <w:rPr>
                <w:rFonts w:hint="default" w:ascii="Times New Roman" w:hAnsi="Times New Roman" w:cs="Times New Roman"/>
                <w:color w:val="auto"/>
                <w:sz w:val="24"/>
                <w:highlight w:val="none"/>
                <w:lang w:val="en-US" w:eastAsia="zh-CN"/>
              </w:rPr>
            </w:pPr>
          </w:p>
          <w:p w14:paraId="69264A42">
            <w:pPr>
              <w:rPr>
                <w:rFonts w:hint="default" w:ascii="Times New Roman" w:hAnsi="Times New Roman" w:cs="Times New Roman"/>
                <w:color w:val="auto"/>
                <w:highlight w:val="none"/>
                <w:lang w:val="en-US" w:eastAsia="zh-CN"/>
              </w:rPr>
            </w:pPr>
          </w:p>
          <w:p w14:paraId="01B661A9">
            <w:pPr>
              <w:pStyle w:val="31"/>
              <w:rPr>
                <w:rFonts w:hint="default" w:ascii="Times New Roman" w:hAnsi="Times New Roman" w:cs="Times New Roman"/>
                <w:color w:val="auto"/>
                <w:highlight w:val="none"/>
                <w:lang w:val="en-US" w:eastAsia="zh-CN"/>
              </w:rPr>
            </w:pPr>
          </w:p>
        </w:tc>
      </w:tr>
    </w:tbl>
    <w:p w14:paraId="752E6741">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23BFE4A0">
      <w:pPr>
        <w:pStyle w:val="22"/>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068"/>
      </w:tblGrid>
      <w:tr w14:paraId="14566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4" w:type="dxa"/>
            <w:tcBorders>
              <w:tl2br w:val="nil"/>
              <w:tr2bl w:val="nil"/>
            </w:tcBorders>
            <w:noWrap w:val="0"/>
            <w:vAlign w:val="center"/>
          </w:tcPr>
          <w:p w14:paraId="6691DD3F">
            <w:pPr>
              <w:pStyle w:val="22"/>
              <w:keepLines w:val="0"/>
              <w:pageBreakBefore w:val="0"/>
              <w:kinsoku/>
              <w:wordWrap/>
              <w:overflowPunct/>
              <w:topLinePunct w:val="0"/>
              <w:bidi w:val="0"/>
              <w:adjustRightInd w:val="0"/>
              <w:snapToGrid w:val="0"/>
              <w:spacing w:before="0" w:beforeAutospacing="0" w:after="0" w:afterAutospacing="0"/>
              <w:ind w:left="0" w:leftChars="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建设内容</w:t>
            </w:r>
          </w:p>
        </w:tc>
        <w:tc>
          <w:tcPr>
            <w:tcW w:w="8068" w:type="dxa"/>
            <w:tcBorders>
              <w:tl2br w:val="nil"/>
              <w:tr2bl w:val="nil"/>
            </w:tcBorders>
            <w:noWrap w:val="0"/>
            <w:vAlign w:val="top"/>
          </w:tcPr>
          <w:p w14:paraId="54CC270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jc w:val="both"/>
              <w:textAlignment w:val="auto"/>
              <w:rPr>
                <w:rFonts w:hint="default" w:ascii="Times New Roman" w:hAnsi="Times New Roman" w:cs="Times New Roman"/>
                <w:b/>
                <w:color w:val="auto"/>
                <w:kern w:val="0"/>
                <w:sz w:val="24"/>
                <w:szCs w:val="24"/>
                <w:highlight w:val="none"/>
                <w:lang w:val="en-US" w:eastAsia="zh-CN" w:bidi="ar"/>
              </w:rPr>
            </w:pPr>
            <w:r>
              <w:rPr>
                <w:rFonts w:hint="default" w:ascii="Times New Roman" w:hAnsi="Times New Roman" w:cs="Times New Roman"/>
                <w:b/>
                <w:color w:val="auto"/>
                <w:kern w:val="0"/>
                <w:sz w:val="24"/>
                <w:szCs w:val="24"/>
                <w:highlight w:val="none"/>
                <w:lang w:val="en-US" w:eastAsia="zh-CN" w:bidi="ar"/>
              </w:rPr>
              <w:t>1.项目背景</w:t>
            </w:r>
          </w:p>
          <w:p w14:paraId="323C114F">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新疆凯狮威塑业有限责任公司成立于</w:t>
            </w:r>
            <w:r>
              <w:rPr>
                <w:rFonts w:hint="default" w:ascii="Times New Roman" w:hAnsi="Times New Roman" w:cs="Times New Roman"/>
                <w:color w:val="auto"/>
                <w:sz w:val="24"/>
                <w:szCs w:val="24"/>
                <w:highlight w:val="none"/>
                <w:lang w:val="en-US" w:eastAsia="zh-CN"/>
              </w:rPr>
              <w:t>2010年5月17日</w:t>
            </w:r>
            <w:r>
              <w:rPr>
                <w:rFonts w:hint="default" w:ascii="Times New Roman" w:hAnsi="Times New Roman" w:eastAsia="宋体" w:cs="Times New Roman"/>
                <w:color w:val="auto"/>
                <w:sz w:val="24"/>
                <w:szCs w:val="24"/>
                <w:highlight w:val="none"/>
                <w:lang w:val="en-US" w:eastAsia="zh-CN"/>
              </w:rPr>
              <w:t>，注册地位于新疆昌吉州昌吉市六工镇镇区，经营范围包括塑料制品制造；日用百货、针纺织品、塑料制品、建材销售</w:t>
            </w:r>
            <w:r>
              <w:rPr>
                <w:rFonts w:hint="default" w:ascii="Times New Roman" w:hAnsi="Times New Roman" w:cs="Times New Roman"/>
                <w:color w:val="auto"/>
                <w:sz w:val="24"/>
                <w:szCs w:val="24"/>
                <w:highlight w:val="none"/>
                <w:lang w:val="en-US" w:eastAsia="zh-CN"/>
              </w:rPr>
              <w:t>等。</w:t>
            </w:r>
          </w:p>
          <w:p w14:paraId="38487831">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2010年，新疆凯狮威塑业有限责任公司以《新疆凯狮威塑业有限责任公司节水管材建设项目环境影响报告表的批复》（昌市环管字﹝2010﹞178号）通过原昌吉市环境保护局审批。2014年，新疆凯狮威塑业有限责任公司以《关于新疆凯狮威塑业有限责任公司节水管材建设项目环境保护验收的意见》（昌市环验函字﹝2014﹞083号）通过竣工环保验收。</w:t>
            </w:r>
          </w:p>
          <w:p w14:paraId="57E19DC7">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2018年12月19日，</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以《关于</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增加建设PE生产线项目环境影响报告表的批复》（昌市环管字﹝2018﹞14号）通过原昌吉市环境保护局审批</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2019年8月，</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对该项目开展自主验收，并通过验收合格。</w:t>
            </w:r>
          </w:p>
          <w:p w14:paraId="2222EAAB">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2023年5月25日</w:t>
            </w:r>
            <w:r>
              <w:rPr>
                <w:rFonts w:hint="default" w:ascii="Times New Roman" w:hAnsi="Times New Roman" w:cs="Times New Roman"/>
                <w:color w:val="auto"/>
                <w:sz w:val="24"/>
                <w:szCs w:val="24"/>
                <w:highlight w:val="none"/>
                <w:lang w:val="en-US" w:eastAsia="zh-CN"/>
              </w:rPr>
              <w:t>取得</w:t>
            </w:r>
            <w:r>
              <w:rPr>
                <w:rFonts w:hint="default" w:ascii="Times New Roman" w:hAnsi="Times New Roman" w:cs="Times New Roman"/>
                <w:color w:val="auto"/>
                <w:sz w:val="24"/>
                <w:szCs w:val="24"/>
                <w:highlight w:val="none"/>
              </w:rPr>
              <w:t>关于对《</w:t>
            </w:r>
            <w:r>
              <w:rPr>
                <w:rFonts w:hint="default" w:ascii="Times New Roman" w:hAnsi="Times New Roman" w:cs="Times New Roman"/>
                <w:color w:val="auto"/>
                <w:sz w:val="24"/>
                <w:szCs w:val="24"/>
                <w:highlight w:val="none"/>
                <w:lang w:eastAsia="zh-CN"/>
              </w:rPr>
              <w:t>新疆凯狮威塑业有限责任公司残膜回收造粒项目</w:t>
            </w:r>
            <w:r>
              <w:rPr>
                <w:rFonts w:hint="default" w:ascii="Times New Roman" w:hAnsi="Times New Roman" w:eastAsia="宋体" w:cs="Times New Roman"/>
                <w:color w:val="auto"/>
                <w:sz w:val="24"/>
                <w:szCs w:val="24"/>
                <w:highlight w:val="none"/>
                <w:lang w:val="en-US" w:eastAsia="zh-CN"/>
              </w:rPr>
              <w:t>环境影响报告书》的批复，昌州环评〔2023〕73号；2023年12月31日取得对《新疆凯狮威塑业有限责任公司残膜回收造粒项目环境影响报告书》开展自主验收，并通过验收合格。</w:t>
            </w:r>
          </w:p>
          <w:p w14:paraId="67F0CBC2">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企业根据市场需要，</w:t>
            </w:r>
            <w:r>
              <w:rPr>
                <w:rFonts w:hint="default" w:ascii="Times New Roman" w:hAnsi="Times New Roman" w:cs="Times New Roman"/>
                <w:b w:val="0"/>
                <w:bCs w:val="0"/>
                <w:color w:val="auto"/>
                <w:sz w:val="24"/>
                <w:szCs w:val="24"/>
                <w:highlight w:val="none"/>
                <w:lang w:val="en-US" w:eastAsia="zh-CN"/>
              </w:rPr>
              <w:t>扩建</w:t>
            </w:r>
            <w:r>
              <w:rPr>
                <w:rFonts w:hint="default" w:ascii="Times New Roman" w:hAnsi="Times New Roman" w:eastAsia="宋体" w:cs="Times New Roman"/>
                <w:b w:val="0"/>
                <w:bCs w:val="0"/>
                <w:color w:val="auto"/>
                <w:sz w:val="24"/>
                <w:szCs w:val="24"/>
                <w:highlight w:val="none"/>
                <w:lang w:val="en-US" w:eastAsia="zh-CN"/>
              </w:rPr>
              <w:t>地膜生产线20条，年产6000吨地膜</w:t>
            </w:r>
            <w:r>
              <w:rPr>
                <w:rFonts w:hint="default"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lang w:val="en-US" w:eastAsia="zh-CN" w:bidi="ar"/>
              </w:rPr>
              <w:t>由于再生塑料生产地膜后透光度较差，</w:t>
            </w:r>
            <w:r>
              <w:rPr>
                <w:rFonts w:hint="default" w:ascii="Times New Roman" w:hAnsi="Times New Roman" w:eastAsia="Segoe UI" w:cs="Times New Roman"/>
                <w:b w:val="0"/>
                <w:bCs w:val="0"/>
                <w:i w:val="0"/>
                <w:iCs w:val="0"/>
                <w:caps w:val="0"/>
                <w:color w:val="auto"/>
                <w:spacing w:val="0"/>
                <w:sz w:val="24"/>
                <w:szCs w:val="24"/>
                <w:highlight w:val="none"/>
                <w:shd w:val="clear" w:fill="FFFFFF"/>
              </w:rPr>
              <w:t>透光度差意味着进入土壤的太阳辐射减少，导致</w:t>
            </w:r>
            <w:r>
              <w:rPr>
                <w:rStyle w:val="27"/>
                <w:rFonts w:hint="default" w:ascii="Times New Roman" w:hAnsi="Times New Roman" w:eastAsia="Segoe UI" w:cs="Times New Roman"/>
                <w:b w:val="0"/>
                <w:bCs w:val="0"/>
                <w:i w:val="0"/>
                <w:iCs w:val="0"/>
                <w:caps w:val="0"/>
                <w:color w:val="auto"/>
                <w:spacing w:val="0"/>
                <w:sz w:val="24"/>
                <w:szCs w:val="24"/>
                <w:highlight w:val="none"/>
                <w:shd w:val="clear" w:fill="FFFFFF"/>
              </w:rPr>
              <w:t>土壤升温慢、温度低</w:t>
            </w:r>
            <w:r>
              <w:rPr>
                <w:rStyle w:val="27"/>
                <w:rFonts w:hint="default" w:ascii="Times New Roman" w:hAnsi="Times New Roman" w:eastAsia="宋体" w:cs="Times New Roman"/>
                <w:b w:val="0"/>
                <w:bCs w:val="0"/>
                <w:i w:val="0"/>
                <w:iCs w:val="0"/>
                <w:caps w:val="0"/>
                <w:color w:val="auto"/>
                <w:spacing w:val="0"/>
                <w:sz w:val="24"/>
                <w:szCs w:val="24"/>
                <w:highlight w:val="none"/>
                <w:shd w:val="clear" w:fill="FFFFFF"/>
                <w:lang w:eastAsia="zh-CN"/>
              </w:rPr>
              <w:t>，</w:t>
            </w:r>
            <w:r>
              <w:rPr>
                <w:rFonts w:hint="default" w:ascii="Times New Roman" w:hAnsi="Times New Roman" w:eastAsia="Segoe UI" w:cs="Times New Roman"/>
                <w:b w:val="0"/>
                <w:bCs w:val="0"/>
                <w:i w:val="0"/>
                <w:iCs w:val="0"/>
                <w:caps w:val="0"/>
                <w:color w:val="auto"/>
                <w:spacing w:val="0"/>
                <w:sz w:val="24"/>
                <w:szCs w:val="24"/>
                <w:highlight w:val="none"/>
                <w:shd w:val="clear" w:fill="FFFFFF"/>
              </w:rPr>
              <w:t>对于许多喜温作物（如玉米、棉花、瓜类）的早期生长极为不利，延缓了发芽和幼苗生长速度。</w:t>
            </w:r>
            <w:r>
              <w:rPr>
                <w:rFonts w:hint="default" w:ascii="Times New Roman" w:hAnsi="Times New Roman" w:eastAsia="宋体" w:cs="Times New Roman"/>
                <w:b w:val="0"/>
                <w:bCs w:val="0"/>
                <w:color w:val="auto"/>
                <w:kern w:val="0"/>
                <w:sz w:val="24"/>
                <w:szCs w:val="24"/>
                <w:highlight w:val="none"/>
                <w:lang w:val="en-US" w:eastAsia="zh-CN" w:bidi="ar"/>
              </w:rPr>
              <w:t>不利于农作物生长，为保障地膜生产线的产品质量，不使用废塑料颗粒作为原料，均采用新料作为本次地膜生产线的原料进行生产</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sz w:val="24"/>
                <w:szCs w:val="24"/>
                <w:highlight w:val="none"/>
                <w:lang w:val="en-US" w:eastAsia="zh-CN"/>
              </w:rPr>
              <w:t>不使用废旧塑料作为本项目的原料。</w:t>
            </w:r>
          </w:p>
          <w:p w14:paraId="719A8556">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color w:val="auto"/>
                <w:kern w:val="0"/>
                <w:sz w:val="24"/>
                <w:szCs w:val="24"/>
                <w:highlight w:val="none"/>
                <w:lang w:val="en-US" w:eastAsia="zh-CN" w:bidi="ar"/>
              </w:rPr>
              <w:t>2.</w:t>
            </w:r>
            <w:r>
              <w:rPr>
                <w:rFonts w:hint="default" w:ascii="Times New Roman" w:hAnsi="Times New Roman" w:eastAsia="宋体" w:cs="Times New Roman"/>
                <w:b/>
                <w:color w:val="auto"/>
                <w:kern w:val="0"/>
                <w:sz w:val="24"/>
                <w:szCs w:val="24"/>
                <w:highlight w:val="none"/>
                <w:lang w:val="en-US" w:eastAsia="zh-CN" w:bidi="ar"/>
              </w:rPr>
              <w:t>项目概况</w:t>
            </w:r>
          </w:p>
          <w:p w14:paraId="5914CEB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本项目位于</w:t>
            </w:r>
            <w:r>
              <w:rPr>
                <w:rFonts w:hint="default" w:ascii="Times New Roman" w:hAnsi="Times New Roman" w:eastAsia="宋体" w:cs="Times New Roman"/>
                <w:color w:val="auto"/>
                <w:sz w:val="24"/>
                <w:szCs w:val="24"/>
                <w:highlight w:val="none"/>
                <w:lang w:val="en-US" w:eastAsia="zh-CN"/>
              </w:rPr>
              <w:t>昌吉市六工镇</w:t>
            </w:r>
            <w:r>
              <w:rPr>
                <w:rFonts w:hint="default" w:ascii="Times New Roman" w:hAnsi="Times New Roman" w:eastAsia="宋体" w:cs="Times New Roman"/>
                <w:color w:val="auto"/>
                <w:sz w:val="24"/>
                <w:szCs w:val="24"/>
                <w:highlight w:val="none"/>
              </w:rPr>
              <w:t>，项目区中心地理坐标</w:t>
            </w:r>
            <w:r>
              <w:rPr>
                <w:rFonts w:hint="eastAsia" w:ascii="Times New Roman" w:hAnsi="Times New Roman"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CN"/>
              </w:rPr>
              <w:t>东经</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87°24′15.046"；北纬：44°04′17.862"。</w:t>
            </w:r>
            <w:r>
              <w:rPr>
                <w:rFonts w:hint="default" w:ascii="Times New Roman" w:hAnsi="Times New Roman" w:eastAsia="宋体" w:cs="Times New Roman"/>
                <w:color w:val="auto"/>
                <w:sz w:val="24"/>
                <w:szCs w:val="24"/>
                <w:highlight w:val="none"/>
              </w:rPr>
              <w:t>本项目是在新疆凯狮威塑业有限责任公司现有厂区</w:t>
            </w:r>
            <w:r>
              <w:rPr>
                <w:rFonts w:hint="default" w:ascii="Times New Roman" w:hAnsi="Times New Roman" w:cs="Times New Roman"/>
                <w:color w:val="auto"/>
                <w:sz w:val="24"/>
                <w:szCs w:val="24"/>
                <w:highlight w:val="none"/>
                <w:lang w:val="en-US" w:eastAsia="zh-CN"/>
              </w:rPr>
              <w:t>新建</w:t>
            </w:r>
            <w:r>
              <w:rPr>
                <w:rFonts w:hint="default" w:ascii="Times New Roman" w:hAnsi="Times New Roman" w:eastAsia="宋体" w:cs="Times New Roman"/>
                <w:color w:val="auto"/>
                <w:sz w:val="24"/>
                <w:szCs w:val="24"/>
                <w:highlight w:val="none"/>
              </w:rPr>
              <w:t>地膜生产线</w:t>
            </w:r>
            <w:r>
              <w:rPr>
                <w:rFonts w:hint="default" w:ascii="Times New Roman" w:hAnsi="Times New Roman" w:cs="Times New Roman"/>
                <w:color w:val="auto"/>
                <w:sz w:val="24"/>
                <w:szCs w:val="24"/>
                <w:highlight w:val="none"/>
                <w:lang w:val="en-US" w:eastAsia="zh-CN"/>
              </w:rPr>
              <w:t>进行</w:t>
            </w:r>
            <w:r>
              <w:rPr>
                <w:rFonts w:hint="default" w:ascii="Times New Roman" w:hAnsi="Times New Roman" w:eastAsia="宋体" w:cs="Times New Roman"/>
                <w:color w:val="auto"/>
                <w:sz w:val="24"/>
                <w:szCs w:val="24"/>
                <w:highlight w:val="none"/>
              </w:rPr>
              <w:t>扩建，扩大生产规模。新增吹塑机、收卷机、包装机、拌料等20台设备及配套的辅助设施开发及拟扩建厂房4000m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增加农用地膜环保生产设备，扩大农用环保地膜生产量，旨在提升设备能量指标，提高设备使用效率，持续提升公司高质量和节能管理水平，预计年产能可增加6000吨。</w:t>
            </w:r>
            <w:r>
              <w:rPr>
                <w:rFonts w:hint="default" w:ascii="Times New Roman" w:hAnsi="Times New Roman" w:eastAsia="宋体" w:cs="Times New Roman"/>
                <w:color w:val="auto"/>
                <w:sz w:val="24"/>
                <w:szCs w:val="24"/>
                <w:highlight w:val="none"/>
                <w:lang w:val="en-US" w:eastAsia="zh-CN"/>
              </w:rPr>
              <w:t>本项目地理位置具体见附图1，周边环境概况见附图2。</w:t>
            </w:r>
          </w:p>
          <w:p w14:paraId="2520E07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2"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eastAsiaTheme="minorEastAsia"/>
                <w:b/>
                <w:bCs/>
                <w:color w:val="auto"/>
                <w:sz w:val="24"/>
                <w:szCs w:val="24"/>
                <w:highlight w:val="none"/>
              </w:rPr>
              <w:t>项目内容</w:t>
            </w:r>
            <w:r>
              <w:rPr>
                <w:rFonts w:hint="default" w:ascii="Times New Roman" w:hAnsi="Times New Roman" w:cs="Times New Roman" w:eastAsiaTheme="minorEastAsia"/>
                <w:color w:val="auto"/>
                <w:sz w:val="24"/>
                <w:szCs w:val="24"/>
                <w:highlight w:val="none"/>
              </w:rPr>
              <w:t>：新增吹塑机、收卷机、包装机、拌料等20台设备及配套的辅助设施开发及拟扩建厂房4000m</w:t>
            </w:r>
            <w:r>
              <w:rPr>
                <w:rFonts w:hint="default" w:ascii="Times New Roman" w:hAnsi="Times New Roman" w:cs="Times New Roman" w:eastAsiaTheme="minorEastAsia"/>
                <w:color w:val="auto"/>
                <w:sz w:val="24"/>
                <w:szCs w:val="24"/>
                <w:highlight w:val="none"/>
                <w:vertAlign w:val="superscript"/>
                <w:lang w:val="en-US" w:eastAsia="zh-CN"/>
              </w:rPr>
              <w:t>2</w:t>
            </w:r>
            <w:r>
              <w:rPr>
                <w:rFonts w:hint="default" w:ascii="Times New Roman" w:hAnsi="Times New Roman" w:cs="Times New Roman" w:eastAsiaTheme="minorEastAsia"/>
                <w:color w:val="auto"/>
                <w:sz w:val="24"/>
                <w:szCs w:val="24"/>
                <w:highlight w:val="none"/>
              </w:rPr>
              <w:t>，增加农用地膜环保生产设备，扩大农用环保地膜生产量，旨在提升设备能量指标，提高设备使用效率，持续提升公司高质量和节能管理水平，预计年产能可增加6000吨。</w:t>
            </w:r>
            <w:r>
              <w:rPr>
                <w:rFonts w:hint="default" w:ascii="Times New Roman" w:hAnsi="Times New Roman" w:cs="Times New Roman"/>
                <w:color w:val="auto"/>
                <w:sz w:val="24"/>
                <w:szCs w:val="24"/>
                <w:highlight w:val="none"/>
                <w:lang w:val="en-US" w:eastAsia="zh-CN"/>
              </w:rPr>
              <w:t>项目组成见表2-1。</w:t>
            </w:r>
          </w:p>
          <w:p w14:paraId="01660F15">
            <w:pPr>
              <w:keepNext w:val="0"/>
              <w:keepLines w:val="0"/>
              <w:pageBreakBefore w:val="0"/>
              <w:widowControl w:val="0"/>
              <w:kinsoku/>
              <w:wordWrap/>
              <w:overflowPunct/>
              <w:topLinePunct w:val="0"/>
              <w:autoSpaceDE/>
              <w:autoSpaceDN/>
              <w:bidi w:val="0"/>
              <w:adjustRightInd w:val="0"/>
              <w:snapToGrid w:val="0"/>
              <w:ind w:left="0" w:leftChars="0" w:right="0" w:firstLine="420" w:firstLineChars="200"/>
              <w:jc w:val="center"/>
              <w:textAlignment w:val="auto"/>
              <w:rPr>
                <w:rFonts w:hint="default" w:ascii="Times New Roman" w:hAnsi="Times New Roman" w:eastAsia="黑体" w:cs="Times New Roman"/>
                <w:b w:val="0"/>
                <w:bCs w:val="0"/>
                <w:color w:val="auto"/>
                <w:sz w:val="21"/>
                <w:szCs w:val="24"/>
                <w:highlight w:val="none"/>
                <w:lang w:val="en-US" w:eastAsia="zh-CN"/>
              </w:rPr>
            </w:pPr>
            <w:r>
              <w:rPr>
                <w:rFonts w:hint="default" w:ascii="Times New Roman" w:hAnsi="Times New Roman" w:eastAsia="黑体" w:cs="Times New Roman"/>
                <w:b w:val="0"/>
                <w:bCs w:val="0"/>
                <w:color w:val="auto"/>
                <w:sz w:val="21"/>
                <w:szCs w:val="24"/>
                <w:highlight w:val="none"/>
                <w:lang w:val="en-US" w:eastAsia="zh-CN"/>
              </w:rPr>
              <w:t>表2-1项目工程组成一览表</w:t>
            </w:r>
          </w:p>
          <w:tbl>
            <w:tblPr>
              <w:tblStyle w:val="24"/>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45"/>
              <w:gridCol w:w="4688"/>
              <w:gridCol w:w="1078"/>
            </w:tblGrid>
            <w:tr w14:paraId="356A2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tcBorders>
                    <w:bottom w:val="single" w:color="auto" w:sz="12" w:space="0"/>
                  </w:tcBorders>
                  <w:noWrap w:val="0"/>
                  <w:vAlign w:val="center"/>
                </w:tcPr>
                <w:p w14:paraId="377A4218">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工程类别</w:t>
                  </w:r>
                </w:p>
              </w:tc>
              <w:tc>
                <w:tcPr>
                  <w:tcW w:w="1245" w:type="dxa"/>
                  <w:tcBorders>
                    <w:bottom w:val="single" w:color="auto" w:sz="12" w:space="0"/>
                  </w:tcBorders>
                  <w:noWrap w:val="0"/>
                  <w:vAlign w:val="center"/>
                </w:tcPr>
                <w:p w14:paraId="7332282D">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工程名称</w:t>
                  </w:r>
                </w:p>
              </w:tc>
              <w:tc>
                <w:tcPr>
                  <w:tcW w:w="4689" w:type="dxa"/>
                  <w:tcBorders>
                    <w:bottom w:val="single" w:color="auto" w:sz="12" w:space="0"/>
                  </w:tcBorders>
                  <w:noWrap w:val="0"/>
                  <w:vAlign w:val="center"/>
                </w:tcPr>
                <w:p w14:paraId="62A40889">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工程内容</w:t>
                  </w:r>
                </w:p>
              </w:tc>
              <w:tc>
                <w:tcPr>
                  <w:tcW w:w="1078" w:type="dxa"/>
                  <w:tcBorders>
                    <w:bottom w:val="single" w:color="auto" w:sz="12" w:space="0"/>
                  </w:tcBorders>
                  <w:noWrap w:val="0"/>
                  <w:vAlign w:val="center"/>
                </w:tcPr>
                <w:p w14:paraId="236DA097">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备注</w:t>
                  </w:r>
                </w:p>
              </w:tc>
            </w:tr>
            <w:tr w14:paraId="47CD1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tcBorders>
                    <w:top w:val="single" w:color="auto" w:sz="12" w:space="0"/>
                    <w:tl2br w:val="nil"/>
                    <w:tr2bl w:val="nil"/>
                  </w:tcBorders>
                  <w:noWrap w:val="0"/>
                  <w:vAlign w:val="center"/>
                </w:tcPr>
                <w:p w14:paraId="18DAC20D">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1245" w:type="dxa"/>
                  <w:tcBorders>
                    <w:top w:val="single" w:color="auto" w:sz="12" w:space="0"/>
                    <w:tl2br w:val="nil"/>
                    <w:tr2bl w:val="nil"/>
                  </w:tcBorders>
                  <w:noWrap w:val="0"/>
                  <w:vAlign w:val="center"/>
                </w:tcPr>
                <w:p w14:paraId="09DFA733">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生产车间</w:t>
                  </w:r>
                </w:p>
              </w:tc>
              <w:tc>
                <w:tcPr>
                  <w:tcW w:w="4689" w:type="dxa"/>
                  <w:tcBorders>
                    <w:top w:val="single" w:color="auto" w:sz="12" w:space="0"/>
                    <w:tl2br w:val="nil"/>
                    <w:tr2bl w:val="nil"/>
                  </w:tcBorders>
                  <w:noWrap w:val="0"/>
                  <w:vAlign w:val="center"/>
                </w:tcPr>
                <w:p w14:paraId="53E63432">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cs="Times New Roman"/>
                      <w:color w:val="auto"/>
                      <w:sz w:val="21"/>
                      <w:szCs w:val="21"/>
                      <w:highlight w:val="none"/>
                      <w:lang w:val="en-US" w:eastAsia="zh-CN"/>
                    </w:rPr>
                    <w:t>新增占地面积4000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新建一间4000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vertAlign w:val="baseline"/>
                      <w:lang w:val="en-US" w:eastAsia="zh-CN"/>
                    </w:rPr>
                    <w:t>的生产车间，</w:t>
                  </w:r>
                  <w:r>
                    <w:rPr>
                      <w:rFonts w:hint="default" w:ascii="Times New Roman" w:hAnsi="Times New Roman" w:cs="Times New Roman"/>
                      <w:color w:val="auto"/>
                      <w:sz w:val="21"/>
                      <w:szCs w:val="21"/>
                      <w:highlight w:val="none"/>
                    </w:rPr>
                    <w:t>建设</w:t>
                  </w:r>
                  <w:r>
                    <w:rPr>
                      <w:rFonts w:hint="default" w:ascii="Times New Roman" w:hAnsi="Times New Roman" w:cs="Times New Roman"/>
                      <w:color w:val="auto"/>
                      <w:sz w:val="21"/>
                      <w:szCs w:val="21"/>
                      <w:highlight w:val="none"/>
                      <w:lang w:val="en-US" w:eastAsia="zh-CN"/>
                    </w:rPr>
                    <w:t>地膜</w:t>
                  </w:r>
                  <w:r>
                    <w:rPr>
                      <w:rFonts w:hint="default" w:ascii="Times New Roman" w:hAnsi="Times New Roman" w:cs="Times New Roman"/>
                      <w:color w:val="auto"/>
                      <w:sz w:val="21"/>
                      <w:szCs w:val="21"/>
                      <w:highlight w:val="none"/>
                    </w:rPr>
                    <w:t>生产线</w:t>
                  </w:r>
                  <w:r>
                    <w:rPr>
                      <w:rFonts w:hint="default" w:ascii="Times New Roman" w:hAnsi="Times New Roman" w:cs="Times New Roman"/>
                      <w:color w:val="auto"/>
                      <w:sz w:val="21"/>
                      <w:szCs w:val="21"/>
                      <w:highlight w:val="none"/>
                      <w:lang w:val="en-US" w:eastAsia="zh-CN"/>
                    </w:rPr>
                    <w:t>20</w:t>
                  </w:r>
                  <w:r>
                    <w:rPr>
                      <w:rFonts w:hint="default" w:ascii="Times New Roman" w:hAnsi="Times New Roman" w:cs="Times New Roman"/>
                      <w:color w:val="auto"/>
                      <w:sz w:val="21"/>
                      <w:szCs w:val="21"/>
                      <w:highlight w:val="none"/>
                    </w:rPr>
                    <w:t>条</w:t>
                  </w:r>
                </w:p>
              </w:tc>
              <w:tc>
                <w:tcPr>
                  <w:tcW w:w="1078" w:type="dxa"/>
                  <w:tcBorders>
                    <w:top w:val="single" w:color="auto" w:sz="12" w:space="0"/>
                    <w:tl2br w:val="nil"/>
                    <w:tr2bl w:val="nil"/>
                  </w:tcBorders>
                  <w:noWrap w:val="0"/>
                  <w:vAlign w:val="center"/>
                </w:tcPr>
                <w:p w14:paraId="174E5E46">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本次扩建</w:t>
                  </w:r>
                </w:p>
              </w:tc>
            </w:tr>
            <w:tr w14:paraId="4CC2CC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tcBorders>
                    <w:tl2br w:val="nil"/>
                    <w:tr2bl w:val="nil"/>
                  </w:tcBorders>
                  <w:noWrap w:val="0"/>
                  <w:vAlign w:val="center"/>
                </w:tcPr>
                <w:p w14:paraId="03634B35">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储运工程</w:t>
                  </w:r>
                </w:p>
              </w:tc>
              <w:tc>
                <w:tcPr>
                  <w:tcW w:w="1245" w:type="dxa"/>
                  <w:tcBorders>
                    <w:tl2br w:val="nil"/>
                    <w:tr2bl w:val="nil"/>
                  </w:tcBorders>
                  <w:noWrap w:val="0"/>
                  <w:vAlign w:val="center"/>
                </w:tcPr>
                <w:p w14:paraId="269DC189">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库房</w:t>
                  </w:r>
                </w:p>
              </w:tc>
              <w:tc>
                <w:tcPr>
                  <w:tcW w:w="4689" w:type="dxa"/>
                  <w:tcBorders>
                    <w:tl2br w:val="nil"/>
                    <w:tr2bl w:val="nil"/>
                  </w:tcBorders>
                  <w:noWrap w:val="0"/>
                  <w:vAlign w:val="center"/>
                </w:tcPr>
                <w:p w14:paraId="538B9A11">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占地面积1000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p>
              </w:tc>
              <w:tc>
                <w:tcPr>
                  <w:tcW w:w="1078" w:type="dxa"/>
                  <w:tcBorders>
                    <w:tl2br w:val="nil"/>
                    <w:tr2bl w:val="nil"/>
                  </w:tcBorders>
                  <w:noWrap w:val="0"/>
                  <w:vAlign w:val="center"/>
                </w:tcPr>
                <w:p w14:paraId="49CC1AF6">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w:t>
                  </w:r>
                </w:p>
              </w:tc>
            </w:tr>
            <w:tr w14:paraId="19122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tcBorders>
                    <w:tl2br w:val="nil"/>
                    <w:tr2bl w:val="nil"/>
                  </w:tcBorders>
                  <w:noWrap w:val="0"/>
                  <w:vAlign w:val="center"/>
                </w:tcPr>
                <w:p w14:paraId="044E100E">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辅助工程</w:t>
                  </w:r>
                </w:p>
              </w:tc>
              <w:tc>
                <w:tcPr>
                  <w:tcW w:w="1245" w:type="dxa"/>
                  <w:tcBorders>
                    <w:tl2br w:val="nil"/>
                    <w:tr2bl w:val="nil"/>
                  </w:tcBorders>
                  <w:noWrap w:val="0"/>
                  <w:vAlign w:val="center"/>
                </w:tcPr>
                <w:p w14:paraId="7579CCB9">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服务用房</w:t>
                  </w:r>
                </w:p>
              </w:tc>
              <w:tc>
                <w:tcPr>
                  <w:tcW w:w="4689" w:type="dxa"/>
                  <w:tcBorders>
                    <w:tl2br w:val="nil"/>
                    <w:tr2bl w:val="nil"/>
                  </w:tcBorders>
                  <w:noWrap w:val="0"/>
                  <w:vAlign w:val="center"/>
                </w:tcPr>
                <w:p w14:paraId="742A85CA">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办公</w:t>
                  </w:r>
                  <w:r>
                    <w:rPr>
                      <w:rFonts w:hint="default" w:ascii="Times New Roman" w:hAnsi="Times New Roman" w:cs="Times New Roman"/>
                      <w:color w:val="auto"/>
                      <w:sz w:val="21"/>
                      <w:szCs w:val="21"/>
                      <w:highlight w:val="none"/>
                      <w:lang w:val="en-US" w:eastAsia="zh-CN"/>
                    </w:rPr>
                    <w:t>生活</w:t>
                  </w:r>
                  <w:r>
                    <w:rPr>
                      <w:rFonts w:hint="default" w:ascii="Times New Roman" w:hAnsi="Times New Roman" w:cs="Times New Roman"/>
                      <w:color w:val="auto"/>
                      <w:sz w:val="21"/>
                      <w:szCs w:val="21"/>
                      <w:highlight w:val="none"/>
                    </w:rPr>
                    <w:t>区域面积为</w:t>
                  </w:r>
                  <w:r>
                    <w:rPr>
                      <w:rFonts w:hint="default" w:ascii="Times New Roman" w:hAnsi="Times New Roman" w:cs="Times New Roman"/>
                      <w:color w:val="auto"/>
                      <w:sz w:val="21"/>
                      <w:szCs w:val="21"/>
                      <w:highlight w:val="none"/>
                      <w:lang w:val="en-US" w:eastAsia="zh-CN"/>
                    </w:rPr>
                    <w:t>占地面积为1000m</w:t>
                  </w:r>
                  <w:r>
                    <w:rPr>
                      <w:rFonts w:hint="default" w:ascii="Times New Roman" w:hAnsi="Times New Roman" w:cs="Times New Roman"/>
                      <w:color w:val="auto"/>
                      <w:sz w:val="21"/>
                      <w:szCs w:val="21"/>
                      <w:highlight w:val="none"/>
                      <w:vertAlign w:val="superscript"/>
                      <w:lang w:val="en-US" w:eastAsia="zh-CN"/>
                    </w:rPr>
                    <w:t>2</w:t>
                  </w:r>
                </w:p>
              </w:tc>
              <w:tc>
                <w:tcPr>
                  <w:tcW w:w="1078" w:type="dxa"/>
                  <w:tcBorders>
                    <w:tl2br w:val="nil"/>
                    <w:tr2bl w:val="nil"/>
                  </w:tcBorders>
                  <w:noWrap w:val="0"/>
                  <w:vAlign w:val="center"/>
                </w:tcPr>
                <w:p w14:paraId="562A5A86">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w:t>
                  </w:r>
                </w:p>
              </w:tc>
            </w:tr>
            <w:tr w14:paraId="16EE4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restart"/>
                  <w:tcBorders>
                    <w:tl2br w:val="nil"/>
                    <w:tr2bl w:val="nil"/>
                  </w:tcBorders>
                  <w:noWrap w:val="0"/>
                  <w:vAlign w:val="center"/>
                </w:tcPr>
                <w:p w14:paraId="41B0B857">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1245" w:type="dxa"/>
                  <w:tcBorders>
                    <w:tl2br w:val="nil"/>
                    <w:tr2bl w:val="nil"/>
                  </w:tcBorders>
                  <w:noWrap w:val="0"/>
                  <w:vAlign w:val="center"/>
                </w:tcPr>
                <w:p w14:paraId="7E95E008">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供水</w:t>
                  </w:r>
                </w:p>
              </w:tc>
              <w:tc>
                <w:tcPr>
                  <w:tcW w:w="4689" w:type="dxa"/>
                  <w:tcBorders>
                    <w:tl2br w:val="nil"/>
                    <w:tr2bl w:val="nil"/>
                  </w:tcBorders>
                  <w:noWrap w:val="0"/>
                  <w:vAlign w:val="center"/>
                </w:tcPr>
                <w:p w14:paraId="21BC9364">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连接</w:t>
                  </w:r>
                  <w:r>
                    <w:rPr>
                      <w:rFonts w:hint="default" w:ascii="Times New Roman" w:hAnsi="Times New Roman" w:cs="Times New Roman"/>
                      <w:color w:val="auto"/>
                      <w:sz w:val="21"/>
                      <w:szCs w:val="21"/>
                      <w:highlight w:val="none"/>
                      <w:lang w:val="en-US" w:eastAsia="zh-CN"/>
                    </w:rPr>
                    <w:t>市政</w:t>
                  </w:r>
                  <w:r>
                    <w:rPr>
                      <w:rFonts w:hint="default" w:ascii="Times New Roman" w:hAnsi="Times New Roman" w:cs="Times New Roman"/>
                      <w:color w:val="auto"/>
                      <w:sz w:val="21"/>
                      <w:szCs w:val="21"/>
                      <w:highlight w:val="none"/>
                    </w:rPr>
                    <w:t>供水管网</w:t>
                  </w:r>
                </w:p>
              </w:tc>
              <w:tc>
                <w:tcPr>
                  <w:tcW w:w="1078" w:type="dxa"/>
                  <w:tcBorders>
                    <w:tl2br w:val="nil"/>
                    <w:tr2bl w:val="nil"/>
                  </w:tcBorders>
                  <w:noWrap w:val="0"/>
                  <w:vAlign w:val="center"/>
                </w:tcPr>
                <w:p w14:paraId="50AF728B">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5263D5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3969DAF1">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tcBorders>
                    <w:tl2br w:val="nil"/>
                    <w:tr2bl w:val="nil"/>
                  </w:tcBorders>
                  <w:noWrap w:val="0"/>
                  <w:vAlign w:val="center"/>
                </w:tcPr>
                <w:p w14:paraId="64E79836">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w:t>
                  </w:r>
                </w:p>
              </w:tc>
              <w:tc>
                <w:tcPr>
                  <w:tcW w:w="4689" w:type="dxa"/>
                  <w:tcBorders>
                    <w:tl2br w:val="nil"/>
                    <w:tr2bl w:val="nil"/>
                  </w:tcBorders>
                  <w:noWrap w:val="0"/>
                  <w:vAlign w:val="center"/>
                </w:tcPr>
                <w:p w14:paraId="47DAB35F">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无生产废水，</w:t>
                  </w:r>
                  <w:r>
                    <w:rPr>
                      <w:rFonts w:hint="default" w:ascii="Times New Roman" w:hAnsi="Times New Roman" w:cs="Times New Roman"/>
                      <w:color w:val="auto"/>
                      <w:sz w:val="21"/>
                      <w:szCs w:val="21"/>
                      <w:highlight w:val="none"/>
                      <w:lang w:eastAsia="zh-CN"/>
                    </w:rPr>
                    <w:t>生活污水</w:t>
                  </w:r>
                  <w:r>
                    <w:rPr>
                      <w:rFonts w:hint="default" w:ascii="Times New Roman" w:hAnsi="Times New Roman" w:cs="Times New Roman"/>
                      <w:color w:val="auto"/>
                      <w:sz w:val="21"/>
                      <w:szCs w:val="21"/>
                      <w:highlight w:val="none"/>
                      <w:lang w:val="en-US" w:eastAsia="zh-CN"/>
                    </w:rPr>
                    <w:t>由昌吉市污水处理厂统一处理</w:t>
                  </w:r>
                  <w:r>
                    <w:rPr>
                      <w:rFonts w:hint="default" w:ascii="Times New Roman" w:hAnsi="Times New Roman" w:cs="Times New Roman"/>
                      <w:color w:val="auto"/>
                      <w:sz w:val="21"/>
                      <w:szCs w:val="21"/>
                      <w:highlight w:val="none"/>
                    </w:rPr>
                    <w:t>。</w:t>
                  </w:r>
                </w:p>
              </w:tc>
              <w:tc>
                <w:tcPr>
                  <w:tcW w:w="1078" w:type="dxa"/>
                  <w:tcBorders>
                    <w:tl2br w:val="nil"/>
                    <w:tr2bl w:val="nil"/>
                  </w:tcBorders>
                  <w:noWrap w:val="0"/>
                  <w:vAlign w:val="center"/>
                </w:tcPr>
                <w:p w14:paraId="5D2870C1">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75362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13890075">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tcBorders>
                    <w:tl2br w:val="nil"/>
                    <w:tr2bl w:val="nil"/>
                  </w:tcBorders>
                  <w:noWrap w:val="0"/>
                  <w:vAlign w:val="center"/>
                </w:tcPr>
                <w:p w14:paraId="20C4D1D4">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w:t>
                  </w:r>
                </w:p>
              </w:tc>
              <w:tc>
                <w:tcPr>
                  <w:tcW w:w="4689" w:type="dxa"/>
                  <w:tcBorders>
                    <w:tl2br w:val="nil"/>
                    <w:tr2bl w:val="nil"/>
                  </w:tcBorders>
                  <w:noWrap w:val="0"/>
                  <w:vAlign w:val="center"/>
                </w:tcPr>
                <w:p w14:paraId="73D0946C">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市政</w:t>
                  </w:r>
                  <w:r>
                    <w:rPr>
                      <w:rFonts w:hint="default" w:ascii="Times New Roman" w:hAnsi="Times New Roman" w:cs="Times New Roman"/>
                      <w:color w:val="auto"/>
                      <w:sz w:val="21"/>
                      <w:szCs w:val="21"/>
                      <w:highlight w:val="none"/>
                    </w:rPr>
                    <w:t>电网供电</w:t>
                  </w:r>
                </w:p>
              </w:tc>
              <w:tc>
                <w:tcPr>
                  <w:tcW w:w="1078" w:type="dxa"/>
                  <w:tcBorders>
                    <w:tl2br w:val="nil"/>
                    <w:tr2bl w:val="nil"/>
                  </w:tcBorders>
                  <w:noWrap w:val="0"/>
                  <w:vAlign w:val="center"/>
                </w:tcPr>
                <w:p w14:paraId="2931DE7A">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1FF845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66CEB898">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tcBorders>
                    <w:tl2br w:val="nil"/>
                    <w:tr2bl w:val="nil"/>
                  </w:tcBorders>
                  <w:noWrap w:val="0"/>
                  <w:vAlign w:val="center"/>
                </w:tcPr>
                <w:p w14:paraId="5E8841EA">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供暖</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供热</w:t>
                  </w:r>
                </w:p>
              </w:tc>
              <w:tc>
                <w:tcPr>
                  <w:tcW w:w="4689" w:type="dxa"/>
                  <w:tcBorders>
                    <w:tl2br w:val="nil"/>
                    <w:tr2bl w:val="nil"/>
                  </w:tcBorders>
                  <w:noWrap w:val="0"/>
                  <w:vAlign w:val="center"/>
                </w:tcPr>
                <w:p w14:paraId="11DC4977">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项目区采用电锅炉采暖、供热</w:t>
                  </w:r>
                </w:p>
              </w:tc>
              <w:tc>
                <w:tcPr>
                  <w:tcW w:w="1078" w:type="dxa"/>
                  <w:tcBorders>
                    <w:tl2br w:val="nil"/>
                    <w:tr2bl w:val="nil"/>
                  </w:tcBorders>
                  <w:noWrap w:val="0"/>
                  <w:vAlign w:val="center"/>
                </w:tcPr>
                <w:p w14:paraId="0FE51330">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1F0409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restart"/>
                  <w:tcBorders>
                    <w:tl2br w:val="nil"/>
                    <w:tr2bl w:val="nil"/>
                  </w:tcBorders>
                  <w:noWrap w:val="0"/>
                  <w:vAlign w:val="center"/>
                </w:tcPr>
                <w:p w14:paraId="7887FDBC">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1245" w:type="dxa"/>
                  <w:tcBorders>
                    <w:tl2br w:val="nil"/>
                    <w:tr2bl w:val="nil"/>
                  </w:tcBorders>
                  <w:noWrap w:val="0"/>
                  <w:vAlign w:val="center"/>
                </w:tcPr>
                <w:p w14:paraId="47F768CE">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4689" w:type="dxa"/>
                  <w:tcBorders>
                    <w:tl2br w:val="nil"/>
                    <w:tr2bl w:val="nil"/>
                  </w:tcBorders>
                  <w:noWrap w:val="0"/>
                  <w:vAlign w:val="center"/>
                </w:tcPr>
                <w:p w14:paraId="605E4357">
                  <w:pPr>
                    <w:keepNext w:val="0"/>
                    <w:keepLines w:val="0"/>
                    <w:pageBreakBefore w:val="0"/>
                    <w:widowControl/>
                    <w:suppressLineNumbers w:val="0"/>
                    <w:kinsoku/>
                    <w:wordWrap/>
                    <w:overflowPunct/>
                    <w:topLinePunct w:val="0"/>
                    <w:autoSpaceDE/>
                    <w:autoSpaceDN/>
                    <w:bidi w:val="0"/>
                    <w:ind w:left="0" w:leftChars="0" w:right="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VOCs（以非甲烷总烃计）</w:t>
                  </w:r>
                  <w:r>
                    <w:rPr>
                      <w:rFonts w:hint="default" w:ascii="Times New Roman" w:hAnsi="Times New Roman" w:eastAsia="宋体" w:cs="Times New Roman"/>
                      <w:color w:val="auto"/>
                      <w:sz w:val="21"/>
                      <w:szCs w:val="21"/>
                      <w:highlight w:val="none"/>
                      <w:lang w:val="en-US" w:eastAsia="zh-CN"/>
                    </w:rPr>
                    <w:t>通过</w:t>
                  </w:r>
                  <w:r>
                    <w:rPr>
                      <w:rFonts w:hint="default" w:ascii="Times New Roman" w:hAnsi="Times New Roman" w:cs="Times New Roman"/>
                      <w:color w:val="auto"/>
                      <w:sz w:val="21"/>
                      <w:szCs w:val="21"/>
                      <w:highlight w:val="none"/>
                      <w:lang w:val="en-US" w:eastAsia="zh-CN"/>
                    </w:rPr>
                    <w:t>在20个基础机上方各设置20个</w:t>
                  </w:r>
                  <w:r>
                    <w:rPr>
                      <w:rFonts w:hint="default" w:ascii="Times New Roman" w:hAnsi="Times New Roman" w:eastAsia="宋体" w:cs="Times New Roman"/>
                      <w:color w:val="auto"/>
                      <w:sz w:val="21"/>
                      <w:szCs w:val="21"/>
                      <w:highlight w:val="none"/>
                      <w:lang w:val="en-US" w:eastAsia="zh-CN"/>
                    </w:rPr>
                    <w:t>集气罩+</w:t>
                  </w:r>
                  <w:r>
                    <w:rPr>
                      <w:rFonts w:hint="default" w:ascii="Times New Roman" w:hAnsi="Times New Roman" w:cs="Times New Roman"/>
                      <w:color w:val="auto"/>
                      <w:sz w:val="21"/>
                      <w:szCs w:val="21"/>
                      <w:highlight w:val="none"/>
                      <w:lang w:val="en-US" w:eastAsia="zh-CN"/>
                    </w:rPr>
                    <w:t>活性炭吸附脱附+催化燃烧装置处理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最终经15m高排气筒排放；</w:t>
                  </w:r>
                </w:p>
              </w:tc>
              <w:tc>
                <w:tcPr>
                  <w:tcW w:w="1078" w:type="dxa"/>
                  <w:tcBorders>
                    <w:tl2br w:val="nil"/>
                    <w:tr2bl w:val="nil"/>
                  </w:tcBorders>
                  <w:noWrap w:val="0"/>
                  <w:vAlign w:val="center"/>
                </w:tcPr>
                <w:p w14:paraId="7904FD43">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本次新建</w:t>
                  </w:r>
                </w:p>
              </w:tc>
            </w:tr>
            <w:tr w14:paraId="7B137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7AC4FE24">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tcBorders>
                    <w:tl2br w:val="nil"/>
                    <w:tr2bl w:val="nil"/>
                  </w:tcBorders>
                  <w:noWrap w:val="0"/>
                  <w:vAlign w:val="center"/>
                </w:tcPr>
                <w:p w14:paraId="4468E7B5">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4689" w:type="dxa"/>
                  <w:tcBorders>
                    <w:tl2br w:val="nil"/>
                    <w:tr2bl w:val="nil"/>
                  </w:tcBorders>
                  <w:noWrap w:val="0"/>
                  <w:vAlign w:val="center"/>
                </w:tcPr>
                <w:p w14:paraId="47673450">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无生产废水。</w:t>
                  </w:r>
                  <w:r>
                    <w:rPr>
                      <w:rFonts w:hint="default" w:ascii="Times New Roman" w:hAnsi="Times New Roman" w:cs="Times New Roman"/>
                      <w:color w:val="auto"/>
                      <w:sz w:val="21"/>
                      <w:szCs w:val="21"/>
                      <w:highlight w:val="none"/>
                      <w:lang w:eastAsia="zh-CN"/>
                    </w:rPr>
                    <w:t>生活污水</w:t>
                  </w:r>
                  <w:r>
                    <w:rPr>
                      <w:rFonts w:hint="default" w:ascii="Times New Roman" w:hAnsi="Times New Roman" w:cs="Times New Roman"/>
                      <w:color w:val="auto"/>
                      <w:sz w:val="21"/>
                      <w:szCs w:val="21"/>
                      <w:highlight w:val="none"/>
                      <w:lang w:val="en-US" w:eastAsia="zh-CN"/>
                    </w:rPr>
                    <w:t>由昌吉市污水处理厂统一处理</w:t>
                  </w:r>
                  <w:r>
                    <w:rPr>
                      <w:rFonts w:hint="default" w:ascii="Times New Roman" w:hAnsi="Times New Roman" w:cs="Times New Roman"/>
                      <w:color w:val="auto"/>
                      <w:sz w:val="21"/>
                      <w:szCs w:val="21"/>
                      <w:highlight w:val="none"/>
                    </w:rPr>
                    <w:t>。</w:t>
                  </w:r>
                </w:p>
              </w:tc>
              <w:tc>
                <w:tcPr>
                  <w:tcW w:w="1078" w:type="dxa"/>
                  <w:tcBorders>
                    <w:tl2br w:val="nil"/>
                    <w:tr2bl w:val="nil"/>
                  </w:tcBorders>
                  <w:noWrap w:val="0"/>
                  <w:vAlign w:val="center"/>
                </w:tcPr>
                <w:p w14:paraId="76AEEF01">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47138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3" w:hRule="atLeast"/>
                <w:jc w:val="center"/>
              </w:trPr>
              <w:tc>
                <w:tcPr>
                  <w:tcW w:w="761" w:type="dxa"/>
                  <w:vMerge w:val="continue"/>
                  <w:tcBorders>
                    <w:tl2br w:val="nil"/>
                    <w:tr2bl w:val="nil"/>
                  </w:tcBorders>
                  <w:noWrap w:val="0"/>
                  <w:vAlign w:val="center"/>
                </w:tcPr>
                <w:p w14:paraId="23C000FF">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tcBorders>
                    <w:tl2br w:val="nil"/>
                    <w:tr2bl w:val="nil"/>
                  </w:tcBorders>
                  <w:noWrap w:val="0"/>
                  <w:vAlign w:val="center"/>
                </w:tcPr>
                <w:p w14:paraId="0AF8A63C">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4689" w:type="dxa"/>
                  <w:tcBorders>
                    <w:tl2br w:val="nil"/>
                    <w:tr2bl w:val="nil"/>
                  </w:tcBorders>
                  <w:noWrap w:val="0"/>
                  <w:vAlign w:val="center"/>
                </w:tcPr>
                <w:p w14:paraId="320ABBDA">
                  <w:pPr>
                    <w:pStyle w:val="22"/>
                    <w:keepNext w:val="0"/>
                    <w:keepLines w:val="0"/>
                    <w:pageBreakBefore w:val="0"/>
                    <w:kinsoku/>
                    <w:wordWrap/>
                    <w:overflowPunct/>
                    <w:topLinePunct w:val="0"/>
                    <w:autoSpaceDE/>
                    <w:autoSpaceDN/>
                    <w:bidi w:val="0"/>
                    <w:spacing w:before="0" w:beforeAutospacing="0" w:after="0" w:afterAutospacing="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生产设备隔声、减振、消声等。</w:t>
                  </w:r>
                </w:p>
              </w:tc>
              <w:tc>
                <w:tcPr>
                  <w:tcW w:w="1078" w:type="dxa"/>
                  <w:tcBorders>
                    <w:tl2br w:val="nil"/>
                    <w:tr2bl w:val="nil"/>
                  </w:tcBorders>
                  <w:noWrap w:val="0"/>
                  <w:vAlign w:val="center"/>
                </w:tcPr>
                <w:p w14:paraId="09005184">
                  <w:pPr>
                    <w:keepNext w:val="0"/>
                    <w:keepLines w:val="0"/>
                    <w:pageBreakBefore w:val="0"/>
                    <w:kinsoku/>
                    <w:wordWrap/>
                    <w:overflowPunct/>
                    <w:topLinePunct w:val="0"/>
                    <w:autoSpaceDE/>
                    <w:autoSpaceDN/>
                    <w:bidi w:val="0"/>
                    <w:spacing w:beforeAutospacing="0" w:afterAutospacing="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59AA3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4AF6C04C">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vMerge w:val="restart"/>
                  <w:tcBorders>
                    <w:tl2br w:val="nil"/>
                    <w:tr2bl w:val="nil"/>
                  </w:tcBorders>
                  <w:noWrap w:val="0"/>
                  <w:vAlign w:val="center"/>
                </w:tcPr>
                <w:p w14:paraId="5F967D00">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w:t>
                  </w:r>
                </w:p>
              </w:tc>
              <w:tc>
                <w:tcPr>
                  <w:tcW w:w="4689" w:type="dxa"/>
                  <w:tcBorders>
                    <w:tl2br w:val="nil"/>
                    <w:tr2bl w:val="nil"/>
                  </w:tcBorders>
                  <w:noWrap w:val="0"/>
                  <w:vAlign w:val="center"/>
                </w:tcPr>
                <w:p w14:paraId="72BB001C">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不合格品、边角料等一般固废经收集后循环使用</w:t>
                  </w:r>
                </w:p>
              </w:tc>
              <w:tc>
                <w:tcPr>
                  <w:tcW w:w="1078" w:type="dxa"/>
                  <w:tcBorders>
                    <w:tl2br w:val="nil"/>
                    <w:tr2bl w:val="nil"/>
                  </w:tcBorders>
                  <w:noWrap w:val="0"/>
                  <w:vAlign w:val="center"/>
                </w:tcPr>
                <w:p w14:paraId="591344D2">
                  <w:pPr>
                    <w:keepNext w:val="0"/>
                    <w:keepLines w:val="0"/>
                    <w:pageBreakBefore w:val="0"/>
                    <w:kinsoku/>
                    <w:wordWrap/>
                    <w:overflowPunct/>
                    <w:topLinePunct w:val="0"/>
                    <w:autoSpaceDE/>
                    <w:autoSpaceDN/>
                    <w:bidi w:val="0"/>
                    <w:adjustRightInd w:val="0"/>
                    <w:snapToGrid w:val="0"/>
                    <w:ind w:left="0" w:leftChars="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4636F3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1" w:type="dxa"/>
                  <w:vMerge w:val="continue"/>
                  <w:tcBorders>
                    <w:tl2br w:val="nil"/>
                    <w:tr2bl w:val="nil"/>
                  </w:tcBorders>
                  <w:noWrap w:val="0"/>
                  <w:vAlign w:val="center"/>
                </w:tcPr>
                <w:p w14:paraId="6C6F08BC">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1245" w:type="dxa"/>
                  <w:vMerge w:val="continue"/>
                  <w:tcBorders>
                    <w:tl2br w:val="nil"/>
                    <w:tr2bl w:val="nil"/>
                  </w:tcBorders>
                  <w:noWrap w:val="0"/>
                  <w:vAlign w:val="center"/>
                </w:tcPr>
                <w:p w14:paraId="0BFB0C74">
                  <w:pPr>
                    <w:keepNext w:val="0"/>
                    <w:keepLines w:val="0"/>
                    <w:pageBreakBefore w:val="0"/>
                    <w:kinsoku/>
                    <w:wordWrap/>
                    <w:overflowPunct/>
                    <w:topLinePunct w:val="0"/>
                    <w:autoSpaceDE/>
                    <w:autoSpaceDN/>
                    <w:bidi w:val="0"/>
                    <w:snapToGrid w:val="0"/>
                    <w:ind w:left="0" w:leftChars="0" w:right="0"/>
                    <w:jc w:val="center"/>
                    <w:textAlignment w:val="auto"/>
                    <w:rPr>
                      <w:rFonts w:hint="default" w:ascii="Times New Roman" w:hAnsi="Times New Roman" w:cs="Times New Roman"/>
                      <w:color w:val="auto"/>
                      <w:sz w:val="21"/>
                      <w:szCs w:val="21"/>
                      <w:highlight w:val="none"/>
                    </w:rPr>
                  </w:pPr>
                </w:p>
              </w:tc>
              <w:tc>
                <w:tcPr>
                  <w:tcW w:w="4689" w:type="dxa"/>
                  <w:tcBorders>
                    <w:tl2br w:val="nil"/>
                    <w:tr2bl w:val="nil"/>
                  </w:tcBorders>
                  <w:noWrap w:val="0"/>
                  <w:vAlign w:val="center"/>
                </w:tcPr>
                <w:p w14:paraId="4DAEAD6A">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依托</w:t>
                  </w:r>
                  <w:r>
                    <w:rPr>
                      <w:rFonts w:hint="default" w:ascii="Times New Roman" w:hAnsi="Times New Roman" w:eastAsia="宋体" w:cs="Times New Roman"/>
                      <w:color w:val="auto"/>
                      <w:sz w:val="21"/>
                      <w:szCs w:val="21"/>
                      <w:highlight w:val="none"/>
                      <w:lang w:val="en-US" w:eastAsia="zh-CN"/>
                    </w:rPr>
                    <w:t>厂区内部建设</w:t>
                  </w:r>
                  <w:r>
                    <w:rPr>
                      <w:rFonts w:hint="default" w:ascii="Times New Roman" w:hAnsi="Times New Roman" w:cs="Times New Roman"/>
                      <w:color w:val="auto"/>
                      <w:sz w:val="21"/>
                      <w:szCs w:val="21"/>
                      <w:highlight w:val="none"/>
                      <w:lang w:val="en-US" w:eastAsia="zh-CN"/>
                    </w:rPr>
                    <w:t>危废暂存点</w:t>
                  </w:r>
                  <w:r>
                    <w:rPr>
                      <w:rFonts w:hint="default" w:ascii="Times New Roman" w:hAnsi="Times New Roman" w:eastAsia="宋体" w:cs="Times New Roman"/>
                      <w:color w:val="auto"/>
                      <w:sz w:val="21"/>
                      <w:szCs w:val="21"/>
                      <w:highlight w:val="none"/>
                      <w:lang w:val="en-US" w:eastAsia="zh-CN"/>
                    </w:rPr>
                    <w:t>，收集后定期交由具备危废处理资质单位处理</w:t>
                  </w:r>
                </w:p>
              </w:tc>
              <w:tc>
                <w:tcPr>
                  <w:tcW w:w="1078" w:type="dxa"/>
                  <w:tcBorders>
                    <w:tl2br w:val="nil"/>
                    <w:tr2bl w:val="nil"/>
                  </w:tcBorders>
                  <w:noWrap w:val="0"/>
                  <w:vAlign w:val="center"/>
                </w:tcPr>
                <w:p w14:paraId="5A9D0B8C">
                  <w:pPr>
                    <w:keepNext w:val="0"/>
                    <w:keepLines w:val="0"/>
                    <w:pageBreakBefore w:val="0"/>
                    <w:kinsoku/>
                    <w:wordWrap/>
                    <w:overflowPunct/>
                    <w:topLinePunct w:val="0"/>
                    <w:autoSpaceDE/>
                    <w:autoSpaceDN/>
                    <w:bidi w:val="0"/>
                    <w:adjustRightInd w:val="0"/>
                    <w:snapToGrid w:val="0"/>
                    <w:ind w:left="0" w:leftChars="0" w:right="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14:paraId="079D38BA">
            <w:pPr>
              <w:keepLines w:val="0"/>
              <w:pageBreakBefore w:val="0"/>
              <w:kinsoku/>
              <w:wordWrap/>
              <w:overflowPunct/>
              <w:topLinePunct w:val="0"/>
              <w:bidi w:val="0"/>
              <w:adjustRightInd w:val="0"/>
              <w:snapToGrid w:val="0"/>
              <w:spacing w:line="360" w:lineRule="auto"/>
              <w:ind w:right="0"/>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bCs/>
                <w:color w:val="auto"/>
                <w:highlight w:val="none"/>
                <w:lang w:val="en-US" w:eastAsia="zh-CN"/>
              </w:rPr>
              <w:t>3.</w:t>
            </w:r>
            <w:r>
              <w:rPr>
                <w:rFonts w:hint="default" w:ascii="Times New Roman" w:hAnsi="Times New Roman" w:eastAsia="宋体" w:cs="Times New Roman"/>
                <w:b/>
                <w:bCs/>
                <w:color w:val="auto"/>
                <w:sz w:val="24"/>
                <w:highlight w:val="none"/>
              </w:rPr>
              <w:t>主要生产设备</w:t>
            </w:r>
          </w:p>
          <w:p w14:paraId="3F4ABAC4">
            <w:pPr>
              <w:keepLines w:val="0"/>
              <w:pageBreakBefore w:val="0"/>
              <w:kinsoku/>
              <w:wordWrap/>
              <w:overflowPunct/>
              <w:topLinePunct w:val="0"/>
              <w:bidi w:val="0"/>
              <w:adjustRightInd w:val="0"/>
              <w:snapToGrid w:val="0"/>
              <w:spacing w:line="360" w:lineRule="auto"/>
              <w:ind w:left="0" w:leftChars="0"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本项目主要生产设备详见下表。</w:t>
            </w:r>
          </w:p>
          <w:p w14:paraId="2C2CC9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表</w:t>
            </w:r>
            <w:r>
              <w:rPr>
                <w:rFonts w:hint="default" w:ascii="Times New Roman" w:hAnsi="Times New Roman" w:eastAsia="黑体" w:cs="Times New Roman"/>
                <w:b w:val="0"/>
                <w:bCs w:val="0"/>
                <w:color w:val="auto"/>
                <w:sz w:val="24"/>
                <w:szCs w:val="24"/>
                <w:highlight w:val="none"/>
                <w:lang w:val="en-US" w:eastAsia="zh-CN"/>
              </w:rPr>
              <w:t>2-2</w:t>
            </w:r>
            <w:r>
              <w:rPr>
                <w:rFonts w:hint="default" w:ascii="Times New Roman" w:hAnsi="Times New Roman" w:eastAsia="黑体" w:cs="Times New Roman"/>
                <w:b w:val="0"/>
                <w:bCs w:val="0"/>
                <w:color w:val="auto"/>
                <w:sz w:val="24"/>
                <w:szCs w:val="24"/>
                <w:highlight w:val="none"/>
              </w:rPr>
              <w:t>主要生产设备表</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7"/>
              <w:gridCol w:w="2470"/>
              <w:gridCol w:w="1671"/>
              <w:gridCol w:w="2711"/>
            </w:tblGrid>
            <w:tr w14:paraId="388CB4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bottom w:val="single" w:color="auto" w:sz="12" w:space="0"/>
                  </w:tcBorders>
                  <w:noWrap w:val="0"/>
                  <w:vAlign w:val="center"/>
                </w:tcPr>
                <w:p w14:paraId="54D3B826">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序号</w:t>
                  </w:r>
                </w:p>
              </w:tc>
              <w:tc>
                <w:tcPr>
                  <w:tcW w:w="1573" w:type="pct"/>
                  <w:tcBorders>
                    <w:bottom w:val="single" w:color="auto" w:sz="12" w:space="0"/>
                  </w:tcBorders>
                  <w:noWrap w:val="0"/>
                  <w:vAlign w:val="center"/>
                </w:tcPr>
                <w:p w14:paraId="4A4EB6E1">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名称</w:t>
                  </w:r>
                </w:p>
              </w:tc>
              <w:tc>
                <w:tcPr>
                  <w:tcW w:w="1064" w:type="pct"/>
                  <w:tcBorders>
                    <w:bottom w:val="single" w:color="auto" w:sz="12" w:space="0"/>
                  </w:tcBorders>
                  <w:noWrap w:val="0"/>
                  <w:vAlign w:val="center"/>
                </w:tcPr>
                <w:p w14:paraId="479D31FC">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数量</w:t>
                  </w:r>
                </w:p>
              </w:tc>
              <w:tc>
                <w:tcPr>
                  <w:tcW w:w="1726" w:type="pct"/>
                  <w:tcBorders>
                    <w:bottom w:val="single" w:color="auto" w:sz="12" w:space="0"/>
                  </w:tcBorders>
                  <w:noWrap w:val="0"/>
                  <w:vAlign w:val="center"/>
                </w:tcPr>
                <w:p w14:paraId="4D66F842">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备注</w:t>
                  </w:r>
                </w:p>
              </w:tc>
            </w:tr>
            <w:tr w14:paraId="49836E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op w:val="single" w:color="auto" w:sz="12" w:space="0"/>
                    <w:tl2br w:val="nil"/>
                    <w:tr2bl w:val="nil"/>
                  </w:tcBorders>
                  <w:noWrap w:val="0"/>
                  <w:vAlign w:val="center"/>
                </w:tcPr>
                <w:p w14:paraId="07E8BA39">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w:t>
                  </w:r>
                </w:p>
              </w:tc>
              <w:tc>
                <w:tcPr>
                  <w:tcW w:w="1573" w:type="pct"/>
                  <w:tcBorders>
                    <w:top w:val="single" w:color="auto" w:sz="12" w:space="0"/>
                    <w:tl2br w:val="nil"/>
                    <w:tr2bl w:val="nil"/>
                  </w:tcBorders>
                  <w:noWrap w:val="0"/>
                  <w:vAlign w:val="center"/>
                </w:tcPr>
                <w:p w14:paraId="4B13D1A2">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吹塑</w:t>
                  </w:r>
                  <w:r>
                    <w:rPr>
                      <w:rFonts w:hint="default" w:ascii="Times New Roman" w:hAnsi="Times New Roman" w:eastAsia="宋体" w:cs="Times New Roman"/>
                      <w:color w:val="auto"/>
                      <w:sz w:val="21"/>
                      <w:highlight w:val="none"/>
                      <w:lang w:val="en-US" w:eastAsia="zh-CN"/>
                    </w:rPr>
                    <w:t>机</w:t>
                  </w:r>
                </w:p>
              </w:tc>
              <w:tc>
                <w:tcPr>
                  <w:tcW w:w="1064" w:type="pct"/>
                  <w:tcBorders>
                    <w:top w:val="single" w:color="auto" w:sz="12" w:space="0"/>
                    <w:tl2br w:val="nil"/>
                    <w:tr2bl w:val="nil"/>
                  </w:tcBorders>
                  <w:noWrap w:val="0"/>
                  <w:vAlign w:val="center"/>
                </w:tcPr>
                <w:p w14:paraId="4B7A4302">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20</w:t>
                  </w:r>
                  <w:r>
                    <w:rPr>
                      <w:rFonts w:hint="default" w:ascii="Times New Roman" w:hAnsi="Times New Roman" w:eastAsia="宋体" w:cs="Times New Roman"/>
                      <w:color w:val="auto"/>
                      <w:sz w:val="21"/>
                      <w:highlight w:val="none"/>
                    </w:rPr>
                    <w:t>台</w:t>
                  </w:r>
                </w:p>
              </w:tc>
              <w:tc>
                <w:tcPr>
                  <w:tcW w:w="1726" w:type="pct"/>
                  <w:tcBorders>
                    <w:top w:val="single" w:color="auto" w:sz="12" w:space="0"/>
                    <w:tl2br w:val="nil"/>
                    <w:tr2bl w:val="nil"/>
                  </w:tcBorders>
                  <w:noWrap w:val="0"/>
                  <w:vAlign w:val="center"/>
                </w:tcPr>
                <w:p w14:paraId="30E92055">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2300kW（包含电热器）</w:t>
                  </w:r>
                </w:p>
              </w:tc>
            </w:tr>
            <w:tr w14:paraId="77036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l2br w:val="nil"/>
                    <w:tr2bl w:val="nil"/>
                  </w:tcBorders>
                  <w:noWrap w:val="0"/>
                  <w:vAlign w:val="center"/>
                </w:tcPr>
                <w:p w14:paraId="1D07E710">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w:t>
                  </w:r>
                </w:p>
              </w:tc>
              <w:tc>
                <w:tcPr>
                  <w:tcW w:w="1573" w:type="pct"/>
                  <w:tcBorders>
                    <w:tl2br w:val="nil"/>
                    <w:tr2bl w:val="nil"/>
                  </w:tcBorders>
                  <w:noWrap w:val="0"/>
                  <w:vAlign w:val="center"/>
                </w:tcPr>
                <w:p w14:paraId="726D65CC">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收卷</w:t>
                  </w:r>
                  <w:r>
                    <w:rPr>
                      <w:rFonts w:hint="default" w:ascii="Times New Roman" w:hAnsi="Times New Roman" w:eastAsia="宋体" w:cs="Times New Roman"/>
                      <w:color w:val="auto"/>
                      <w:sz w:val="21"/>
                      <w:highlight w:val="none"/>
                      <w:lang w:val="en-US" w:eastAsia="zh-CN"/>
                    </w:rPr>
                    <w:t>机</w:t>
                  </w:r>
                </w:p>
              </w:tc>
              <w:tc>
                <w:tcPr>
                  <w:tcW w:w="1064" w:type="pct"/>
                  <w:tcBorders>
                    <w:tl2br w:val="nil"/>
                    <w:tr2bl w:val="nil"/>
                  </w:tcBorders>
                  <w:noWrap w:val="0"/>
                  <w:vAlign w:val="center"/>
                </w:tcPr>
                <w:p w14:paraId="37E62EAA">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20</w:t>
                  </w:r>
                  <w:r>
                    <w:rPr>
                      <w:rFonts w:hint="default" w:ascii="Times New Roman" w:hAnsi="Times New Roman" w:eastAsia="宋体" w:cs="Times New Roman"/>
                      <w:color w:val="auto"/>
                      <w:sz w:val="21"/>
                      <w:highlight w:val="none"/>
                    </w:rPr>
                    <w:t>台</w:t>
                  </w:r>
                </w:p>
              </w:tc>
              <w:tc>
                <w:tcPr>
                  <w:tcW w:w="1726" w:type="pct"/>
                  <w:tcBorders>
                    <w:tl2br w:val="nil"/>
                    <w:tr2bl w:val="nil"/>
                  </w:tcBorders>
                  <w:noWrap w:val="0"/>
                  <w:vAlign w:val="center"/>
                </w:tcPr>
                <w:p w14:paraId="4BD6167A">
                  <w:pPr>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w:t>
                  </w:r>
                </w:p>
              </w:tc>
            </w:tr>
            <w:tr w14:paraId="0E328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l2br w:val="nil"/>
                    <w:tr2bl w:val="nil"/>
                  </w:tcBorders>
                  <w:noWrap w:val="0"/>
                  <w:vAlign w:val="center"/>
                </w:tcPr>
                <w:p w14:paraId="3777B7D6">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3</w:t>
                  </w:r>
                </w:p>
              </w:tc>
              <w:tc>
                <w:tcPr>
                  <w:tcW w:w="1573" w:type="pct"/>
                  <w:tcBorders>
                    <w:tl2br w:val="nil"/>
                    <w:tr2bl w:val="nil"/>
                  </w:tcBorders>
                  <w:noWrap w:val="0"/>
                  <w:vAlign w:val="center"/>
                </w:tcPr>
                <w:p w14:paraId="58242987">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包装机</w:t>
                  </w:r>
                </w:p>
              </w:tc>
              <w:tc>
                <w:tcPr>
                  <w:tcW w:w="1064" w:type="pct"/>
                  <w:tcBorders>
                    <w:tl2br w:val="nil"/>
                    <w:tr2bl w:val="nil"/>
                  </w:tcBorders>
                  <w:noWrap w:val="0"/>
                  <w:vAlign w:val="center"/>
                </w:tcPr>
                <w:p w14:paraId="1F324B50">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20</w:t>
                  </w:r>
                  <w:r>
                    <w:rPr>
                      <w:rFonts w:hint="default" w:ascii="Times New Roman" w:hAnsi="Times New Roman" w:eastAsia="宋体" w:cs="Times New Roman"/>
                      <w:color w:val="auto"/>
                      <w:sz w:val="21"/>
                      <w:highlight w:val="none"/>
                    </w:rPr>
                    <w:t>台</w:t>
                  </w:r>
                </w:p>
              </w:tc>
              <w:tc>
                <w:tcPr>
                  <w:tcW w:w="1726" w:type="pct"/>
                  <w:tcBorders>
                    <w:tl2br w:val="nil"/>
                    <w:tr2bl w:val="nil"/>
                  </w:tcBorders>
                  <w:noWrap w:val="0"/>
                  <w:vAlign w:val="center"/>
                </w:tcPr>
                <w:p w14:paraId="20D2B3EA">
                  <w:pPr>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w:t>
                  </w:r>
                </w:p>
              </w:tc>
            </w:tr>
            <w:tr w14:paraId="47E153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l2br w:val="nil"/>
                    <w:tr2bl w:val="nil"/>
                  </w:tcBorders>
                  <w:noWrap w:val="0"/>
                  <w:vAlign w:val="center"/>
                </w:tcPr>
                <w:p w14:paraId="2E4151CE">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4</w:t>
                  </w:r>
                </w:p>
              </w:tc>
              <w:tc>
                <w:tcPr>
                  <w:tcW w:w="1573" w:type="pct"/>
                  <w:tcBorders>
                    <w:tl2br w:val="nil"/>
                    <w:tr2bl w:val="nil"/>
                  </w:tcBorders>
                  <w:noWrap w:val="0"/>
                  <w:vAlign w:val="center"/>
                </w:tcPr>
                <w:p w14:paraId="13A127D4">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牵引机</w:t>
                  </w:r>
                </w:p>
              </w:tc>
              <w:tc>
                <w:tcPr>
                  <w:tcW w:w="1064" w:type="pct"/>
                  <w:tcBorders>
                    <w:tl2br w:val="nil"/>
                    <w:tr2bl w:val="nil"/>
                  </w:tcBorders>
                  <w:noWrap w:val="0"/>
                  <w:vAlign w:val="center"/>
                </w:tcPr>
                <w:p w14:paraId="68EFFF58">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20</w:t>
                  </w:r>
                  <w:r>
                    <w:rPr>
                      <w:rFonts w:hint="default" w:ascii="Times New Roman" w:hAnsi="Times New Roman" w:eastAsia="宋体" w:cs="Times New Roman"/>
                      <w:color w:val="auto"/>
                      <w:sz w:val="21"/>
                      <w:highlight w:val="none"/>
                    </w:rPr>
                    <w:t>台</w:t>
                  </w:r>
                </w:p>
              </w:tc>
              <w:tc>
                <w:tcPr>
                  <w:tcW w:w="1726" w:type="pct"/>
                  <w:tcBorders>
                    <w:tl2br w:val="nil"/>
                    <w:tr2bl w:val="nil"/>
                  </w:tcBorders>
                  <w:noWrap w:val="0"/>
                  <w:vAlign w:val="center"/>
                </w:tcPr>
                <w:p w14:paraId="617D33CD">
                  <w:pPr>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w:t>
                  </w:r>
                </w:p>
              </w:tc>
            </w:tr>
            <w:tr w14:paraId="4A45F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l2br w:val="nil"/>
                    <w:tr2bl w:val="nil"/>
                  </w:tcBorders>
                  <w:noWrap w:val="0"/>
                  <w:vAlign w:val="center"/>
                </w:tcPr>
                <w:p w14:paraId="2DB6D062">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5</w:t>
                  </w:r>
                </w:p>
              </w:tc>
              <w:tc>
                <w:tcPr>
                  <w:tcW w:w="1573" w:type="pct"/>
                  <w:tcBorders>
                    <w:tl2br w:val="nil"/>
                    <w:tr2bl w:val="nil"/>
                  </w:tcBorders>
                  <w:noWrap w:val="0"/>
                  <w:vAlign w:val="center"/>
                </w:tcPr>
                <w:p w14:paraId="7D5DCD93">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切割机</w:t>
                  </w:r>
                </w:p>
              </w:tc>
              <w:tc>
                <w:tcPr>
                  <w:tcW w:w="1064" w:type="pct"/>
                  <w:tcBorders>
                    <w:tl2br w:val="nil"/>
                    <w:tr2bl w:val="nil"/>
                  </w:tcBorders>
                  <w:noWrap w:val="0"/>
                  <w:vAlign w:val="center"/>
                </w:tcPr>
                <w:p w14:paraId="51350338">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20</w:t>
                  </w:r>
                  <w:r>
                    <w:rPr>
                      <w:rFonts w:hint="default" w:ascii="Times New Roman" w:hAnsi="Times New Roman" w:eastAsia="宋体" w:cs="Times New Roman"/>
                      <w:color w:val="auto"/>
                      <w:sz w:val="21"/>
                      <w:highlight w:val="none"/>
                    </w:rPr>
                    <w:t>套</w:t>
                  </w:r>
                </w:p>
              </w:tc>
              <w:tc>
                <w:tcPr>
                  <w:tcW w:w="1726" w:type="pct"/>
                  <w:tcBorders>
                    <w:tl2br w:val="nil"/>
                    <w:tr2bl w:val="nil"/>
                  </w:tcBorders>
                  <w:noWrap w:val="0"/>
                  <w:vAlign w:val="center"/>
                </w:tcPr>
                <w:p w14:paraId="211E87EE">
                  <w:pPr>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w:t>
                  </w:r>
                </w:p>
              </w:tc>
            </w:tr>
            <w:tr w14:paraId="6F8C0B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trPr>
              <w:tc>
                <w:tcPr>
                  <w:tcW w:w="635" w:type="pct"/>
                  <w:tcBorders>
                    <w:tl2br w:val="nil"/>
                    <w:tr2bl w:val="nil"/>
                  </w:tcBorders>
                  <w:noWrap w:val="0"/>
                  <w:vAlign w:val="center"/>
                </w:tcPr>
                <w:p w14:paraId="1353468A">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w:t>
                  </w:r>
                </w:p>
              </w:tc>
              <w:tc>
                <w:tcPr>
                  <w:tcW w:w="1573" w:type="pct"/>
                  <w:tcBorders>
                    <w:tl2br w:val="nil"/>
                    <w:tr2bl w:val="nil"/>
                  </w:tcBorders>
                  <w:noWrap w:val="0"/>
                  <w:vAlign w:val="center"/>
                </w:tcPr>
                <w:p w14:paraId="5F762755">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拌料机</w:t>
                  </w:r>
                </w:p>
              </w:tc>
              <w:tc>
                <w:tcPr>
                  <w:tcW w:w="1064" w:type="pct"/>
                  <w:tcBorders>
                    <w:tl2br w:val="nil"/>
                    <w:tr2bl w:val="nil"/>
                  </w:tcBorders>
                  <w:noWrap w:val="0"/>
                  <w:vAlign w:val="center"/>
                </w:tcPr>
                <w:p w14:paraId="6DAFF49C">
                  <w:pPr>
                    <w:pStyle w:val="53"/>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2</w:t>
                  </w:r>
                </w:p>
              </w:tc>
              <w:tc>
                <w:tcPr>
                  <w:tcW w:w="1726" w:type="pct"/>
                  <w:tcBorders>
                    <w:tl2br w:val="nil"/>
                    <w:tr2bl w:val="nil"/>
                  </w:tcBorders>
                  <w:noWrap w:val="0"/>
                  <w:vAlign w:val="center"/>
                </w:tcPr>
                <w:p w14:paraId="2F117EDE">
                  <w:pPr>
                    <w:keepNext w:val="0"/>
                    <w:keepLines w:val="0"/>
                    <w:pageBreakBefore w:val="0"/>
                    <w:widowControl w:val="0"/>
                    <w:kinsoku/>
                    <w:wordWrap/>
                    <w:overflowPunct/>
                    <w:topLinePunct w:val="0"/>
                    <w:autoSpaceDE/>
                    <w:autoSpaceDN/>
                    <w:bidi w:val="0"/>
                    <w:spacing w:line="240" w:lineRule="auto"/>
                    <w:ind w:left="0" w:leftChars="0" w:right="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w:t>
                  </w:r>
                </w:p>
              </w:tc>
            </w:tr>
          </w:tbl>
          <w:p w14:paraId="6C073E9F">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主要原辅材料及理化性质</w:t>
            </w:r>
          </w:p>
          <w:p w14:paraId="2C6EE20E">
            <w:pPr>
              <w:keepNext w:val="0"/>
              <w:keepLines w:val="0"/>
              <w:pageBreakBefore w:val="0"/>
              <w:widowControl w:val="0"/>
              <w:kinsoku/>
              <w:wordWrap/>
              <w:overflowPunct/>
              <w:topLinePunct w:val="0"/>
              <w:autoSpaceDE w:val="0"/>
              <w:autoSpaceDN w:val="0"/>
              <w:bidi w:val="0"/>
              <w:adjustRightInd/>
              <w:snapToGrid/>
              <w:spacing w:line="360" w:lineRule="auto"/>
              <w:ind w:left="0" w:leftChars="0"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项目原辅材料消耗情况见表</w:t>
            </w:r>
            <w:r>
              <w:rPr>
                <w:rFonts w:hint="default" w:ascii="Times New Roman" w:hAnsi="Times New Roman" w:cs="Times New Roman"/>
                <w:color w:val="auto"/>
                <w:sz w:val="24"/>
                <w:szCs w:val="24"/>
                <w:highlight w:val="none"/>
                <w:lang w:val="en-US" w:eastAsia="zh-CN"/>
              </w:rPr>
              <w:t>2-3</w:t>
            </w:r>
            <w:r>
              <w:rPr>
                <w:rFonts w:hint="default" w:ascii="Times New Roman" w:hAnsi="Times New Roman" w:cs="Times New Roman"/>
                <w:color w:val="auto"/>
                <w:sz w:val="24"/>
                <w:szCs w:val="24"/>
                <w:highlight w:val="none"/>
              </w:rPr>
              <w:t>。</w:t>
            </w:r>
          </w:p>
          <w:p w14:paraId="626E7EC8">
            <w:pPr>
              <w:keepLines w:val="0"/>
              <w:pageBreakBefore w:val="0"/>
              <w:kinsoku/>
              <w:wordWrap/>
              <w:overflowPunct/>
              <w:topLinePunct w:val="0"/>
              <w:autoSpaceDE w:val="0"/>
              <w:autoSpaceDN w:val="0"/>
              <w:bidi w:val="0"/>
              <w:spacing w:line="240" w:lineRule="auto"/>
              <w:ind w:left="0" w:leftChars="0" w:right="0"/>
              <w:jc w:val="center"/>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表</w:t>
            </w:r>
            <w:r>
              <w:rPr>
                <w:rFonts w:hint="default" w:ascii="Times New Roman" w:hAnsi="Times New Roman" w:eastAsia="黑体" w:cs="Times New Roman"/>
                <w:b w:val="0"/>
                <w:bCs w:val="0"/>
                <w:color w:val="auto"/>
                <w:sz w:val="24"/>
                <w:szCs w:val="24"/>
                <w:highlight w:val="none"/>
                <w:lang w:val="en-US" w:eastAsia="zh-CN"/>
              </w:rPr>
              <w:t>2-3</w:t>
            </w:r>
            <w:r>
              <w:rPr>
                <w:rFonts w:hint="default" w:ascii="Times New Roman" w:hAnsi="Times New Roman" w:eastAsia="黑体" w:cs="Times New Roman"/>
                <w:b w:val="0"/>
                <w:bCs w:val="0"/>
                <w:color w:val="auto"/>
                <w:sz w:val="24"/>
                <w:szCs w:val="24"/>
                <w:highlight w:val="none"/>
              </w:rPr>
              <w:t>项目原辅材料消耗情况一览表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2776"/>
              <w:gridCol w:w="1988"/>
              <w:gridCol w:w="1990"/>
            </w:tblGrid>
            <w:tr w14:paraId="7C775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7" w:type="pct"/>
                  <w:tcBorders>
                    <w:tl2br w:val="nil"/>
                    <w:tr2bl w:val="nil"/>
                  </w:tcBorders>
                  <w:noWrap w:val="0"/>
                  <w:vAlign w:val="center"/>
                </w:tcPr>
                <w:p w14:paraId="4741D1C0">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b/>
                      <w:bCs/>
                      <w:color w:val="auto"/>
                      <w:sz w:val="21"/>
                      <w:highlight w:val="none"/>
                      <w:vertAlign w:val="baseline"/>
                      <w:lang w:val="en-US" w:eastAsia="zh-CN"/>
                    </w:rPr>
                  </w:pPr>
                  <w:r>
                    <w:rPr>
                      <w:rFonts w:hint="default" w:ascii="Times New Roman" w:hAnsi="Times New Roman" w:eastAsia="宋体" w:cs="Times New Roman"/>
                      <w:b/>
                      <w:bCs/>
                      <w:color w:val="auto"/>
                      <w:sz w:val="21"/>
                      <w:highlight w:val="none"/>
                      <w:vertAlign w:val="baseline"/>
                      <w:lang w:val="en-US" w:eastAsia="zh-CN"/>
                    </w:rPr>
                    <w:t>序号</w:t>
                  </w:r>
                </w:p>
              </w:tc>
              <w:tc>
                <w:tcPr>
                  <w:tcW w:w="1768" w:type="pct"/>
                  <w:tcBorders>
                    <w:tl2br w:val="nil"/>
                    <w:tr2bl w:val="nil"/>
                  </w:tcBorders>
                  <w:noWrap w:val="0"/>
                  <w:vAlign w:val="center"/>
                </w:tcPr>
                <w:p w14:paraId="793CCA54">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b/>
                      <w:bCs/>
                      <w:color w:val="auto"/>
                      <w:sz w:val="21"/>
                      <w:highlight w:val="none"/>
                      <w:vertAlign w:val="baseline"/>
                      <w:lang w:val="en-US" w:eastAsia="zh-CN"/>
                    </w:rPr>
                  </w:pPr>
                  <w:r>
                    <w:rPr>
                      <w:rFonts w:hint="default" w:ascii="Times New Roman" w:hAnsi="Times New Roman" w:eastAsia="宋体" w:cs="Times New Roman"/>
                      <w:b/>
                      <w:bCs/>
                      <w:color w:val="auto"/>
                      <w:sz w:val="21"/>
                      <w:highlight w:val="none"/>
                      <w:vertAlign w:val="baseline"/>
                      <w:lang w:val="en-US" w:eastAsia="zh-CN"/>
                    </w:rPr>
                    <w:t>物料名称</w:t>
                  </w:r>
                </w:p>
              </w:tc>
              <w:tc>
                <w:tcPr>
                  <w:tcW w:w="1266" w:type="pct"/>
                  <w:tcBorders>
                    <w:tl2br w:val="nil"/>
                    <w:tr2bl w:val="nil"/>
                  </w:tcBorders>
                  <w:noWrap w:val="0"/>
                  <w:vAlign w:val="center"/>
                </w:tcPr>
                <w:p w14:paraId="221BA55C">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b/>
                      <w:bCs/>
                      <w:color w:val="auto"/>
                      <w:sz w:val="21"/>
                      <w:highlight w:val="none"/>
                      <w:vertAlign w:val="baseline"/>
                      <w:lang w:val="en-US" w:eastAsia="zh-CN"/>
                    </w:rPr>
                  </w:pPr>
                  <w:r>
                    <w:rPr>
                      <w:rFonts w:hint="default" w:ascii="Times New Roman" w:hAnsi="Times New Roman" w:eastAsia="宋体" w:cs="Times New Roman"/>
                      <w:b/>
                      <w:bCs/>
                      <w:color w:val="auto"/>
                      <w:sz w:val="21"/>
                      <w:highlight w:val="none"/>
                      <w:vertAlign w:val="baseline"/>
                      <w:lang w:val="en-US" w:eastAsia="zh-CN"/>
                    </w:rPr>
                    <w:t>使用量t/a</w:t>
                  </w:r>
                </w:p>
              </w:tc>
              <w:tc>
                <w:tcPr>
                  <w:tcW w:w="1267" w:type="pct"/>
                  <w:tcBorders>
                    <w:tl2br w:val="nil"/>
                    <w:tr2bl w:val="nil"/>
                  </w:tcBorders>
                  <w:noWrap w:val="0"/>
                  <w:vAlign w:val="center"/>
                </w:tcPr>
                <w:p w14:paraId="446E4562">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b/>
                      <w:bCs/>
                      <w:color w:val="auto"/>
                      <w:sz w:val="21"/>
                      <w:highlight w:val="none"/>
                      <w:vertAlign w:val="baseline"/>
                      <w:lang w:val="en-US" w:eastAsia="zh-CN"/>
                    </w:rPr>
                  </w:pPr>
                  <w:r>
                    <w:rPr>
                      <w:rFonts w:hint="default" w:ascii="Times New Roman" w:hAnsi="Times New Roman" w:eastAsia="宋体" w:cs="Times New Roman"/>
                      <w:b/>
                      <w:bCs/>
                      <w:color w:val="auto"/>
                      <w:sz w:val="21"/>
                      <w:highlight w:val="none"/>
                      <w:vertAlign w:val="baseline"/>
                      <w:lang w:val="en-US" w:eastAsia="zh-CN"/>
                    </w:rPr>
                    <w:t>来源</w:t>
                  </w:r>
                </w:p>
              </w:tc>
            </w:tr>
            <w:tr w14:paraId="5A066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7" w:type="pct"/>
                  <w:tcBorders>
                    <w:tl2br w:val="nil"/>
                    <w:tr2bl w:val="nil"/>
                  </w:tcBorders>
                  <w:noWrap w:val="0"/>
                  <w:vAlign w:val="center"/>
                </w:tcPr>
                <w:p w14:paraId="3C240B61">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1</w:t>
                  </w:r>
                </w:p>
              </w:tc>
              <w:tc>
                <w:tcPr>
                  <w:tcW w:w="1768" w:type="pct"/>
                  <w:tcBorders>
                    <w:tl2br w:val="nil"/>
                    <w:tr2bl w:val="nil"/>
                  </w:tcBorders>
                  <w:noWrap w:val="0"/>
                  <w:vAlign w:val="center"/>
                </w:tcPr>
                <w:p w14:paraId="4BF05EB5">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聚乙烯颗粒</w:t>
                  </w:r>
                </w:p>
              </w:tc>
              <w:tc>
                <w:tcPr>
                  <w:tcW w:w="1988" w:type="dxa"/>
                  <w:tcBorders>
                    <w:tl2br w:val="nil"/>
                    <w:tr2bl w:val="nil"/>
                  </w:tcBorders>
                  <w:noWrap w:val="0"/>
                  <w:vAlign w:val="center"/>
                </w:tcPr>
                <w:p w14:paraId="3091F645">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5860</w:t>
                  </w:r>
                </w:p>
              </w:tc>
              <w:tc>
                <w:tcPr>
                  <w:tcW w:w="1267" w:type="pct"/>
                  <w:tcBorders>
                    <w:tl2br w:val="nil"/>
                    <w:tr2bl w:val="nil"/>
                  </w:tcBorders>
                  <w:noWrap w:val="0"/>
                  <w:vAlign w:val="center"/>
                </w:tcPr>
                <w:p w14:paraId="413EF030">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外购</w:t>
                  </w:r>
                </w:p>
              </w:tc>
            </w:tr>
            <w:tr w14:paraId="6ADEDD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7" w:type="pct"/>
                  <w:tcBorders>
                    <w:tl2br w:val="nil"/>
                    <w:tr2bl w:val="nil"/>
                  </w:tcBorders>
                  <w:noWrap w:val="0"/>
                  <w:vAlign w:val="center"/>
                </w:tcPr>
                <w:p w14:paraId="2EAA99BA">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2</w:t>
                  </w:r>
                </w:p>
              </w:tc>
              <w:tc>
                <w:tcPr>
                  <w:tcW w:w="1768" w:type="pct"/>
                  <w:tcBorders>
                    <w:tl2br w:val="nil"/>
                    <w:tr2bl w:val="nil"/>
                  </w:tcBorders>
                  <w:noWrap w:val="0"/>
                  <w:vAlign w:val="center"/>
                </w:tcPr>
                <w:p w14:paraId="1528BA33">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色母</w:t>
                  </w:r>
                </w:p>
              </w:tc>
              <w:tc>
                <w:tcPr>
                  <w:tcW w:w="1988" w:type="dxa"/>
                  <w:tcBorders>
                    <w:tl2br w:val="nil"/>
                    <w:tr2bl w:val="nil"/>
                  </w:tcBorders>
                  <w:noWrap w:val="0"/>
                  <w:vAlign w:val="center"/>
                </w:tcPr>
                <w:p w14:paraId="491A6768">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w:t>
                  </w:r>
                </w:p>
              </w:tc>
              <w:tc>
                <w:tcPr>
                  <w:tcW w:w="1267" w:type="pct"/>
                  <w:tcBorders>
                    <w:tl2br w:val="nil"/>
                    <w:tr2bl w:val="nil"/>
                  </w:tcBorders>
                  <w:noWrap w:val="0"/>
                  <w:vAlign w:val="center"/>
                </w:tcPr>
                <w:p w14:paraId="10FBA149">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外购</w:t>
                  </w:r>
                </w:p>
              </w:tc>
            </w:tr>
            <w:tr w14:paraId="0359AD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7" w:type="pct"/>
                  <w:tcBorders>
                    <w:tl2br w:val="nil"/>
                    <w:tr2bl w:val="nil"/>
                  </w:tcBorders>
                  <w:noWrap w:val="0"/>
                  <w:vAlign w:val="center"/>
                </w:tcPr>
                <w:p w14:paraId="38D28D80">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3</w:t>
                  </w:r>
                </w:p>
              </w:tc>
              <w:tc>
                <w:tcPr>
                  <w:tcW w:w="1768" w:type="pct"/>
                  <w:tcBorders>
                    <w:tl2br w:val="nil"/>
                    <w:tr2bl w:val="nil"/>
                  </w:tcBorders>
                  <w:noWrap w:val="0"/>
                  <w:vAlign w:val="center"/>
                </w:tcPr>
                <w:p w14:paraId="174FA9D4">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抗氧化剂</w:t>
                  </w:r>
                </w:p>
              </w:tc>
              <w:tc>
                <w:tcPr>
                  <w:tcW w:w="1988" w:type="dxa"/>
                  <w:tcBorders>
                    <w:tl2br w:val="nil"/>
                    <w:tr2bl w:val="nil"/>
                  </w:tcBorders>
                  <w:noWrap w:val="0"/>
                  <w:vAlign w:val="center"/>
                </w:tcPr>
                <w:p w14:paraId="5BC3F8CF">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120</w:t>
                  </w:r>
                </w:p>
              </w:tc>
              <w:tc>
                <w:tcPr>
                  <w:tcW w:w="1267" w:type="pct"/>
                  <w:tcBorders>
                    <w:tl2br w:val="nil"/>
                    <w:tr2bl w:val="nil"/>
                  </w:tcBorders>
                  <w:noWrap w:val="0"/>
                  <w:vAlign w:val="center"/>
                </w:tcPr>
                <w:p w14:paraId="3C7C97CB">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jc w:val="center"/>
                    <w:textAlignment w:val="auto"/>
                    <w:rPr>
                      <w:rFonts w:hint="default" w:ascii="Times New Roman" w:hAnsi="Times New Roman" w:eastAsia="宋体" w:cs="Times New Roman"/>
                      <w:color w:val="auto"/>
                      <w:sz w:val="21"/>
                      <w:highlight w:val="none"/>
                      <w:vertAlign w:val="baseline"/>
                      <w:lang w:val="en-US" w:eastAsia="zh-CN"/>
                    </w:rPr>
                  </w:pPr>
                  <w:r>
                    <w:rPr>
                      <w:rFonts w:hint="default" w:ascii="Times New Roman" w:hAnsi="Times New Roman" w:eastAsia="宋体" w:cs="Times New Roman"/>
                      <w:color w:val="auto"/>
                      <w:sz w:val="21"/>
                      <w:highlight w:val="none"/>
                      <w:vertAlign w:val="baseline"/>
                      <w:lang w:val="en-US" w:eastAsia="zh-CN"/>
                    </w:rPr>
                    <w:t>外购</w:t>
                  </w:r>
                </w:p>
              </w:tc>
            </w:tr>
          </w:tbl>
          <w:p w14:paraId="028AABA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2"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聚乙烯：</w:t>
            </w:r>
            <w:r>
              <w:rPr>
                <w:rFonts w:hint="default" w:ascii="Times New Roman" w:hAnsi="Times New Roman" w:eastAsia="宋体" w:cs="Times New Roman"/>
                <w:bCs/>
                <w:color w:val="auto"/>
                <w:sz w:val="24"/>
                <w:szCs w:val="24"/>
                <w:highlight w:val="none"/>
                <w:lang w:val="en-US" w:eastAsia="zh-CN"/>
              </w:rPr>
              <w:t>即HDPE，为白色颗粒状产品。无毒，无味，结晶度为80%～90%，软化点为125～135℃，使用温度可达100℃；硬度、拉伸强度和蠕变性优于低密度聚乙烯；耐磨性、电绝缘性、韧性及耐寒性较好；化学稳定性好，在室温条件下，不溶于任何有机溶剂，耐酸、碱和各种盐类的腐蚀。</w:t>
            </w:r>
          </w:p>
          <w:p w14:paraId="1B51557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2"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色母：</w:t>
            </w:r>
            <w:r>
              <w:rPr>
                <w:rFonts w:hint="default" w:ascii="Times New Roman" w:hAnsi="Times New Roman" w:eastAsia="宋体" w:cs="Times New Roman"/>
                <w:bCs/>
                <w:color w:val="auto"/>
                <w:sz w:val="24"/>
                <w:szCs w:val="24"/>
                <w:highlight w:val="none"/>
                <w:lang w:val="en-US" w:eastAsia="zh-CN"/>
              </w:rPr>
              <w:t>一种新型高分子材料专用着色剂，是把超常量的颜料均匀载附于树脂之中而制得的聚集体，可称颜料浓缩物，所以它的着色力高于颜料本身。加工时用少量色母料和未着色树脂掺混，就可达到设计颜料浓度的着色树脂或制品。本项目所用的色母由红色有机颜料、聚乙烯载体所组成，各组分中均不含重金属。</w:t>
            </w:r>
          </w:p>
          <w:p w14:paraId="152B8899">
            <w:pPr>
              <w:keepLines w:val="0"/>
              <w:pageBreakBefore w:val="0"/>
              <w:kinsoku/>
              <w:wordWrap/>
              <w:overflowPunct/>
              <w:topLinePunct w:val="0"/>
              <w:bidi w:val="0"/>
              <w:adjustRightInd w:val="0"/>
              <w:snapToGrid w:val="0"/>
              <w:spacing w:line="360" w:lineRule="auto"/>
              <w:ind w:right="0"/>
              <w:rPr>
                <w:rFonts w:hint="default" w:ascii="Times New Roman" w:hAnsi="Times New Roman" w:eastAsia="宋体" w:cs="Times New Roman"/>
                <w:b/>
                <w:bCs/>
                <w:color w:val="auto"/>
                <w:sz w:val="24"/>
                <w:highlight w:val="none"/>
                <w:lang w:eastAsia="zh-CN"/>
              </w:rPr>
            </w:pPr>
            <w:r>
              <w:rPr>
                <w:rFonts w:hint="default" w:ascii="Times New Roman" w:hAnsi="Times New Roman" w:cs="Times New Roman"/>
                <w:b/>
                <w:color w:val="auto"/>
                <w:sz w:val="24"/>
                <w:highlight w:val="none"/>
                <w:lang w:val="en-US" w:eastAsia="zh-CN"/>
              </w:rPr>
              <w:t>5.</w:t>
            </w:r>
            <w:r>
              <w:rPr>
                <w:rFonts w:hint="default" w:ascii="Times New Roman" w:hAnsi="Times New Roman" w:cs="Times New Roman"/>
                <w:b/>
                <w:color w:val="auto"/>
                <w:sz w:val="24"/>
                <w:highlight w:val="none"/>
              </w:rPr>
              <w:t>产品方案</w:t>
            </w:r>
          </w:p>
          <w:p w14:paraId="35A1C2BD">
            <w:pPr>
              <w:keepLines w:val="0"/>
              <w:pageBreakBefore w:val="0"/>
              <w:kinsoku/>
              <w:wordWrap/>
              <w:overflowPunct/>
              <w:topLinePunct w:val="0"/>
              <w:bidi w:val="0"/>
              <w:adjustRightInd w:val="0"/>
              <w:snapToGrid w:val="0"/>
              <w:spacing w:line="360" w:lineRule="auto"/>
              <w:ind w:left="0" w:leftChars="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szCs w:val="24"/>
                <w:highlight w:val="none"/>
              </w:rPr>
              <w:t>主要产品及</w:t>
            </w:r>
            <w:r>
              <w:rPr>
                <w:rFonts w:hint="default" w:ascii="Times New Roman" w:hAnsi="Times New Roman" w:cs="Times New Roman"/>
                <w:color w:val="auto"/>
                <w:sz w:val="24"/>
                <w:highlight w:val="none"/>
              </w:rPr>
              <w:t>产量见表</w:t>
            </w:r>
            <w:r>
              <w:rPr>
                <w:rFonts w:hint="default" w:ascii="Times New Roman" w:hAnsi="Times New Roman" w:cs="Times New Roman"/>
                <w:color w:val="auto"/>
                <w:sz w:val="24"/>
                <w:highlight w:val="none"/>
                <w:lang w:val="en-US" w:eastAsia="zh-CN"/>
              </w:rPr>
              <w:t>2-4</w:t>
            </w:r>
            <w:r>
              <w:rPr>
                <w:rFonts w:hint="default" w:ascii="Times New Roman" w:hAnsi="Times New Roman" w:cs="Times New Roman"/>
                <w:color w:val="auto"/>
                <w:sz w:val="24"/>
                <w:highlight w:val="none"/>
              </w:rPr>
              <w:t>。</w:t>
            </w:r>
          </w:p>
          <w:p w14:paraId="190C6E7A">
            <w:pPr>
              <w:keepLines w:val="0"/>
              <w:pageBreakBefore w:val="0"/>
              <w:kinsoku/>
              <w:wordWrap/>
              <w:overflowPunct/>
              <w:topLinePunct w:val="0"/>
              <w:bidi w:val="0"/>
              <w:adjustRightInd w:val="0"/>
              <w:snapToGrid w:val="0"/>
              <w:spacing w:line="240" w:lineRule="auto"/>
              <w:ind w:left="0" w:leftChars="0" w:right="0" w:firstLine="422" w:firstLineChars="20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 xml:space="preserve">2-4   </w:t>
            </w:r>
            <w:r>
              <w:rPr>
                <w:rFonts w:hint="default" w:ascii="Times New Roman" w:hAnsi="Times New Roman" w:cs="Times New Roman"/>
                <w:b/>
                <w:bCs/>
                <w:color w:val="auto"/>
                <w:sz w:val="21"/>
                <w:szCs w:val="21"/>
                <w:highlight w:val="none"/>
              </w:rPr>
              <w:t>主要产品及产量一览表</w:t>
            </w:r>
          </w:p>
          <w:tbl>
            <w:tblPr>
              <w:tblStyle w:val="24"/>
              <w:tblW w:w="500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003"/>
              <w:gridCol w:w="1847"/>
              <w:gridCol w:w="2306"/>
            </w:tblGrid>
            <w:tr w14:paraId="1D80F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448" w:type="pct"/>
                  <w:tcBorders>
                    <w:bottom w:val="single" w:color="auto" w:sz="12" w:space="0"/>
                  </w:tcBorders>
                  <w:noWrap w:val="0"/>
                  <w:vAlign w:val="center"/>
                </w:tcPr>
                <w:p w14:paraId="691B23F8">
                  <w:pPr>
                    <w:keepLines w:val="0"/>
                    <w:pageBreakBefore w:val="0"/>
                    <w:kinsoku/>
                    <w:wordWrap/>
                    <w:overflowPunct/>
                    <w:topLinePunct w:val="0"/>
                    <w:bidi w:val="0"/>
                    <w:ind w:left="0" w:leftChars="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1909" w:type="pct"/>
                  <w:tcBorders>
                    <w:bottom w:val="single" w:color="auto" w:sz="12" w:space="0"/>
                  </w:tcBorders>
                  <w:noWrap w:val="0"/>
                  <w:vAlign w:val="center"/>
                </w:tcPr>
                <w:p w14:paraId="18FC4D8F">
                  <w:pPr>
                    <w:keepLines w:val="0"/>
                    <w:pageBreakBefore w:val="0"/>
                    <w:kinsoku/>
                    <w:wordWrap/>
                    <w:overflowPunct/>
                    <w:topLinePunct w:val="0"/>
                    <w:bidi w:val="0"/>
                    <w:ind w:left="0" w:leftChars="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名称</w:t>
                  </w:r>
                </w:p>
              </w:tc>
              <w:tc>
                <w:tcPr>
                  <w:tcW w:w="1174" w:type="pct"/>
                  <w:tcBorders>
                    <w:bottom w:val="single" w:color="auto" w:sz="12" w:space="0"/>
                  </w:tcBorders>
                  <w:noWrap w:val="0"/>
                  <w:vAlign w:val="center"/>
                </w:tcPr>
                <w:p w14:paraId="62DBE930">
                  <w:pPr>
                    <w:keepLines w:val="0"/>
                    <w:pageBreakBefore w:val="0"/>
                    <w:kinsoku/>
                    <w:wordWrap/>
                    <w:overflowPunct/>
                    <w:topLinePunct w:val="0"/>
                    <w:bidi w:val="0"/>
                    <w:ind w:left="0" w:leftChars="0" w:right="0"/>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cs="Times New Roman"/>
                      <w:b/>
                      <w:bCs/>
                      <w:color w:val="auto"/>
                      <w:szCs w:val="21"/>
                      <w:highlight w:val="none"/>
                      <w:lang w:val="en-US" w:eastAsia="zh-CN"/>
                    </w:rPr>
                    <w:t>单位</w:t>
                  </w:r>
                </w:p>
              </w:tc>
              <w:tc>
                <w:tcPr>
                  <w:tcW w:w="1466" w:type="pct"/>
                  <w:tcBorders>
                    <w:bottom w:val="single" w:color="auto" w:sz="12" w:space="0"/>
                  </w:tcBorders>
                  <w:noWrap w:val="0"/>
                  <w:vAlign w:val="center"/>
                </w:tcPr>
                <w:p w14:paraId="298316BA">
                  <w:pPr>
                    <w:keepLines w:val="0"/>
                    <w:pageBreakBefore w:val="0"/>
                    <w:kinsoku/>
                    <w:wordWrap/>
                    <w:overflowPunct/>
                    <w:topLinePunct w:val="0"/>
                    <w:bidi w:val="0"/>
                    <w:ind w:left="0" w:leftChars="0" w:right="0"/>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数量</w:t>
                  </w:r>
                </w:p>
              </w:tc>
            </w:tr>
            <w:tr w14:paraId="455F63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448" w:type="pct"/>
                  <w:tcBorders>
                    <w:top w:val="single" w:color="auto" w:sz="12" w:space="0"/>
                    <w:tl2br w:val="nil"/>
                    <w:tr2bl w:val="nil"/>
                  </w:tcBorders>
                  <w:noWrap w:val="0"/>
                  <w:vAlign w:val="center"/>
                </w:tcPr>
                <w:p w14:paraId="48297FF4">
                  <w:pPr>
                    <w:keepLines w:val="0"/>
                    <w:pageBreakBefore w:val="0"/>
                    <w:kinsoku/>
                    <w:wordWrap/>
                    <w:overflowPunct/>
                    <w:topLinePunct w:val="0"/>
                    <w:bidi w:val="0"/>
                    <w:adjustRightInd w:val="0"/>
                    <w:snapToGrid w:val="0"/>
                    <w:ind w:left="0" w:leftChars="0" w:right="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w:t>
                  </w:r>
                </w:p>
              </w:tc>
              <w:tc>
                <w:tcPr>
                  <w:tcW w:w="1909" w:type="pct"/>
                  <w:tcBorders>
                    <w:top w:val="single" w:color="auto" w:sz="12" w:space="0"/>
                    <w:tl2br w:val="nil"/>
                    <w:tr2bl w:val="nil"/>
                  </w:tcBorders>
                  <w:noWrap w:val="0"/>
                  <w:vAlign w:val="center"/>
                </w:tcPr>
                <w:p w14:paraId="6B63EEED">
                  <w:pPr>
                    <w:keepLines w:val="0"/>
                    <w:pageBreakBefore w:val="0"/>
                    <w:kinsoku/>
                    <w:wordWrap/>
                    <w:overflowPunct/>
                    <w:topLinePunct w:val="0"/>
                    <w:autoSpaceDE w:val="0"/>
                    <w:autoSpaceDN w:val="0"/>
                    <w:bidi w:val="0"/>
                    <w:adjustRightInd w:val="0"/>
                    <w:snapToGrid w:val="0"/>
                    <w:spacing w:line="240" w:lineRule="auto"/>
                    <w:ind w:left="0" w:leftChars="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地膜</w:t>
                  </w:r>
                </w:p>
              </w:tc>
              <w:tc>
                <w:tcPr>
                  <w:tcW w:w="1174" w:type="pct"/>
                  <w:tcBorders>
                    <w:top w:val="single" w:color="auto" w:sz="12" w:space="0"/>
                    <w:tl2br w:val="nil"/>
                    <w:tr2bl w:val="nil"/>
                  </w:tcBorders>
                  <w:noWrap w:val="0"/>
                  <w:vAlign w:val="center"/>
                </w:tcPr>
                <w:p w14:paraId="3C4661DA">
                  <w:pPr>
                    <w:keepLines w:val="0"/>
                    <w:pageBreakBefore w:val="0"/>
                    <w:kinsoku/>
                    <w:wordWrap/>
                    <w:overflowPunct/>
                    <w:topLinePunct w:val="0"/>
                    <w:autoSpaceDE w:val="0"/>
                    <w:autoSpaceDN w:val="0"/>
                    <w:bidi w:val="0"/>
                    <w:adjustRightInd w:val="0"/>
                    <w:snapToGrid w:val="0"/>
                    <w:spacing w:line="240" w:lineRule="auto"/>
                    <w:ind w:left="0" w:leftChars="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vertAlign w:val="baseline"/>
                      <w:lang w:eastAsia="zh-CN"/>
                    </w:rPr>
                    <w:t>吨</w:t>
                  </w:r>
                </w:p>
              </w:tc>
              <w:tc>
                <w:tcPr>
                  <w:tcW w:w="1466" w:type="pct"/>
                  <w:tcBorders>
                    <w:top w:val="single" w:color="auto" w:sz="12" w:space="0"/>
                    <w:tl2br w:val="nil"/>
                    <w:tr2bl w:val="nil"/>
                  </w:tcBorders>
                  <w:noWrap w:val="0"/>
                  <w:vAlign w:val="center"/>
                </w:tcPr>
                <w:p w14:paraId="6DD7EE68">
                  <w:pPr>
                    <w:keepLines w:val="0"/>
                    <w:pageBreakBefore w:val="0"/>
                    <w:kinsoku/>
                    <w:wordWrap/>
                    <w:overflowPunct/>
                    <w:topLinePunct w:val="0"/>
                    <w:autoSpaceDE w:val="0"/>
                    <w:autoSpaceDN w:val="0"/>
                    <w:bidi w:val="0"/>
                    <w:adjustRightInd w:val="0"/>
                    <w:snapToGrid w:val="0"/>
                    <w:spacing w:line="240" w:lineRule="auto"/>
                    <w:ind w:left="0" w:leftChars="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6000</w:t>
                  </w:r>
                </w:p>
              </w:tc>
            </w:tr>
          </w:tbl>
          <w:p w14:paraId="31F5B309">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zh-CN"/>
              </w:rPr>
              <w:t>给排水分析</w:t>
            </w:r>
          </w:p>
          <w:p w14:paraId="19DBD856">
            <w:pPr>
              <w:keepLines w:val="0"/>
              <w:pageBreakBefore w:val="0"/>
              <w:kinsoku/>
              <w:wordWrap/>
              <w:overflowPunct/>
              <w:topLinePunct w:val="0"/>
              <w:bidi w:val="0"/>
              <w:adjustRightInd w:val="0"/>
              <w:snapToGrid w:val="0"/>
              <w:spacing w:line="360" w:lineRule="auto"/>
              <w:ind w:right="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zh-CN"/>
              </w:rPr>
              <w:t>.1生活用水及排水</w:t>
            </w:r>
          </w:p>
          <w:p w14:paraId="177F96E3">
            <w:pPr>
              <w:keepLines w:val="0"/>
              <w:pageBreakBefore w:val="0"/>
              <w:kinsoku/>
              <w:wordWrap/>
              <w:overflowPunct/>
              <w:topLinePunct w:val="0"/>
              <w:bidi w:val="0"/>
              <w:adjustRightInd w:val="0"/>
              <w:snapToGrid w:val="0"/>
              <w:spacing w:line="360" w:lineRule="auto"/>
              <w:ind w:left="0" w:leftChars="0" w:right="0" w:firstLine="480" w:firstLineChars="200"/>
              <w:rPr>
                <w:rFonts w:hint="default" w:ascii="Times New Roman" w:hAnsi="Times New Roman" w:eastAsia="宋体" w:cs="Times New Roman"/>
                <w:b w:val="0"/>
                <w:color w:val="auto"/>
                <w:sz w:val="24"/>
                <w:szCs w:val="24"/>
                <w:highlight w:val="none"/>
                <w:lang w:val="en-US" w:eastAsia="zh-CN"/>
              </w:rPr>
            </w:pPr>
            <w:r>
              <w:rPr>
                <w:rFonts w:hint="default" w:ascii="Times New Roman" w:hAnsi="Times New Roman" w:eastAsia="宋体" w:cs="Times New Roman"/>
                <w:b w:val="0"/>
                <w:color w:val="auto"/>
                <w:sz w:val="24"/>
                <w:szCs w:val="24"/>
                <w:highlight w:val="none"/>
                <w:lang w:val="en-US" w:eastAsia="zh-CN"/>
              </w:rPr>
              <w:t>本项目</w:t>
            </w:r>
            <w:r>
              <w:rPr>
                <w:rFonts w:hint="default" w:ascii="Times New Roman" w:hAnsi="Times New Roman" w:cs="Times New Roman"/>
                <w:b w:val="0"/>
                <w:color w:val="auto"/>
                <w:sz w:val="24"/>
                <w:szCs w:val="24"/>
                <w:highlight w:val="none"/>
                <w:lang w:val="en-US" w:eastAsia="zh-CN"/>
              </w:rPr>
              <w:t>不新增劳动</w:t>
            </w:r>
            <w:r>
              <w:rPr>
                <w:rFonts w:hint="default" w:ascii="Times New Roman" w:hAnsi="Times New Roman" w:eastAsia="宋体" w:cs="Times New Roman"/>
                <w:b w:val="0"/>
                <w:color w:val="auto"/>
                <w:sz w:val="24"/>
                <w:szCs w:val="24"/>
                <w:highlight w:val="none"/>
                <w:lang w:val="en-US" w:eastAsia="zh-CN"/>
              </w:rPr>
              <w:t>定员</w:t>
            </w:r>
            <w:r>
              <w:rPr>
                <w:rFonts w:hint="default" w:ascii="Times New Roman" w:hAnsi="Times New Roman" w:cs="Times New Roman"/>
                <w:b w:val="0"/>
                <w:color w:val="auto"/>
                <w:sz w:val="24"/>
                <w:szCs w:val="24"/>
                <w:highlight w:val="none"/>
                <w:lang w:val="en-US" w:eastAsia="zh-CN"/>
              </w:rPr>
              <w:t>，无生活污水产生</w:t>
            </w:r>
            <w:r>
              <w:rPr>
                <w:rFonts w:hint="default" w:ascii="Times New Roman" w:hAnsi="Times New Roman" w:eastAsia="宋体" w:cs="Times New Roman"/>
                <w:b w:val="0"/>
                <w:color w:val="auto"/>
                <w:sz w:val="24"/>
                <w:szCs w:val="24"/>
                <w:highlight w:val="none"/>
                <w:lang w:val="en-US" w:eastAsia="zh-CN"/>
              </w:rPr>
              <w:t>。</w:t>
            </w:r>
          </w:p>
          <w:p w14:paraId="7D978DE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6</w:t>
            </w:r>
            <w:r>
              <w:rPr>
                <w:rFonts w:hint="default" w:ascii="Times New Roman" w:hAnsi="Times New Roman" w:eastAsia="宋体" w:cs="Times New Roman"/>
                <w:b/>
                <w:bCs w:val="0"/>
                <w:color w:val="auto"/>
                <w:sz w:val="24"/>
                <w:szCs w:val="24"/>
                <w:highlight w:val="none"/>
                <w:lang w:val="en-US" w:eastAsia="zh-CN"/>
              </w:rPr>
              <w:t>.2</w:t>
            </w:r>
            <w:r>
              <w:rPr>
                <w:rFonts w:hint="default" w:ascii="Times New Roman" w:hAnsi="Times New Roman" w:eastAsia="宋体" w:cs="Times New Roman"/>
                <w:b/>
                <w:bCs w:val="0"/>
                <w:color w:val="auto"/>
                <w:sz w:val="24"/>
                <w:szCs w:val="24"/>
                <w:highlight w:val="none"/>
              </w:rPr>
              <w:t>生产用水</w:t>
            </w:r>
          </w:p>
          <w:p w14:paraId="242BBE0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本项目生产用水</w:t>
            </w:r>
            <w:r>
              <w:rPr>
                <w:rFonts w:hint="default" w:ascii="Times New Roman" w:hAnsi="Times New Roman" w:eastAsia="宋体" w:cs="Times New Roman"/>
                <w:bCs/>
                <w:color w:val="auto"/>
                <w:sz w:val="24"/>
                <w:szCs w:val="24"/>
                <w:highlight w:val="none"/>
                <w:lang w:val="en-US" w:eastAsia="zh-CN"/>
              </w:rPr>
              <w:t>主要</w:t>
            </w:r>
            <w:r>
              <w:rPr>
                <w:rFonts w:hint="default" w:ascii="Times New Roman" w:hAnsi="Times New Roman" w:eastAsia="宋体" w:cs="Times New Roman"/>
                <w:bCs/>
                <w:color w:val="auto"/>
                <w:sz w:val="24"/>
                <w:szCs w:val="24"/>
                <w:highlight w:val="none"/>
              </w:rPr>
              <w:t>为</w:t>
            </w:r>
            <w:r>
              <w:rPr>
                <w:rFonts w:hint="default" w:ascii="Times New Roman" w:hAnsi="Times New Roman" w:eastAsia="宋体" w:cs="Times New Roman"/>
                <w:bCs/>
                <w:color w:val="auto"/>
                <w:sz w:val="24"/>
                <w:szCs w:val="24"/>
                <w:highlight w:val="none"/>
                <w:lang w:val="en-US" w:eastAsia="zh-CN"/>
              </w:rPr>
              <w:t>聚乙烯制品冷却</w:t>
            </w:r>
            <w:r>
              <w:rPr>
                <w:rFonts w:hint="default" w:ascii="Times New Roman" w:hAnsi="Times New Roman" w:eastAsia="宋体" w:cs="Times New Roman"/>
                <w:bCs/>
                <w:color w:val="auto"/>
                <w:sz w:val="24"/>
                <w:szCs w:val="24"/>
                <w:highlight w:val="none"/>
              </w:rPr>
              <w:t>用水，年用水量约</w:t>
            </w:r>
            <w:r>
              <w:rPr>
                <w:rFonts w:hint="default" w:ascii="Times New Roman" w:hAnsi="Times New Roman" w:eastAsia="宋体" w:cs="Times New Roman"/>
                <w:bCs/>
                <w:color w:val="auto"/>
                <w:sz w:val="24"/>
                <w:szCs w:val="24"/>
                <w:highlight w:val="none"/>
                <w:lang w:val="en-US" w:eastAsia="zh-CN"/>
              </w:rPr>
              <w:t>100</w:t>
            </w:r>
            <w:r>
              <w:rPr>
                <w:rFonts w:hint="default" w:ascii="Times New Roman" w:hAnsi="Times New Roman" w:eastAsia="宋体" w:cs="Times New Roman"/>
                <w:bCs/>
                <w:color w:val="auto"/>
                <w:sz w:val="24"/>
                <w:szCs w:val="24"/>
                <w:highlight w:val="none"/>
              </w:rPr>
              <w:t>m</w:t>
            </w:r>
            <w:r>
              <w:rPr>
                <w:rFonts w:hint="default" w:ascii="Times New Roman" w:hAnsi="Times New Roman" w:eastAsia="宋体" w:cs="Times New Roman"/>
                <w:bCs/>
                <w:color w:val="auto"/>
                <w:sz w:val="24"/>
                <w:szCs w:val="24"/>
                <w:highlight w:val="none"/>
                <w:vertAlign w:val="superscript"/>
              </w:rPr>
              <w:t>3</w:t>
            </w:r>
            <w:r>
              <w:rPr>
                <w:rFonts w:hint="default" w:ascii="Times New Roman" w:hAnsi="Times New Roman" w:eastAsia="宋体" w:cs="Times New Roman"/>
                <w:bCs/>
                <w:color w:val="auto"/>
                <w:sz w:val="24"/>
                <w:szCs w:val="24"/>
                <w:highlight w:val="none"/>
              </w:rPr>
              <w:t>/a。</w:t>
            </w:r>
          </w:p>
          <w:p w14:paraId="247DFD6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val="0"/>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lang w:val="en-US" w:eastAsia="zh-CN"/>
              </w:rPr>
              <w:t>劳动定员及工作制度</w:t>
            </w:r>
          </w:p>
          <w:p w14:paraId="69DC3EDB">
            <w:pPr>
              <w:keepNext w:val="0"/>
              <w:keepLines w:val="0"/>
              <w:pageBreakBefore w:val="0"/>
              <w:widowControl w:val="0"/>
              <w:kinsoku/>
              <w:wordWrap/>
              <w:overflowPunct/>
              <w:topLinePunct w:val="0"/>
              <w:autoSpaceDE w:val="0"/>
              <w:autoSpaceDN w:val="0"/>
              <w:bidi w:val="0"/>
              <w:spacing w:line="360" w:lineRule="auto"/>
              <w:ind w:left="0" w:leftChars="0" w:right="0" w:firstLine="456" w:firstLineChars="200"/>
              <w:textAlignment w:val="auto"/>
              <w:rPr>
                <w:rFonts w:hint="default" w:ascii="Times New Roman" w:hAnsi="Times New Roman"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rPr>
              <w:t>本项目</w:t>
            </w:r>
            <w:r>
              <w:rPr>
                <w:rFonts w:hint="default" w:ascii="Times New Roman" w:hAnsi="Times New Roman" w:cs="Times New Roman"/>
                <w:b w:val="0"/>
                <w:color w:val="auto"/>
                <w:sz w:val="24"/>
                <w:szCs w:val="24"/>
                <w:highlight w:val="none"/>
                <w:lang w:val="en-US" w:eastAsia="zh-CN"/>
              </w:rPr>
              <w:t>不新增劳动</w:t>
            </w:r>
            <w:r>
              <w:rPr>
                <w:rFonts w:hint="default" w:ascii="Times New Roman" w:hAnsi="Times New Roman" w:eastAsia="宋体" w:cs="Times New Roman"/>
                <w:b w:val="0"/>
                <w:color w:val="auto"/>
                <w:sz w:val="24"/>
                <w:szCs w:val="24"/>
                <w:highlight w:val="none"/>
                <w:lang w:val="en-US" w:eastAsia="zh-CN"/>
              </w:rPr>
              <w:t>定员</w:t>
            </w:r>
            <w:r>
              <w:rPr>
                <w:rFonts w:hint="default" w:ascii="Times New Roman" w:hAnsi="Times New Roman" w:cs="Times New Roman"/>
                <w:b w:val="0"/>
                <w:color w:val="auto"/>
                <w:sz w:val="24"/>
                <w:szCs w:val="24"/>
                <w:highlight w:val="none"/>
                <w:lang w:val="en-US" w:eastAsia="zh-CN"/>
              </w:rPr>
              <w:t>，依托现有</w:t>
            </w:r>
            <w:r>
              <w:rPr>
                <w:rFonts w:hint="default" w:ascii="Times New Roman" w:hAnsi="Times New Roman" w:cs="Times New Roman"/>
                <w:color w:val="auto"/>
                <w:sz w:val="24"/>
                <w:szCs w:val="24"/>
                <w:highlight w:val="none"/>
              </w:rPr>
              <w:t>劳动定</w:t>
            </w:r>
            <w:r>
              <w:rPr>
                <w:rFonts w:hint="default" w:ascii="Times New Roman" w:hAnsi="Times New Roman" w:cs="Times New Roman"/>
                <w:color w:val="auto"/>
                <w:sz w:val="24"/>
                <w:szCs w:val="24"/>
                <w:highlight w:val="none"/>
                <w:lang w:val="en-US" w:eastAsia="zh-CN"/>
              </w:rPr>
              <w:t>员</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pacing w:val="4"/>
                <w:sz w:val="24"/>
                <w:szCs w:val="24"/>
                <w:highlight w:val="none"/>
              </w:rPr>
              <w:t>工作天数为</w:t>
            </w:r>
            <w:r>
              <w:rPr>
                <w:rFonts w:hint="default" w:ascii="Times New Roman" w:hAnsi="Times New Roman" w:cs="Times New Roman"/>
                <w:color w:val="auto"/>
                <w:spacing w:val="4"/>
                <w:sz w:val="24"/>
                <w:szCs w:val="24"/>
                <w:highlight w:val="none"/>
                <w:lang w:val="en-US" w:eastAsia="zh-CN"/>
              </w:rPr>
              <w:t>300</w:t>
            </w:r>
            <w:r>
              <w:rPr>
                <w:rFonts w:hint="default" w:ascii="Times New Roman" w:hAnsi="Times New Roman" w:cs="Times New Roman"/>
                <w:color w:val="auto"/>
                <w:spacing w:val="4"/>
                <w:sz w:val="24"/>
                <w:szCs w:val="24"/>
                <w:highlight w:val="none"/>
              </w:rPr>
              <w:t>天</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rPr>
              <w:t>采用</w:t>
            </w:r>
            <w:r>
              <w:rPr>
                <w:rFonts w:hint="default" w:ascii="Times New Roman" w:hAnsi="Times New Roman" w:cs="Times New Roman"/>
                <w:color w:val="auto"/>
                <w:spacing w:val="4"/>
                <w:sz w:val="24"/>
                <w:szCs w:val="24"/>
                <w:highlight w:val="none"/>
                <w:lang w:val="en-US" w:eastAsia="zh-CN"/>
              </w:rPr>
              <w:t>1</w:t>
            </w:r>
            <w:r>
              <w:rPr>
                <w:rFonts w:hint="default" w:ascii="Times New Roman" w:hAnsi="Times New Roman" w:cs="Times New Roman"/>
                <w:color w:val="auto"/>
                <w:spacing w:val="4"/>
                <w:sz w:val="24"/>
                <w:szCs w:val="24"/>
                <w:highlight w:val="none"/>
              </w:rPr>
              <w:t>班制</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rPr>
              <w:t>每班8小时</w:t>
            </w:r>
            <w:r>
              <w:rPr>
                <w:rFonts w:hint="default" w:ascii="Times New Roman" w:hAnsi="Times New Roman" w:cs="Times New Roman"/>
                <w:color w:val="auto"/>
                <w:spacing w:val="4"/>
                <w:sz w:val="24"/>
                <w:szCs w:val="24"/>
                <w:highlight w:val="none"/>
                <w:lang w:eastAsia="zh-CN"/>
              </w:rPr>
              <w:t>，</w:t>
            </w:r>
            <w:r>
              <w:rPr>
                <w:rFonts w:hint="default" w:ascii="Times New Roman" w:hAnsi="Times New Roman" w:cs="Times New Roman"/>
                <w:color w:val="auto"/>
                <w:spacing w:val="4"/>
                <w:sz w:val="24"/>
                <w:szCs w:val="24"/>
                <w:highlight w:val="none"/>
                <w:lang w:val="en-US" w:eastAsia="zh-CN"/>
              </w:rPr>
              <w:t>年工作2400h</w:t>
            </w:r>
            <w:r>
              <w:rPr>
                <w:rFonts w:hint="default" w:ascii="Times New Roman" w:hAnsi="Times New Roman" w:cs="Times New Roman"/>
                <w:color w:val="auto"/>
                <w:spacing w:val="-6"/>
                <w:sz w:val="24"/>
                <w:szCs w:val="24"/>
                <w:highlight w:val="none"/>
                <w:lang w:val="en-US" w:eastAsia="zh-CN"/>
              </w:rPr>
              <w:t>。</w:t>
            </w:r>
          </w:p>
          <w:p w14:paraId="03BDB6C6">
            <w:pPr>
              <w:keepNext w:val="0"/>
              <w:keepLines w:val="0"/>
              <w:pageBreakBefore w:val="0"/>
              <w:widowControl w:val="0"/>
              <w:kinsoku/>
              <w:wordWrap/>
              <w:overflowPunct/>
              <w:topLinePunct w:val="0"/>
              <w:autoSpaceDE w:val="0"/>
              <w:autoSpaceDN w:val="0"/>
              <w:bidi w:val="0"/>
              <w:spacing w:line="360" w:lineRule="auto"/>
              <w:ind w:right="0"/>
              <w:textAlignment w:val="auto"/>
              <w:rPr>
                <w:rFonts w:hint="default" w:ascii="Times New Roman" w:hAnsi="Times New Roman" w:cs="Times New Roman"/>
                <w:b/>
                <w:bCs/>
                <w:color w:val="auto"/>
                <w:sz w:val="24"/>
                <w:szCs w:val="22"/>
                <w:highlight w:val="none"/>
                <w:lang w:val="en-US" w:eastAsia="zh-CN"/>
              </w:rPr>
            </w:pPr>
            <w:r>
              <w:rPr>
                <w:rFonts w:hint="default" w:ascii="Times New Roman" w:hAnsi="Times New Roman" w:cs="Times New Roman"/>
                <w:b/>
                <w:bCs/>
                <w:color w:val="auto"/>
                <w:sz w:val="24"/>
                <w:szCs w:val="22"/>
                <w:highlight w:val="none"/>
                <w:lang w:val="en-US" w:eastAsia="zh-CN"/>
              </w:rPr>
              <w:t>8.平面布置</w:t>
            </w:r>
          </w:p>
          <w:p w14:paraId="3E82B5CE">
            <w:pPr>
              <w:keepLines w:val="0"/>
              <w:pageBreakBefore w:val="0"/>
              <w:numPr>
                <w:ilvl w:val="0"/>
                <w:numId w:val="0"/>
              </w:numPr>
              <w:kinsoku/>
              <w:wordWrap/>
              <w:overflowPunct/>
              <w:topLinePunct w:val="0"/>
              <w:bidi w:val="0"/>
              <w:adjustRightInd w:val="0"/>
              <w:snapToGrid w:val="0"/>
              <w:spacing w:line="360" w:lineRule="auto"/>
              <w:ind w:left="0" w:leftChars="0" w:right="0" w:firstLine="480" w:firstLineChars="20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 w:val="24"/>
                <w:szCs w:val="22"/>
                <w:highlight w:val="none"/>
                <w:lang w:val="en-US" w:eastAsia="zh-CN"/>
              </w:rPr>
              <w:t>项目位于昌吉市六工镇新疆凯狮威塑业有限责任公司厂区内，新疆凯狮威塑业有限责任公司现已建设多栋厂房，主要为经营滴灌带及其他塑料制品的生产。本项目位于新疆凯狮威塑业有限责任公司北侧。厂区功能分区明确，建、构筑物布置满足相关规范要求，工艺简洁流畅，物料输送距离最短，运行管理便捷，满足生产、消防等要求，土地利用率高。项目所在区域主导风向为西南风，项目周围保护目标位于项目区西侧，处于侧风向，布局合理。详见厂区平面布置图3。</w:t>
            </w:r>
          </w:p>
        </w:tc>
      </w:tr>
      <w:tr w14:paraId="06D76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4" w:type="dxa"/>
            <w:tcBorders>
              <w:tl2br w:val="nil"/>
              <w:tr2bl w:val="nil"/>
            </w:tcBorders>
            <w:noWrap w:val="0"/>
            <w:vAlign w:val="center"/>
          </w:tcPr>
          <w:p w14:paraId="20DF825B">
            <w:pPr>
              <w:pStyle w:val="22"/>
              <w:keepLines w:val="0"/>
              <w:pageBreakBefore w:val="0"/>
              <w:kinsoku/>
              <w:wordWrap/>
              <w:overflowPunct/>
              <w:topLinePunct w:val="0"/>
              <w:bidi w:val="0"/>
              <w:adjustRightInd w:val="0"/>
              <w:snapToGrid w:val="0"/>
              <w:spacing w:before="0" w:beforeAutospacing="0" w:after="0" w:afterAutospacing="0"/>
              <w:ind w:left="0" w:leftChars="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4"/>
                <w:szCs w:val="24"/>
                <w:highlight w:val="none"/>
              </w:rPr>
              <w:t>工艺流程和产排污环节</w:t>
            </w:r>
          </w:p>
        </w:tc>
        <w:tc>
          <w:tcPr>
            <w:tcW w:w="8068" w:type="dxa"/>
            <w:tcBorders>
              <w:tl2br w:val="nil"/>
              <w:tr2bl w:val="nil"/>
            </w:tcBorders>
            <w:noWrap w:val="0"/>
            <w:vAlign w:val="top"/>
          </w:tcPr>
          <w:p w14:paraId="1D070253">
            <w:pPr>
              <w:keepNext w:val="0"/>
              <w:keepLines w:val="0"/>
              <w:pageBreakBefore w:val="0"/>
              <w:widowControl w:val="0"/>
              <w:numPr>
                <w:ilvl w:val="0"/>
                <w:numId w:val="0"/>
              </w:numPr>
              <w:kinsoku/>
              <w:wordWrap/>
              <w:overflowPunct/>
              <w:topLinePunct w:val="0"/>
              <w:bidi w:val="0"/>
              <w:spacing w:line="360" w:lineRule="auto"/>
              <w:ind w:right="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1.生产工艺流程</w:t>
            </w:r>
          </w:p>
          <w:p w14:paraId="48B8D483">
            <w:pPr>
              <w:pStyle w:val="1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本项目地膜生产利用新购聚乙烯颗粒料经塑化挤出机生产为农用地膜，运营期生产工艺流程及产污情况见图2-2。</w:t>
            </w:r>
          </w:p>
          <w:p w14:paraId="7983B681">
            <w:pPr>
              <w:pStyle w:val="31"/>
              <w:keepLines w:val="0"/>
              <w:pageBreakBefore w:val="0"/>
              <w:kinsoku/>
              <w:wordWrap/>
              <w:overflowPunct/>
              <w:topLinePunct w:val="0"/>
              <w:bidi w:val="0"/>
              <w:ind w:left="0" w:leftChars="0" w:right="0"/>
              <w:jc w:val="center"/>
              <w:rPr>
                <w:rFonts w:hint="default" w:ascii="Times New Roman" w:hAnsi="Times New Roman" w:eastAsia="黑体" w:cs="Times New Roman"/>
                <w:color w:val="auto"/>
                <w:highlight w:val="none"/>
                <w:lang w:eastAsia="zh-CN"/>
              </w:rPr>
            </w:pPr>
            <w:r>
              <w:rPr>
                <w:rFonts w:hint="default" w:ascii="Times New Roman" w:hAnsi="Times New Roman" w:cs="Times New Roman"/>
                <w:color w:val="auto"/>
                <w:highlight w:val="none"/>
              </w:rPr>
              <w:drawing>
                <wp:inline distT="0" distB="0" distL="114300" distR="114300">
                  <wp:extent cx="4862830" cy="2414270"/>
                  <wp:effectExtent l="0" t="0" r="13970" b="508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0"/>
                          <a:stretch>
                            <a:fillRect/>
                          </a:stretch>
                        </pic:blipFill>
                        <pic:spPr>
                          <a:xfrm>
                            <a:off x="0" y="0"/>
                            <a:ext cx="4862830" cy="2414270"/>
                          </a:xfrm>
                          <a:prstGeom prst="rect">
                            <a:avLst/>
                          </a:prstGeom>
                          <a:noFill/>
                          <a:ln>
                            <a:noFill/>
                          </a:ln>
                        </pic:spPr>
                      </pic:pic>
                    </a:graphicData>
                  </a:graphic>
                </wp:inline>
              </w:drawing>
            </w:r>
          </w:p>
          <w:p w14:paraId="5F0CED45">
            <w:pPr>
              <w:keepLines w:val="0"/>
              <w:pageBreakBefore w:val="0"/>
              <w:kinsoku/>
              <w:wordWrap/>
              <w:overflowPunct/>
              <w:topLinePunct w:val="0"/>
              <w:bidi w:val="0"/>
              <w:spacing w:line="360" w:lineRule="auto"/>
              <w:ind w:left="0" w:leftChars="0" w:right="0" w:firstLine="482" w:firstLineChars="200"/>
              <w:jc w:val="center"/>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图2-</w:t>
            </w:r>
            <w:r>
              <w:rPr>
                <w:rFonts w:hint="eastAsia" w:ascii="Times New Roman" w:hAnsi="Times New Roman" w:cs="Times New Roman"/>
                <w:b/>
                <w:bCs/>
                <w:color w:val="auto"/>
                <w:sz w:val="24"/>
                <w:highlight w:val="none"/>
                <w:lang w:val="en-US" w:eastAsia="zh-CN"/>
              </w:rPr>
              <w:t xml:space="preserve">1   </w:t>
            </w:r>
            <w:r>
              <w:rPr>
                <w:rFonts w:hint="default" w:ascii="Times New Roman" w:hAnsi="Times New Roman" w:cs="Times New Roman"/>
                <w:b/>
                <w:bCs/>
                <w:color w:val="auto"/>
                <w:sz w:val="24"/>
                <w:highlight w:val="none"/>
                <w:lang w:val="en-US" w:eastAsia="zh-CN"/>
              </w:rPr>
              <w:t>生产工艺流程及产污环节图</w:t>
            </w:r>
          </w:p>
          <w:p w14:paraId="04202D33">
            <w:pPr>
              <w:keepLines w:val="0"/>
              <w:pageBreakBefore w:val="0"/>
              <w:kinsoku/>
              <w:wordWrap/>
              <w:overflowPunct/>
              <w:topLinePunct w:val="0"/>
              <w:bidi w:val="0"/>
              <w:spacing w:line="360" w:lineRule="auto"/>
              <w:ind w:left="0" w:leftChars="0" w:right="0" w:firstLine="482" w:firstLineChars="20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工艺流程简述：</w:t>
            </w:r>
          </w:p>
          <w:p w14:paraId="72D88899">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（1）混料</w:t>
            </w:r>
          </w:p>
          <w:p w14:paraId="47413D94">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将新购买的聚乙烯颗粒料及抗老化剂按照配比混合搅拌均匀，由螺旋上料机送至</w:t>
            </w:r>
            <w:r>
              <w:rPr>
                <w:rFonts w:hint="default" w:ascii="Times New Roman" w:hAnsi="Times New Roman" w:cs="Times New Roman"/>
                <w:color w:val="auto"/>
                <w:sz w:val="24"/>
                <w:szCs w:val="24"/>
                <w:highlight w:val="none"/>
                <w:lang w:eastAsia="zh-CN"/>
              </w:rPr>
              <w:t>地模</w:t>
            </w:r>
            <w:r>
              <w:rPr>
                <w:rFonts w:hint="default" w:ascii="Times New Roman" w:hAnsi="Times New Roman" w:cs="Times New Roman"/>
                <w:color w:val="auto"/>
                <w:sz w:val="24"/>
                <w:szCs w:val="24"/>
                <w:highlight w:val="none"/>
              </w:rPr>
              <w:t>挤出机的上料斗。</w:t>
            </w:r>
          </w:p>
          <w:p w14:paraId="536672ED">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val="en-US" w:eastAsia="zh-CN"/>
              </w:rPr>
              <w:t>吹塑成型、</w:t>
            </w:r>
            <w:r>
              <w:rPr>
                <w:rFonts w:hint="default" w:ascii="Times New Roman" w:hAnsi="Times New Roman" w:cs="Times New Roman"/>
                <w:color w:val="auto"/>
                <w:sz w:val="24"/>
                <w:szCs w:val="24"/>
                <w:highlight w:val="none"/>
              </w:rPr>
              <w:t>卷绕、测压、切割检验</w:t>
            </w:r>
          </w:p>
          <w:p w14:paraId="618DBB6B">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混合料经均料器均匀地进入地膜挤出机挤出吹塑成型为地膜产品，经卷绕、测压、切割检验后成品入库外售，不合格产品及边角料回至生产线工序重复利用。</w:t>
            </w:r>
          </w:p>
          <w:p w14:paraId="3A5C1CE3">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textAlignment w:val="auto"/>
              <w:rPr>
                <w:rFonts w:hint="default" w:ascii="Times New Roman" w:hAnsi="Times New Roman"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eastAsia="zh-CN"/>
              </w:rPr>
              <w:t>产排污环节</w:t>
            </w:r>
          </w:p>
          <w:p w14:paraId="6A1E5177">
            <w:pPr>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2.1</w:t>
            </w:r>
            <w:r>
              <w:rPr>
                <w:rFonts w:hint="default" w:ascii="Times New Roman" w:hAnsi="Times New Roman" w:cs="Times New Roman"/>
                <w:b/>
                <w:bCs w:val="0"/>
                <w:color w:val="auto"/>
                <w:sz w:val="24"/>
                <w:szCs w:val="24"/>
                <w:highlight w:val="none"/>
              </w:rPr>
              <w:t>废气</w:t>
            </w:r>
          </w:p>
          <w:p w14:paraId="18016BEC">
            <w:pPr>
              <w:pStyle w:val="6"/>
              <w:keepLines w:val="0"/>
              <w:pageBreakBefore w:val="0"/>
              <w:widowControl w:val="0"/>
              <w:tabs>
                <w:tab w:val="left" w:pos="425"/>
              </w:tabs>
              <w:kinsoku/>
              <w:wordWrap/>
              <w:overflowPunct/>
              <w:topLinePunct w:val="0"/>
              <w:autoSpaceDE/>
              <w:autoSpaceDN/>
              <w:bidi w:val="0"/>
              <w:spacing w:before="0" w:after="0" w:line="360" w:lineRule="auto"/>
              <w:ind w:left="0" w:leftChars="0" w:right="0"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本项目聚乙烯熔融搅拌、挤出过程原料在受热的情况下，会产生VOCs（以非甲烷总烃计）挥发到空气中，主要污染因子为非甲烷总烃。</w:t>
            </w:r>
          </w:p>
          <w:p w14:paraId="3F645EB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2.2</w:t>
            </w:r>
            <w:r>
              <w:rPr>
                <w:rFonts w:hint="default" w:ascii="Times New Roman" w:hAnsi="Times New Roman" w:cs="Times New Roman"/>
                <w:b/>
                <w:bCs w:val="0"/>
                <w:color w:val="auto"/>
                <w:sz w:val="24"/>
                <w:szCs w:val="24"/>
                <w:highlight w:val="none"/>
              </w:rPr>
              <w:t>废水</w:t>
            </w:r>
          </w:p>
          <w:p w14:paraId="3CE5AD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firstLine="480" w:firstLineChars="200"/>
              <w:textAlignment w:val="auto"/>
              <w:rPr>
                <w:rStyle w:val="27"/>
                <w:rFonts w:hint="default" w:ascii="Times New Roman" w:hAnsi="Times New Roman" w:eastAsia="宋体" w:cs="Times New Roman"/>
                <w:b w:val="0"/>
                <w:bCs/>
                <w:i w:val="0"/>
                <w:caps w:val="0"/>
                <w:color w:val="auto"/>
                <w:spacing w:val="0"/>
                <w:sz w:val="24"/>
                <w:szCs w:val="24"/>
                <w:highlight w:val="none"/>
                <w:shd w:val="clear" w:color="auto" w:fill="FFFFFF"/>
                <w:lang w:val="en-US" w:eastAsia="zh-CN"/>
              </w:rPr>
            </w:pPr>
            <w:r>
              <w:rPr>
                <w:rStyle w:val="27"/>
                <w:rFonts w:hint="default" w:ascii="Times New Roman" w:hAnsi="Times New Roman" w:cs="Times New Roman"/>
                <w:b w:val="0"/>
                <w:bCs/>
                <w:i w:val="0"/>
                <w:caps w:val="0"/>
                <w:color w:val="auto"/>
                <w:spacing w:val="0"/>
                <w:sz w:val="24"/>
                <w:szCs w:val="24"/>
                <w:highlight w:val="none"/>
                <w:shd w:val="clear" w:color="auto" w:fill="FFFFFF"/>
                <w:lang w:val="en-US" w:eastAsia="zh-CN"/>
              </w:rPr>
              <w:t>冷却水循环使用无废水产生</w:t>
            </w:r>
            <w:r>
              <w:rPr>
                <w:rStyle w:val="27"/>
                <w:rFonts w:hint="default" w:ascii="Times New Roman" w:hAnsi="Times New Roman" w:eastAsia="宋体" w:cs="Times New Roman"/>
                <w:b w:val="0"/>
                <w:bCs/>
                <w:i w:val="0"/>
                <w:caps w:val="0"/>
                <w:color w:val="auto"/>
                <w:spacing w:val="0"/>
                <w:sz w:val="24"/>
                <w:szCs w:val="24"/>
                <w:highlight w:val="none"/>
                <w:shd w:val="clear" w:color="auto" w:fill="FFFFFF"/>
                <w:lang w:val="en-US" w:eastAsia="zh-CN"/>
              </w:rPr>
              <w:t>。</w:t>
            </w:r>
          </w:p>
          <w:p w14:paraId="6DF3432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2.3</w:t>
            </w:r>
            <w:r>
              <w:rPr>
                <w:rFonts w:hint="default" w:ascii="Times New Roman" w:hAnsi="Times New Roman" w:cs="Times New Roman"/>
                <w:b/>
                <w:bCs w:val="0"/>
                <w:color w:val="auto"/>
                <w:sz w:val="24"/>
                <w:szCs w:val="24"/>
                <w:highlight w:val="none"/>
              </w:rPr>
              <w:t>噪声</w:t>
            </w:r>
          </w:p>
          <w:p w14:paraId="5386210F">
            <w:pPr>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lang w:val="en-US" w:eastAsia="zh-CN"/>
              </w:rPr>
              <w:t>本项目运营期的噪声主要来源于生产设备运行产生的噪声，其源强为65-90dB（A）。</w:t>
            </w:r>
          </w:p>
          <w:p w14:paraId="3239462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2.4</w:t>
            </w:r>
            <w:r>
              <w:rPr>
                <w:rFonts w:hint="default" w:ascii="Times New Roman" w:hAnsi="Times New Roman" w:cs="Times New Roman"/>
                <w:b/>
                <w:bCs w:val="0"/>
                <w:color w:val="auto"/>
                <w:sz w:val="24"/>
                <w:szCs w:val="24"/>
                <w:highlight w:val="none"/>
              </w:rPr>
              <w:t>固体废物</w:t>
            </w:r>
          </w:p>
          <w:p w14:paraId="5583BFBA">
            <w:pPr>
              <w:pStyle w:val="55"/>
              <w:keepNext w:val="0"/>
              <w:keepLines w:val="0"/>
              <w:pageBreakBefore w:val="0"/>
              <w:widowControl w:val="0"/>
              <w:kinsoku/>
              <w:wordWrap/>
              <w:overflowPunct/>
              <w:topLinePunct w:val="0"/>
              <w:autoSpaceDE/>
              <w:autoSpaceDN/>
              <w:bidi w:val="0"/>
              <w:adjustRightInd/>
              <w:snapToGrid w:val="0"/>
              <w:spacing w:line="360" w:lineRule="auto"/>
              <w:ind w:left="0" w:leftChars="0" w:right="0" w:firstLine="482"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（1）一般固体废物</w:t>
            </w:r>
          </w:p>
          <w:p w14:paraId="309BE0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snapToGrid w:val="0"/>
                <w:color w:val="auto"/>
                <w:kern w:val="2"/>
                <w:sz w:val="24"/>
                <w:szCs w:val="24"/>
                <w:highlight w:val="none"/>
                <w:lang w:val="en-US" w:eastAsia="zh-CN" w:bidi="ar-SA"/>
              </w:rPr>
            </w:pPr>
            <w:r>
              <w:rPr>
                <w:rFonts w:hint="default" w:ascii="Times New Roman" w:hAnsi="Times New Roman" w:eastAsia="宋体" w:cs="Times New Roman"/>
                <w:snapToGrid w:val="0"/>
                <w:color w:val="auto"/>
                <w:kern w:val="2"/>
                <w:sz w:val="24"/>
                <w:szCs w:val="24"/>
                <w:highlight w:val="none"/>
                <w:lang w:val="en-US" w:eastAsia="zh-CN" w:bidi="ar-SA"/>
              </w:rPr>
              <w:t>本项目生产固废主要包括一般不合格产品、切割的边角料。</w:t>
            </w:r>
          </w:p>
          <w:p w14:paraId="30281C10">
            <w:pPr>
              <w:pStyle w:val="55"/>
              <w:keepNext w:val="0"/>
              <w:keepLines w:val="0"/>
              <w:pageBreakBefore w:val="0"/>
              <w:widowControl w:val="0"/>
              <w:kinsoku/>
              <w:wordWrap/>
              <w:overflowPunct/>
              <w:topLinePunct w:val="0"/>
              <w:autoSpaceDE/>
              <w:autoSpaceDN/>
              <w:bidi w:val="0"/>
              <w:adjustRightInd/>
              <w:snapToGrid w:val="0"/>
              <w:spacing w:line="360" w:lineRule="auto"/>
              <w:ind w:left="0" w:leftChars="0" w:right="0" w:firstLine="482"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val="0"/>
                <w:color w:val="auto"/>
                <w:kern w:val="2"/>
                <w:sz w:val="24"/>
                <w:szCs w:val="24"/>
                <w:highlight w:val="none"/>
                <w:lang w:val="en-US" w:eastAsia="zh-CN" w:bidi="ar-SA"/>
              </w:rPr>
              <w:t>（2）危险废物</w:t>
            </w:r>
          </w:p>
          <w:p w14:paraId="69DEFB72">
            <w:pPr>
              <w:pStyle w:val="55"/>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jc w:val="both"/>
              <w:textAlignment w:val="auto"/>
              <w:rPr>
                <w:rFonts w:hint="default" w:ascii="Times New Roman" w:hAnsi="Times New Roman" w:eastAsia="宋体" w:cs="Times New Roman"/>
                <w:b w:val="0"/>
                <w:bCs/>
                <w:snapToGrid w:val="0"/>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lang w:val="en-US" w:eastAsia="zh-CN"/>
              </w:rPr>
              <w:t>废活性炭：</w:t>
            </w:r>
            <w:r>
              <w:rPr>
                <w:rFonts w:hint="default" w:ascii="Times New Roman" w:hAnsi="Times New Roman" w:cs="Times New Roman"/>
                <w:b w:val="0"/>
                <w:bCs/>
                <w:color w:val="auto"/>
                <w:sz w:val="24"/>
                <w:highlight w:val="none"/>
                <w:lang w:val="en-US" w:eastAsia="zh-CN"/>
              </w:rPr>
              <w:t>本项目生产工序产生的VOCs（以非甲烷总烃计）采用活性炭吸附，脱附后进入催化燃烧装置进行处理，活性炭吸附饱和后需进行更换，将会产生废活性炭。</w:t>
            </w:r>
          </w:p>
          <w:p w14:paraId="653C8950">
            <w:pPr>
              <w:pStyle w:val="55"/>
              <w:keepNext w:val="0"/>
              <w:keepLines w:val="0"/>
              <w:pageBreakBefore w:val="0"/>
              <w:widowControl w:val="0"/>
              <w:kinsoku/>
              <w:wordWrap/>
              <w:overflowPunct/>
              <w:topLinePunct w:val="0"/>
              <w:autoSpaceDE/>
              <w:autoSpaceDN/>
              <w:bidi w:val="0"/>
              <w:adjustRightInd/>
              <w:snapToGrid w:val="0"/>
              <w:spacing w:line="360" w:lineRule="auto"/>
              <w:ind w:left="0" w:leftChars="0" w:right="0"/>
              <w:jc w:val="both"/>
              <w:textAlignment w:val="auto"/>
              <w:rPr>
                <w:rFonts w:hint="default" w:ascii="Times New Roman" w:hAnsi="Times New Roman" w:cs="Times New Roman"/>
                <w:color w:val="auto"/>
                <w:highlight w:val="none"/>
                <w:lang w:eastAsia="zh-CN"/>
              </w:rPr>
            </w:pPr>
            <w:r>
              <w:rPr>
                <w:rFonts w:hint="default" w:ascii="Times New Roman" w:hAnsi="Times New Roman" w:eastAsia="宋体" w:cs="Times New Roman"/>
                <w:b w:val="0"/>
                <w:bCs/>
                <w:color w:val="auto"/>
                <w:sz w:val="24"/>
                <w:szCs w:val="24"/>
                <w:highlight w:val="none"/>
                <w:lang w:val="en-US" w:eastAsia="zh-CN"/>
              </w:rPr>
              <w:t>废机油：本项目生产过程中机械设备维护产生的废机油属于危险废物。</w:t>
            </w:r>
          </w:p>
        </w:tc>
      </w:tr>
      <w:tr w14:paraId="0061C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4" w:type="dxa"/>
            <w:tcBorders>
              <w:tl2br w:val="nil"/>
              <w:tr2bl w:val="nil"/>
            </w:tcBorders>
            <w:noWrap w:val="0"/>
            <w:vAlign w:val="center"/>
          </w:tcPr>
          <w:p w14:paraId="6C5825E8">
            <w:pPr>
              <w:pStyle w:val="22"/>
              <w:keepLines w:val="0"/>
              <w:pageBreakBefore w:val="0"/>
              <w:kinsoku/>
              <w:wordWrap/>
              <w:overflowPunct/>
              <w:topLinePunct w:val="0"/>
              <w:bidi w:val="0"/>
              <w:adjustRightInd w:val="0"/>
              <w:snapToGrid w:val="0"/>
              <w:spacing w:before="0" w:beforeAutospacing="0" w:after="0" w:afterAutospacing="0"/>
              <w:ind w:left="0" w:leftChars="0" w:right="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2"/>
                <w:sz w:val="24"/>
                <w:szCs w:val="24"/>
                <w:highlight w:val="none"/>
              </w:rPr>
              <w:t>与项目有关的原有环境污染问题</w:t>
            </w:r>
          </w:p>
        </w:tc>
        <w:tc>
          <w:tcPr>
            <w:tcW w:w="8068" w:type="dxa"/>
            <w:tcBorders>
              <w:tl2br w:val="nil"/>
              <w:tr2bl w:val="nil"/>
            </w:tcBorders>
            <w:noWrap w:val="0"/>
            <w:vAlign w:val="center"/>
          </w:tcPr>
          <w:p w14:paraId="3F929E4F">
            <w:pPr>
              <w:keepNext w:val="0"/>
              <w:keepLines w:val="0"/>
              <w:pageBreakBefore w:val="0"/>
              <w:widowControl w:val="0"/>
              <w:kinsoku/>
              <w:wordWrap/>
              <w:overflowPunct/>
              <w:topLinePunct w:val="0"/>
              <w:bidi w:val="0"/>
              <w:spacing w:line="360" w:lineRule="auto"/>
              <w:ind w:right="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原有项目环保手续履行情况</w:t>
            </w:r>
          </w:p>
          <w:p w14:paraId="7197AC72">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经实地调查，本项目建设</w:t>
            </w:r>
            <w:r>
              <w:rPr>
                <w:rFonts w:hint="default" w:ascii="Times New Roman" w:hAnsi="Times New Roman" w:eastAsia="宋体" w:cs="Times New Roman"/>
                <w:color w:val="auto"/>
                <w:sz w:val="24"/>
                <w:szCs w:val="24"/>
                <w:highlight w:val="none"/>
                <w:lang w:eastAsia="zh-CN"/>
              </w:rPr>
              <w:t>地点</w:t>
            </w:r>
            <w:r>
              <w:rPr>
                <w:rFonts w:hint="default" w:ascii="Times New Roman" w:hAnsi="Times New Roman" w:eastAsia="宋体" w:cs="Times New Roman"/>
                <w:color w:val="auto"/>
                <w:sz w:val="24"/>
                <w:szCs w:val="24"/>
                <w:highlight w:val="none"/>
              </w:rPr>
              <w:t>位于</w:t>
            </w:r>
            <w:r>
              <w:rPr>
                <w:rFonts w:hint="default" w:ascii="Times New Roman" w:hAnsi="Times New Roman" w:eastAsia="宋体" w:cs="Times New Roman"/>
                <w:color w:val="auto"/>
                <w:sz w:val="24"/>
                <w:szCs w:val="24"/>
                <w:highlight w:val="none"/>
                <w:lang w:val="en-US" w:eastAsia="zh-CN"/>
              </w:rPr>
              <w:t>昌吉市六工镇</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厂区内</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项目选址为</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内西北侧未利用空地。</w:t>
            </w:r>
          </w:p>
          <w:p w14:paraId="3316E0BE">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2010年，新疆凯狮威塑业有限责任公司以《新疆凯狮威塑业有限责任公司节水管材建设项目环境影响报告表的批复》（昌市环管字﹝2010﹞178号）通过原昌吉市环境保护局审批。</w:t>
            </w:r>
          </w:p>
          <w:p w14:paraId="586AC209">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2014年，新疆凯狮威塑业有限责任公司以《关于新疆凯狮威塑业有限责任公司节水管材建设项目环境保护验收的意见》（昌市环验函字﹝2014﹞083号）通过竣工环保验收。</w:t>
            </w:r>
          </w:p>
          <w:p w14:paraId="38C468F8">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2018年12月19日，</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以《关于</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增加建设PE生产线项目环境影响报告表的批复》（昌市环管字﹝2018﹞14号）通过原昌吉市环境保护局审批。</w:t>
            </w:r>
          </w:p>
          <w:p w14:paraId="3D89F831">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2019年8月，</w:t>
            </w: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对该项目开展自主验收，并通过验收合格。</w:t>
            </w:r>
          </w:p>
          <w:p w14:paraId="443535D8">
            <w:pPr>
              <w:keepLines w:val="0"/>
              <w:pageBreakBefore w:val="0"/>
              <w:kinsoku/>
              <w:wordWrap/>
              <w:overflowPunct/>
              <w:topLinePunct w:val="0"/>
              <w:bidi w:val="0"/>
              <w:spacing w:line="360" w:lineRule="auto"/>
              <w:ind w:left="0" w:leftChars="0" w:right="0"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2023年5月25日</w:t>
            </w:r>
            <w:r>
              <w:rPr>
                <w:rFonts w:hint="default" w:ascii="Times New Roman" w:hAnsi="Times New Roman" w:cs="Times New Roman"/>
                <w:color w:val="auto"/>
                <w:sz w:val="24"/>
                <w:szCs w:val="24"/>
                <w:highlight w:val="none"/>
                <w:lang w:val="en-US" w:eastAsia="zh-CN"/>
              </w:rPr>
              <w:t>取得</w:t>
            </w:r>
            <w:r>
              <w:rPr>
                <w:rFonts w:hint="default" w:ascii="Times New Roman" w:hAnsi="Times New Roman" w:cs="Times New Roman"/>
                <w:color w:val="auto"/>
                <w:sz w:val="24"/>
                <w:szCs w:val="36"/>
                <w:highlight w:val="none"/>
              </w:rPr>
              <w:t>关于对</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新疆凯狮威塑业有限责任公司残膜回收造粒项目</w:t>
            </w:r>
            <w:r>
              <w:rPr>
                <w:rFonts w:hint="default" w:ascii="Times New Roman" w:hAnsi="Times New Roman" w:cs="Times New Roman"/>
                <w:color w:val="auto"/>
                <w:sz w:val="24"/>
                <w:szCs w:val="24"/>
                <w:highlight w:val="none"/>
              </w:rPr>
              <w:t>环境影响报告书》的批复，</w:t>
            </w:r>
            <w:r>
              <w:rPr>
                <w:rFonts w:hint="default" w:ascii="Times New Roman" w:hAnsi="Times New Roman" w:cs="Times New Roman"/>
                <w:color w:val="auto"/>
                <w:sz w:val="24"/>
                <w:szCs w:val="24"/>
                <w:highlight w:val="none"/>
                <w:lang w:eastAsia="zh-CN"/>
              </w:rPr>
              <w:t>昌州环评〔2023〕73号</w:t>
            </w:r>
            <w:r>
              <w:rPr>
                <w:rFonts w:hint="default" w:ascii="Times New Roman" w:hAnsi="Times New Roman" w:cs="Times New Roman"/>
                <w:color w:val="auto"/>
                <w:sz w:val="24"/>
                <w:szCs w:val="24"/>
                <w:highlight w:val="none"/>
              </w:rPr>
              <w:t>；</w:t>
            </w:r>
          </w:p>
          <w:p w14:paraId="707EF812">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2023年12月31日</w:t>
            </w:r>
            <w:r>
              <w:rPr>
                <w:rFonts w:hint="default" w:ascii="Times New Roman" w:hAnsi="Times New Roman" w:cs="Times New Roman"/>
                <w:color w:val="auto"/>
                <w:sz w:val="24"/>
                <w:szCs w:val="24"/>
                <w:highlight w:val="none"/>
                <w:lang w:val="en-US" w:eastAsia="zh-CN"/>
              </w:rPr>
              <w:t>取得</w:t>
            </w:r>
            <w:r>
              <w:rPr>
                <w:rFonts w:hint="default" w:ascii="Times New Roman" w:hAnsi="Times New Roman" w:cs="Times New Roman"/>
                <w:color w:val="auto"/>
                <w:sz w:val="24"/>
                <w:szCs w:val="36"/>
                <w:highlight w:val="none"/>
              </w:rPr>
              <w:t>对</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新疆凯狮威塑业有限责任公司残膜回收造粒项目</w:t>
            </w:r>
            <w:r>
              <w:rPr>
                <w:rFonts w:hint="default" w:ascii="Times New Roman" w:hAnsi="Times New Roman" w:cs="Times New Roman"/>
                <w:color w:val="auto"/>
                <w:sz w:val="24"/>
                <w:szCs w:val="24"/>
                <w:highlight w:val="none"/>
              </w:rPr>
              <w:t>环境影响报告书》</w:t>
            </w:r>
            <w:r>
              <w:rPr>
                <w:rFonts w:hint="default" w:ascii="Times New Roman" w:hAnsi="Times New Roman" w:eastAsia="宋体" w:cs="Times New Roman"/>
                <w:color w:val="auto"/>
                <w:sz w:val="24"/>
                <w:szCs w:val="24"/>
                <w:highlight w:val="none"/>
                <w:lang w:val="en-US" w:eastAsia="zh-CN"/>
              </w:rPr>
              <w:t>开展自主验收，并通过验收合格。</w:t>
            </w:r>
          </w:p>
          <w:p w14:paraId="44F46149">
            <w:pPr>
              <w:keepNext w:val="0"/>
              <w:keepLines w:val="0"/>
              <w:pageBreakBefore w:val="0"/>
              <w:widowControl w:val="0"/>
              <w:kinsoku/>
              <w:wordWrap/>
              <w:overflowPunct/>
              <w:topLinePunct w:val="0"/>
              <w:bidi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新疆凯狮威塑业有限责任公司</w:t>
            </w:r>
            <w:r>
              <w:rPr>
                <w:rFonts w:hint="default" w:ascii="Times New Roman" w:hAnsi="Times New Roman" w:eastAsia="宋体" w:cs="Times New Roman"/>
                <w:color w:val="auto"/>
                <w:sz w:val="24"/>
                <w:szCs w:val="24"/>
                <w:highlight w:val="none"/>
                <w:lang w:val="en-US" w:eastAsia="zh-CN"/>
              </w:rPr>
              <w:t>于2020年6月8日在全国排污许可证管理信息平台进行登记，2020年10月27日进行变更，最终取得登记回执，登记编号为92652301556466017A001X。</w:t>
            </w:r>
          </w:p>
          <w:p w14:paraId="6BC74855">
            <w:pPr>
              <w:adjustRightInd/>
              <w:snapToGrid/>
              <w:spacing w:after="0" w:line="360" w:lineRule="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rPr>
              <w:t>2.2</w:t>
            </w:r>
            <w:r>
              <w:rPr>
                <w:rFonts w:hint="default" w:ascii="Times New Roman" w:hAnsi="Times New Roman" w:cs="Times New Roman"/>
                <w:b/>
                <w:color w:val="auto"/>
                <w:sz w:val="24"/>
                <w:szCs w:val="24"/>
                <w:highlight w:val="none"/>
                <w:lang w:val="en-US" w:eastAsia="zh-CN"/>
              </w:rPr>
              <w:t>现有</w:t>
            </w:r>
            <w:r>
              <w:rPr>
                <w:rFonts w:hint="default" w:ascii="Times New Roman" w:hAnsi="Times New Roman" w:eastAsia="宋体" w:cs="Times New Roman"/>
                <w:b/>
                <w:color w:val="auto"/>
                <w:sz w:val="24"/>
                <w:szCs w:val="24"/>
                <w:highlight w:val="none"/>
                <w:lang w:val="en-US" w:eastAsia="zh-CN"/>
              </w:rPr>
              <w:t>工程</w:t>
            </w:r>
            <w:r>
              <w:rPr>
                <w:rFonts w:hint="default" w:ascii="Times New Roman" w:hAnsi="Times New Roman" w:eastAsia="宋体" w:cs="Times New Roman"/>
                <w:b/>
                <w:color w:val="auto"/>
                <w:sz w:val="24"/>
                <w:szCs w:val="24"/>
                <w:highlight w:val="none"/>
              </w:rPr>
              <w:t>建设</w:t>
            </w:r>
            <w:r>
              <w:rPr>
                <w:rFonts w:hint="default" w:ascii="Times New Roman" w:hAnsi="Times New Roman" w:eastAsia="宋体" w:cs="Times New Roman"/>
                <w:b/>
                <w:color w:val="auto"/>
                <w:sz w:val="24"/>
                <w:szCs w:val="24"/>
                <w:highlight w:val="none"/>
                <w:lang w:val="en-US" w:eastAsia="zh-CN"/>
              </w:rPr>
              <w:t>情况</w:t>
            </w:r>
          </w:p>
          <w:p w14:paraId="6BEE6559">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auto"/>
              <w:rPr>
                <w:rFonts w:hint="default" w:ascii="Times New Roman" w:hAnsi="Times New Roman" w:eastAsia="宋体" w:cs="Times New Roman"/>
                <w:b/>
                <w:bCs/>
                <w:color w:val="auto"/>
                <w:kern w:val="2"/>
                <w:sz w:val="24"/>
                <w:szCs w:val="24"/>
                <w:highlight w:val="none"/>
                <w:lang w:val="en-US" w:eastAsia="zh-CN"/>
              </w:rPr>
            </w:pPr>
            <w:r>
              <w:rPr>
                <w:rFonts w:hint="default" w:ascii="Times New Roman" w:hAnsi="Times New Roman" w:eastAsia="宋体" w:cs="Times New Roman"/>
                <w:b/>
                <w:bCs/>
                <w:color w:val="auto"/>
                <w:kern w:val="2"/>
                <w:sz w:val="24"/>
                <w:szCs w:val="24"/>
                <w:highlight w:val="none"/>
                <w:lang w:val="en-US" w:eastAsia="zh-CN"/>
              </w:rPr>
              <w:t>2.2.1</w:t>
            </w:r>
            <w:r>
              <w:rPr>
                <w:rFonts w:hint="default" w:ascii="Times New Roman" w:hAnsi="Times New Roman" w:cs="Times New Roman"/>
                <w:b/>
                <w:bCs/>
                <w:color w:val="auto"/>
                <w:sz w:val="24"/>
                <w:szCs w:val="24"/>
                <w:highlight w:val="none"/>
                <w:lang w:val="en-US" w:eastAsia="zh-CN"/>
              </w:rPr>
              <w:t>现有</w:t>
            </w:r>
            <w:r>
              <w:rPr>
                <w:rFonts w:hint="default" w:ascii="Times New Roman" w:hAnsi="Times New Roman" w:eastAsia="宋体" w:cs="Times New Roman"/>
                <w:b/>
                <w:bCs/>
                <w:color w:val="auto"/>
                <w:sz w:val="24"/>
                <w:szCs w:val="24"/>
                <w:highlight w:val="none"/>
                <w:lang w:val="en-US" w:eastAsia="zh-CN"/>
              </w:rPr>
              <w:t>工程</w:t>
            </w:r>
            <w:r>
              <w:rPr>
                <w:rFonts w:hint="default" w:ascii="Times New Roman" w:hAnsi="Times New Roman" w:eastAsia="宋体" w:cs="Times New Roman"/>
                <w:b/>
                <w:bCs/>
                <w:color w:val="auto"/>
                <w:sz w:val="24"/>
                <w:szCs w:val="24"/>
                <w:highlight w:val="none"/>
              </w:rPr>
              <w:t>建设</w:t>
            </w:r>
            <w:r>
              <w:rPr>
                <w:rFonts w:hint="default" w:ascii="Times New Roman" w:hAnsi="Times New Roman" w:eastAsia="宋体" w:cs="Times New Roman"/>
                <w:b/>
                <w:bCs/>
                <w:color w:val="auto"/>
                <w:sz w:val="24"/>
                <w:szCs w:val="24"/>
                <w:highlight w:val="none"/>
                <w:lang w:val="en-US" w:eastAsia="zh-CN"/>
              </w:rPr>
              <w:t>内容</w:t>
            </w:r>
          </w:p>
          <w:p w14:paraId="163A9499">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新疆凯狮威塑业有限责任公司</w:t>
            </w:r>
            <w:r>
              <w:rPr>
                <w:rFonts w:hint="default" w:ascii="Times New Roman" w:hAnsi="Times New Roman" w:cs="Times New Roman"/>
                <w:color w:val="auto"/>
                <w:sz w:val="24"/>
                <w:szCs w:val="24"/>
                <w:highlight w:val="none"/>
                <w:lang w:val="en-US" w:eastAsia="zh-CN"/>
              </w:rPr>
              <w:t>成立于2010年，占地面积40000m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val="en-US" w:eastAsia="zh-CN"/>
              </w:rPr>
              <w:t>，建设生产车间3栋，</w:t>
            </w:r>
            <w:r>
              <w:rPr>
                <w:rFonts w:hint="default" w:ascii="Times New Roman" w:hAnsi="Times New Roman" w:eastAsia="宋体" w:cs="Times New Roman"/>
                <w:color w:val="auto"/>
                <w:sz w:val="24"/>
                <w:szCs w:val="24"/>
                <w:highlight w:val="none"/>
                <w:lang w:val="en-US" w:eastAsia="zh-CN"/>
              </w:rPr>
              <w:t>原料库房、成品库房各1栋，现有项目建设规模为：6条PVC管生产线，年产PVC管1100t；PE农膜生产线13条，年产PE农膜2000t；PE管生产线6条，年产PE管1000t/a，造粒生产线4条，项目建成后年加工废旧塑料5000t</w:t>
            </w:r>
            <w:r>
              <w:rPr>
                <w:rFonts w:hint="default" w:ascii="Times New Roman" w:hAnsi="Times New Roman" w:cs="Times New Roman"/>
                <w:color w:val="auto"/>
                <w:sz w:val="24"/>
                <w:szCs w:val="24"/>
                <w:highlight w:val="none"/>
                <w:lang w:val="en-US" w:eastAsia="zh-CN"/>
              </w:rPr>
              <w:t>/a，生产的再生颗粒全部外售</w:t>
            </w:r>
            <w:r>
              <w:rPr>
                <w:rFonts w:hint="default" w:ascii="Times New Roman" w:hAnsi="Times New Roman" w:eastAsia="宋体" w:cs="Times New Roman"/>
                <w:color w:val="auto"/>
                <w:sz w:val="24"/>
                <w:szCs w:val="24"/>
                <w:highlight w:val="none"/>
                <w:lang w:val="en-US" w:eastAsia="zh-CN"/>
              </w:rPr>
              <w:t>。</w:t>
            </w:r>
          </w:p>
          <w:p w14:paraId="327B56DD">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现有项目组成见下表。</w:t>
            </w:r>
          </w:p>
          <w:p w14:paraId="732442FF">
            <w:pPr>
              <w:pStyle w:val="31"/>
              <w:jc w:val="center"/>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
                <w:bCs/>
                <w:snapToGrid w:val="0"/>
                <w:color w:val="auto"/>
                <w:sz w:val="21"/>
                <w:szCs w:val="21"/>
                <w:highlight w:val="none"/>
                <w:lang w:val="en-US" w:eastAsia="zh-CN" w:bidi="ar-SA"/>
              </w:rPr>
              <w:t>表</w:t>
            </w:r>
            <w:r>
              <w:rPr>
                <w:rFonts w:hint="eastAsia" w:cs="Times New Roman"/>
                <w:b/>
                <w:bCs/>
                <w:snapToGrid w:val="0"/>
                <w:color w:val="auto"/>
                <w:sz w:val="21"/>
                <w:szCs w:val="21"/>
                <w:highlight w:val="none"/>
                <w:lang w:val="en-US" w:eastAsia="zh-CN" w:bidi="ar-SA"/>
              </w:rPr>
              <w:t>2-5</w:t>
            </w:r>
            <w:r>
              <w:rPr>
                <w:rFonts w:hint="default" w:ascii="Times New Roman" w:hAnsi="Times New Roman" w:eastAsia="宋体" w:cs="Times New Roman"/>
                <w:b/>
                <w:bCs/>
                <w:snapToGrid w:val="0"/>
                <w:color w:val="auto"/>
                <w:sz w:val="21"/>
                <w:szCs w:val="21"/>
                <w:highlight w:val="none"/>
                <w:lang w:val="en-US" w:eastAsia="zh-CN" w:bidi="ar-SA"/>
              </w:rPr>
              <w:t xml:space="preserve">   项目组成表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2"/>
              <w:gridCol w:w="544"/>
              <w:gridCol w:w="940"/>
              <w:gridCol w:w="4031"/>
              <w:gridCol w:w="1595"/>
            </w:tblGrid>
            <w:tr w14:paraId="0B65B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tcBorders>
                    <w:bottom w:val="single" w:color="auto" w:sz="12" w:space="0"/>
                  </w:tcBorders>
                  <w:noWrap w:val="0"/>
                  <w:vAlign w:val="center"/>
                </w:tcPr>
                <w:p w14:paraId="5D92AB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类别</w:t>
                  </w:r>
                </w:p>
              </w:tc>
              <w:tc>
                <w:tcPr>
                  <w:tcW w:w="1484" w:type="dxa"/>
                  <w:gridSpan w:val="2"/>
                  <w:tcBorders>
                    <w:bottom w:val="single" w:color="auto" w:sz="12" w:space="0"/>
                  </w:tcBorders>
                  <w:noWrap w:val="0"/>
                  <w:vAlign w:val="center"/>
                </w:tcPr>
                <w:p w14:paraId="6FF8F4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项目</w:t>
                  </w:r>
                </w:p>
              </w:tc>
              <w:tc>
                <w:tcPr>
                  <w:tcW w:w="4032" w:type="dxa"/>
                  <w:tcBorders>
                    <w:bottom w:val="single" w:color="auto" w:sz="12" w:space="0"/>
                  </w:tcBorders>
                  <w:noWrap w:val="0"/>
                  <w:vAlign w:val="center"/>
                </w:tcPr>
                <w:p w14:paraId="40E41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建设内容</w:t>
                  </w:r>
                </w:p>
              </w:tc>
              <w:tc>
                <w:tcPr>
                  <w:tcW w:w="1595" w:type="dxa"/>
                  <w:tcBorders>
                    <w:bottom w:val="single" w:color="auto" w:sz="12" w:space="0"/>
                  </w:tcBorders>
                  <w:noWrap w:val="0"/>
                  <w:vAlign w:val="center"/>
                </w:tcPr>
                <w:p w14:paraId="3FDF0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备注</w:t>
                  </w:r>
                </w:p>
              </w:tc>
            </w:tr>
            <w:tr w14:paraId="157E6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restart"/>
                  <w:tcBorders>
                    <w:top w:val="single" w:color="auto" w:sz="12" w:space="0"/>
                    <w:tl2br w:val="nil"/>
                    <w:tr2bl w:val="nil"/>
                  </w:tcBorders>
                  <w:noWrap w:val="0"/>
                  <w:vAlign w:val="center"/>
                </w:tcPr>
                <w:p w14:paraId="57F98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主体工程</w:t>
                  </w:r>
                </w:p>
              </w:tc>
              <w:tc>
                <w:tcPr>
                  <w:tcW w:w="1484" w:type="dxa"/>
                  <w:gridSpan w:val="2"/>
                  <w:tcBorders>
                    <w:top w:val="single" w:color="auto" w:sz="12" w:space="0"/>
                    <w:tl2br w:val="nil"/>
                    <w:tr2bl w:val="nil"/>
                  </w:tcBorders>
                  <w:noWrap w:val="0"/>
                  <w:vAlign w:val="center"/>
                </w:tcPr>
                <w:p w14:paraId="60396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PVC管车间</w:t>
                  </w:r>
                </w:p>
              </w:tc>
              <w:tc>
                <w:tcPr>
                  <w:tcW w:w="4032" w:type="dxa"/>
                  <w:tcBorders>
                    <w:top w:val="single" w:color="auto" w:sz="12" w:space="0"/>
                    <w:tl2br w:val="nil"/>
                    <w:tr2bl w:val="nil"/>
                  </w:tcBorders>
                  <w:noWrap w:val="0"/>
                  <w:vAlign w:val="center"/>
                </w:tcPr>
                <w:p w14:paraId="5770876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建筑面积1000m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，年产PVC管1100t</w:t>
                  </w:r>
                </w:p>
              </w:tc>
              <w:tc>
                <w:tcPr>
                  <w:tcW w:w="1595" w:type="dxa"/>
                  <w:tcBorders>
                    <w:top w:val="single" w:color="auto" w:sz="12" w:space="0"/>
                    <w:tl2br w:val="nil"/>
                    <w:tr2bl w:val="nil"/>
                  </w:tcBorders>
                  <w:noWrap w:val="0"/>
                  <w:vAlign w:val="center"/>
                </w:tcPr>
                <w:p w14:paraId="680942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41F8B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621233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72CCF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PE农膜车间</w:t>
                  </w:r>
                </w:p>
              </w:tc>
              <w:tc>
                <w:tcPr>
                  <w:tcW w:w="4032" w:type="dxa"/>
                  <w:tcBorders>
                    <w:tl2br w:val="nil"/>
                    <w:tr2bl w:val="nil"/>
                  </w:tcBorders>
                  <w:noWrap w:val="0"/>
                  <w:vAlign w:val="center"/>
                </w:tcPr>
                <w:p w14:paraId="7E52816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建筑面积1000m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，年产PE农膜2000t</w:t>
                  </w:r>
                </w:p>
              </w:tc>
              <w:tc>
                <w:tcPr>
                  <w:tcW w:w="1595" w:type="dxa"/>
                  <w:tcBorders>
                    <w:tl2br w:val="nil"/>
                    <w:tr2bl w:val="nil"/>
                  </w:tcBorders>
                  <w:noWrap w:val="0"/>
                  <w:vAlign w:val="center"/>
                </w:tcPr>
                <w:p w14:paraId="245416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35A6B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42" w:type="dxa"/>
                  <w:vMerge w:val="continue"/>
                  <w:tcBorders>
                    <w:tl2br w:val="nil"/>
                    <w:tr2bl w:val="nil"/>
                  </w:tcBorders>
                  <w:noWrap w:val="0"/>
                  <w:vAlign w:val="center"/>
                </w:tcPr>
                <w:p w14:paraId="0A79D4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6A82EC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PE管车间</w:t>
                  </w:r>
                </w:p>
              </w:tc>
              <w:tc>
                <w:tcPr>
                  <w:tcW w:w="4032" w:type="dxa"/>
                  <w:tcBorders>
                    <w:tl2br w:val="nil"/>
                    <w:tr2bl w:val="nil"/>
                  </w:tcBorders>
                  <w:noWrap w:val="0"/>
                  <w:vAlign w:val="center"/>
                </w:tcPr>
                <w:p w14:paraId="598170E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建筑面积1000m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，年产PE管1000t</w:t>
                  </w:r>
                </w:p>
              </w:tc>
              <w:tc>
                <w:tcPr>
                  <w:tcW w:w="1595" w:type="dxa"/>
                  <w:tcBorders>
                    <w:tl2br w:val="nil"/>
                    <w:tr2bl w:val="nil"/>
                  </w:tcBorders>
                  <w:noWrap w:val="0"/>
                  <w:vAlign w:val="center"/>
                </w:tcPr>
                <w:p w14:paraId="39AE70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6E10B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42" w:type="dxa"/>
                  <w:vMerge w:val="continue"/>
                  <w:tcBorders>
                    <w:tl2br w:val="nil"/>
                    <w:tr2bl w:val="nil"/>
                  </w:tcBorders>
                  <w:noWrap w:val="0"/>
                  <w:vAlign w:val="center"/>
                </w:tcPr>
                <w:p w14:paraId="5FC26D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7457F7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造粒车间</w:t>
                  </w:r>
                </w:p>
              </w:tc>
              <w:tc>
                <w:tcPr>
                  <w:tcW w:w="4032" w:type="dxa"/>
                  <w:tcBorders>
                    <w:tl2br w:val="nil"/>
                    <w:tr2bl w:val="nil"/>
                  </w:tcBorders>
                  <w:noWrap w:val="0"/>
                  <w:vAlign w:val="center"/>
                </w:tcPr>
                <w:p w14:paraId="5545ADF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造粒生产线4条，项目建成后年加工废旧塑料5000t</w:t>
                  </w:r>
                </w:p>
              </w:tc>
              <w:tc>
                <w:tcPr>
                  <w:tcW w:w="1595" w:type="dxa"/>
                  <w:tcBorders>
                    <w:tl2br w:val="nil"/>
                    <w:tr2bl w:val="nil"/>
                  </w:tcBorders>
                  <w:noWrap w:val="0"/>
                  <w:vAlign w:val="center"/>
                </w:tcPr>
                <w:p w14:paraId="6CBF9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2023年建设</w:t>
                  </w:r>
                </w:p>
              </w:tc>
            </w:tr>
            <w:tr w14:paraId="16AB5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2" w:type="dxa"/>
                  <w:vMerge w:val="restart"/>
                  <w:tcBorders>
                    <w:tl2br w:val="nil"/>
                    <w:tr2bl w:val="nil"/>
                  </w:tcBorders>
                  <w:noWrap w:val="0"/>
                  <w:vAlign w:val="center"/>
                </w:tcPr>
                <w:p w14:paraId="00FA3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辅助工程</w:t>
                  </w:r>
                </w:p>
              </w:tc>
              <w:tc>
                <w:tcPr>
                  <w:tcW w:w="1484" w:type="dxa"/>
                  <w:gridSpan w:val="2"/>
                  <w:tcBorders>
                    <w:tl2br w:val="nil"/>
                    <w:tr2bl w:val="nil"/>
                  </w:tcBorders>
                  <w:noWrap w:val="0"/>
                  <w:vAlign w:val="center"/>
                </w:tcPr>
                <w:p w14:paraId="48577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原料库房</w:t>
                  </w:r>
                </w:p>
              </w:tc>
              <w:tc>
                <w:tcPr>
                  <w:tcW w:w="4032" w:type="dxa"/>
                  <w:tcBorders>
                    <w:tl2br w:val="nil"/>
                    <w:tr2bl w:val="nil"/>
                  </w:tcBorders>
                  <w:noWrap w:val="0"/>
                  <w:vAlign w:val="center"/>
                </w:tcPr>
                <w:p w14:paraId="38F048E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建筑面积500m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，原材料仓储</w:t>
                  </w:r>
                </w:p>
              </w:tc>
              <w:tc>
                <w:tcPr>
                  <w:tcW w:w="1595" w:type="dxa"/>
                  <w:tcBorders>
                    <w:tl2br w:val="nil"/>
                    <w:tr2bl w:val="nil"/>
                  </w:tcBorders>
                  <w:noWrap w:val="0"/>
                  <w:vAlign w:val="center"/>
                </w:tcPr>
                <w:p w14:paraId="31CA2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499EB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5DA1AD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40312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成品库房</w:t>
                  </w:r>
                </w:p>
              </w:tc>
              <w:tc>
                <w:tcPr>
                  <w:tcW w:w="4032" w:type="dxa"/>
                  <w:tcBorders>
                    <w:tl2br w:val="nil"/>
                    <w:tr2bl w:val="nil"/>
                  </w:tcBorders>
                  <w:noWrap w:val="0"/>
                  <w:vAlign w:val="center"/>
                </w:tcPr>
                <w:p w14:paraId="7955528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建筑面积1000m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，产品临时仓储</w:t>
                  </w:r>
                </w:p>
              </w:tc>
              <w:tc>
                <w:tcPr>
                  <w:tcW w:w="1595" w:type="dxa"/>
                  <w:tcBorders>
                    <w:tl2br w:val="nil"/>
                    <w:tr2bl w:val="nil"/>
                  </w:tcBorders>
                  <w:noWrap w:val="0"/>
                  <w:vAlign w:val="center"/>
                </w:tcPr>
                <w:p w14:paraId="14D58D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020B73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46E60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4E6DDA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办公室</w:t>
                  </w:r>
                </w:p>
              </w:tc>
              <w:tc>
                <w:tcPr>
                  <w:tcW w:w="4032" w:type="dxa"/>
                  <w:tcBorders>
                    <w:tl2br w:val="nil"/>
                    <w:tr2bl w:val="nil"/>
                  </w:tcBorders>
                  <w:noWrap w:val="0"/>
                  <w:vAlign w:val="center"/>
                </w:tcPr>
                <w:p w14:paraId="2DB62A7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建筑面积1000m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，人员办公</w:t>
                  </w:r>
                </w:p>
              </w:tc>
              <w:tc>
                <w:tcPr>
                  <w:tcW w:w="1595" w:type="dxa"/>
                  <w:tcBorders>
                    <w:tl2br w:val="nil"/>
                    <w:tr2bl w:val="nil"/>
                  </w:tcBorders>
                  <w:noWrap w:val="0"/>
                  <w:vAlign w:val="center"/>
                </w:tcPr>
                <w:p w14:paraId="1047C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3C1A07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78FFEE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28E115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宿舍</w:t>
                  </w:r>
                </w:p>
              </w:tc>
              <w:tc>
                <w:tcPr>
                  <w:tcW w:w="4032" w:type="dxa"/>
                  <w:tcBorders>
                    <w:tl2br w:val="nil"/>
                    <w:tr2bl w:val="nil"/>
                  </w:tcBorders>
                  <w:noWrap w:val="0"/>
                  <w:vAlign w:val="center"/>
                </w:tcPr>
                <w:p w14:paraId="689BF25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建筑面积200m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vertAlign w:val="baseline"/>
                      <w:lang w:val="en-US" w:eastAsia="zh-CN"/>
                    </w:rPr>
                    <w:t>，职工住宿</w:t>
                  </w:r>
                </w:p>
              </w:tc>
              <w:tc>
                <w:tcPr>
                  <w:tcW w:w="1595" w:type="dxa"/>
                  <w:tcBorders>
                    <w:tl2br w:val="nil"/>
                    <w:tr2bl w:val="nil"/>
                  </w:tcBorders>
                  <w:noWrap w:val="0"/>
                  <w:vAlign w:val="center"/>
                </w:tcPr>
                <w:p w14:paraId="5A1D5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48DD0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restart"/>
                  <w:tcBorders>
                    <w:tl2br w:val="nil"/>
                    <w:tr2bl w:val="nil"/>
                  </w:tcBorders>
                  <w:noWrap w:val="0"/>
                  <w:vAlign w:val="center"/>
                </w:tcPr>
                <w:p w14:paraId="5DE2B7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公用工程</w:t>
                  </w:r>
                </w:p>
              </w:tc>
              <w:tc>
                <w:tcPr>
                  <w:tcW w:w="1484" w:type="dxa"/>
                  <w:gridSpan w:val="2"/>
                  <w:tcBorders>
                    <w:tl2br w:val="nil"/>
                    <w:tr2bl w:val="nil"/>
                  </w:tcBorders>
                  <w:noWrap w:val="0"/>
                  <w:vAlign w:val="center"/>
                </w:tcPr>
                <w:p w14:paraId="23C6F9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供电工程</w:t>
                  </w:r>
                </w:p>
              </w:tc>
              <w:tc>
                <w:tcPr>
                  <w:tcW w:w="4032" w:type="dxa"/>
                  <w:tcBorders>
                    <w:tl2br w:val="nil"/>
                    <w:tr2bl w:val="nil"/>
                  </w:tcBorders>
                  <w:noWrap w:val="0"/>
                  <w:vAlign w:val="center"/>
                </w:tcPr>
                <w:p w14:paraId="5696A65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接六工镇电网</w:t>
                  </w:r>
                </w:p>
              </w:tc>
              <w:tc>
                <w:tcPr>
                  <w:tcW w:w="1595" w:type="dxa"/>
                  <w:tcBorders>
                    <w:tl2br w:val="nil"/>
                    <w:tr2bl w:val="nil"/>
                  </w:tcBorders>
                  <w:noWrap w:val="0"/>
                  <w:vAlign w:val="center"/>
                </w:tcPr>
                <w:p w14:paraId="5B098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222C9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27C277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0AE4CC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供热工程</w:t>
                  </w:r>
                </w:p>
              </w:tc>
              <w:tc>
                <w:tcPr>
                  <w:tcW w:w="4032" w:type="dxa"/>
                  <w:tcBorders>
                    <w:tl2br w:val="nil"/>
                    <w:tr2bl w:val="nil"/>
                  </w:tcBorders>
                  <w:noWrap w:val="0"/>
                  <w:vAlign w:val="center"/>
                </w:tcPr>
                <w:p w14:paraId="6FB918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车间不需供暖，生活供暖采用电采暖</w:t>
                  </w:r>
                </w:p>
              </w:tc>
              <w:tc>
                <w:tcPr>
                  <w:tcW w:w="1595" w:type="dxa"/>
                  <w:tcBorders>
                    <w:tl2br w:val="nil"/>
                    <w:tr2bl w:val="nil"/>
                  </w:tcBorders>
                  <w:noWrap w:val="0"/>
                  <w:vAlign w:val="center"/>
                </w:tcPr>
                <w:p w14:paraId="47BF2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7FF10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49768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1EF3DB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供水工程</w:t>
                  </w:r>
                </w:p>
              </w:tc>
              <w:tc>
                <w:tcPr>
                  <w:tcW w:w="4032" w:type="dxa"/>
                  <w:tcBorders>
                    <w:tl2br w:val="nil"/>
                    <w:tr2bl w:val="nil"/>
                  </w:tcBorders>
                  <w:noWrap w:val="0"/>
                  <w:vAlign w:val="center"/>
                </w:tcPr>
                <w:p w14:paraId="25E5F9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接六工镇自来水</w:t>
                  </w:r>
                </w:p>
              </w:tc>
              <w:tc>
                <w:tcPr>
                  <w:tcW w:w="1595" w:type="dxa"/>
                  <w:tcBorders>
                    <w:tl2br w:val="nil"/>
                    <w:tr2bl w:val="nil"/>
                  </w:tcBorders>
                  <w:noWrap w:val="0"/>
                  <w:vAlign w:val="center"/>
                </w:tcPr>
                <w:p w14:paraId="38BCC0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0719FC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251E5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5E9BCB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排水工程</w:t>
                  </w:r>
                </w:p>
              </w:tc>
              <w:tc>
                <w:tcPr>
                  <w:tcW w:w="4032" w:type="dxa"/>
                  <w:tcBorders>
                    <w:tl2br w:val="nil"/>
                    <w:tr2bl w:val="nil"/>
                  </w:tcBorders>
                  <w:noWrap w:val="0"/>
                  <w:vAlign w:val="center"/>
                </w:tcPr>
                <w:p w14:paraId="5A4F90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生产用水为冷却水不排放，生活污水</w:t>
                  </w:r>
                </w:p>
              </w:tc>
              <w:tc>
                <w:tcPr>
                  <w:tcW w:w="1595" w:type="dxa"/>
                  <w:tcBorders>
                    <w:tl2br w:val="nil"/>
                    <w:tr2bl w:val="nil"/>
                  </w:tcBorders>
                  <w:noWrap w:val="0"/>
                  <w:vAlign w:val="center"/>
                </w:tcPr>
                <w:p w14:paraId="5427B5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w:t>
                  </w:r>
                </w:p>
              </w:tc>
            </w:tr>
            <w:tr w14:paraId="32E4D0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restart"/>
                  <w:tcBorders>
                    <w:tl2br w:val="nil"/>
                    <w:tr2bl w:val="nil"/>
                  </w:tcBorders>
                  <w:noWrap w:val="0"/>
                  <w:vAlign w:val="center"/>
                </w:tcPr>
                <w:p w14:paraId="6419EE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环保工程</w:t>
                  </w:r>
                </w:p>
              </w:tc>
              <w:tc>
                <w:tcPr>
                  <w:tcW w:w="544" w:type="dxa"/>
                  <w:vMerge w:val="restart"/>
                  <w:tcBorders>
                    <w:tl2br w:val="nil"/>
                    <w:tr2bl w:val="nil"/>
                  </w:tcBorders>
                  <w:noWrap w:val="0"/>
                  <w:vAlign w:val="center"/>
                </w:tcPr>
                <w:p w14:paraId="3E366D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废气</w:t>
                  </w:r>
                </w:p>
              </w:tc>
              <w:tc>
                <w:tcPr>
                  <w:tcW w:w="940" w:type="dxa"/>
                  <w:tcBorders>
                    <w:tl2br w:val="nil"/>
                    <w:tr2bl w:val="nil"/>
                  </w:tcBorders>
                  <w:noWrap w:val="0"/>
                  <w:vAlign w:val="center"/>
                </w:tcPr>
                <w:p w14:paraId="4F33FA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PVC管废气</w:t>
                  </w:r>
                </w:p>
              </w:tc>
              <w:tc>
                <w:tcPr>
                  <w:tcW w:w="4032" w:type="dxa"/>
                  <w:tcBorders>
                    <w:tl2br w:val="nil"/>
                    <w:tr2bl w:val="nil"/>
                  </w:tcBorders>
                  <w:noWrap w:val="0"/>
                  <w:vAlign w:val="center"/>
                </w:tcPr>
                <w:p w14:paraId="613546D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现有PVC管生产车间，PVC原料（粉料）投料采用封闭措施收集，粉尘以无组织形式扩散。熔融挤出废气采用集气罩+光氧催化处理后经15m高排气筒排放，排气筒编号为G</w:t>
                  </w:r>
                  <w:r>
                    <w:rPr>
                      <w:rFonts w:hint="default" w:ascii="Times New Roman" w:hAnsi="Times New Roman" w:eastAsia="宋体" w:cs="Times New Roman"/>
                      <w:bCs/>
                      <w:color w:val="auto"/>
                      <w:sz w:val="21"/>
                      <w:szCs w:val="21"/>
                      <w:highlight w:val="none"/>
                      <w:vertAlign w:val="subscript"/>
                      <w:lang w:val="en-US" w:eastAsia="zh-CN"/>
                    </w:rPr>
                    <w:t>1现有</w:t>
                  </w:r>
                  <w:r>
                    <w:rPr>
                      <w:rFonts w:hint="default" w:ascii="Times New Roman" w:hAnsi="Times New Roman" w:eastAsia="宋体" w:cs="Times New Roman"/>
                      <w:bCs/>
                      <w:color w:val="auto"/>
                      <w:sz w:val="21"/>
                      <w:szCs w:val="21"/>
                      <w:highlight w:val="none"/>
                      <w:vertAlign w:val="baseline"/>
                      <w:lang w:val="en-US" w:eastAsia="zh-CN"/>
                    </w:rPr>
                    <w:t>。</w:t>
                  </w:r>
                </w:p>
              </w:tc>
              <w:tc>
                <w:tcPr>
                  <w:tcW w:w="1595" w:type="dxa"/>
                  <w:tcBorders>
                    <w:tl2br w:val="nil"/>
                    <w:tr2bl w:val="nil"/>
                  </w:tcBorders>
                  <w:noWrap w:val="0"/>
                  <w:vAlign w:val="center"/>
                </w:tcPr>
                <w:p w14:paraId="1C278A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73AE5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2C49B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544" w:type="dxa"/>
                  <w:vMerge w:val="continue"/>
                  <w:tcBorders>
                    <w:tl2br w:val="nil"/>
                    <w:tr2bl w:val="nil"/>
                  </w:tcBorders>
                  <w:noWrap w:val="0"/>
                  <w:vAlign w:val="center"/>
                </w:tcPr>
                <w:p w14:paraId="7E3E6B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940" w:type="dxa"/>
                  <w:tcBorders>
                    <w:tl2br w:val="nil"/>
                    <w:tr2bl w:val="nil"/>
                  </w:tcBorders>
                  <w:noWrap w:val="0"/>
                  <w:vAlign w:val="center"/>
                </w:tcPr>
                <w:p w14:paraId="6EF521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PE农膜废气</w:t>
                  </w:r>
                </w:p>
              </w:tc>
              <w:tc>
                <w:tcPr>
                  <w:tcW w:w="4032" w:type="dxa"/>
                  <w:tcBorders>
                    <w:tl2br w:val="nil"/>
                    <w:tr2bl w:val="nil"/>
                  </w:tcBorders>
                  <w:noWrap w:val="0"/>
                  <w:vAlign w:val="center"/>
                </w:tcPr>
                <w:p w14:paraId="039B603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现有PE农膜车间仅设置8条农膜生产线，另外5条农膜生产线设置在PE管生产车间内，现有项目分别在这</w:t>
                  </w:r>
                  <w:r>
                    <w:rPr>
                      <w:rFonts w:hint="default" w:ascii="Times New Roman" w:hAnsi="Times New Roman" w:cs="Times New Roman"/>
                      <w:bCs/>
                      <w:color w:val="auto"/>
                      <w:sz w:val="21"/>
                      <w:szCs w:val="21"/>
                      <w:highlight w:val="none"/>
                      <w:vertAlign w:val="baseline"/>
                      <w:lang w:val="en-US" w:eastAsia="zh-CN"/>
                    </w:rPr>
                    <w:t>两个</w:t>
                  </w:r>
                  <w:r>
                    <w:rPr>
                      <w:rFonts w:hint="default" w:ascii="Times New Roman" w:hAnsi="Times New Roman" w:eastAsia="宋体" w:cs="Times New Roman"/>
                      <w:bCs/>
                      <w:color w:val="auto"/>
                      <w:sz w:val="21"/>
                      <w:szCs w:val="21"/>
                      <w:highlight w:val="none"/>
                      <w:vertAlign w:val="baseline"/>
                      <w:lang w:val="en-US" w:eastAsia="zh-CN"/>
                    </w:rPr>
                    <w:t>车间各设置一套废气处理装置（集气罩+光氧催化），经15m高排气筒排放，排气筒编号分别为G</w:t>
                  </w:r>
                  <w:r>
                    <w:rPr>
                      <w:rFonts w:hint="default" w:ascii="Times New Roman" w:hAnsi="Times New Roman" w:eastAsia="宋体" w:cs="Times New Roman"/>
                      <w:bCs/>
                      <w:color w:val="auto"/>
                      <w:sz w:val="21"/>
                      <w:szCs w:val="21"/>
                      <w:highlight w:val="none"/>
                      <w:vertAlign w:val="subscript"/>
                      <w:lang w:val="en-US" w:eastAsia="zh-CN"/>
                    </w:rPr>
                    <w:t>2现有</w:t>
                  </w:r>
                  <w:r>
                    <w:rPr>
                      <w:rFonts w:hint="default" w:ascii="Times New Roman" w:hAnsi="Times New Roman" w:eastAsia="宋体" w:cs="Times New Roman"/>
                      <w:bCs/>
                      <w:color w:val="auto"/>
                      <w:sz w:val="21"/>
                      <w:szCs w:val="21"/>
                      <w:highlight w:val="none"/>
                      <w:vertAlign w:val="baseline"/>
                      <w:lang w:val="en-US" w:eastAsia="zh-CN"/>
                    </w:rPr>
                    <w:t>、G</w:t>
                  </w:r>
                  <w:r>
                    <w:rPr>
                      <w:rFonts w:hint="default" w:ascii="Times New Roman" w:hAnsi="Times New Roman" w:eastAsia="宋体" w:cs="Times New Roman"/>
                      <w:bCs/>
                      <w:color w:val="auto"/>
                      <w:sz w:val="21"/>
                      <w:szCs w:val="21"/>
                      <w:highlight w:val="none"/>
                      <w:vertAlign w:val="subscript"/>
                      <w:lang w:val="en-US" w:eastAsia="zh-CN"/>
                    </w:rPr>
                    <w:t>3现有</w:t>
                  </w:r>
                  <w:r>
                    <w:rPr>
                      <w:rFonts w:hint="default" w:ascii="Times New Roman" w:hAnsi="Times New Roman" w:eastAsia="宋体" w:cs="Times New Roman"/>
                      <w:bCs/>
                      <w:color w:val="auto"/>
                      <w:sz w:val="21"/>
                      <w:szCs w:val="21"/>
                      <w:highlight w:val="none"/>
                      <w:vertAlign w:val="baseline"/>
                      <w:lang w:val="en-US" w:eastAsia="zh-CN"/>
                    </w:rPr>
                    <w:t>。</w:t>
                  </w:r>
                </w:p>
              </w:tc>
              <w:tc>
                <w:tcPr>
                  <w:tcW w:w="1595" w:type="dxa"/>
                  <w:tcBorders>
                    <w:tl2br w:val="nil"/>
                    <w:tr2bl w:val="nil"/>
                  </w:tcBorders>
                  <w:noWrap w:val="0"/>
                  <w:vAlign w:val="center"/>
                </w:tcPr>
                <w:p w14:paraId="5898C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259DAC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5BAFB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544" w:type="dxa"/>
                  <w:vMerge w:val="continue"/>
                  <w:tcBorders>
                    <w:tl2br w:val="nil"/>
                    <w:tr2bl w:val="nil"/>
                  </w:tcBorders>
                  <w:noWrap w:val="0"/>
                  <w:vAlign w:val="center"/>
                </w:tcPr>
                <w:p w14:paraId="5DB71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940" w:type="dxa"/>
                  <w:tcBorders>
                    <w:tl2br w:val="nil"/>
                    <w:tr2bl w:val="nil"/>
                  </w:tcBorders>
                  <w:noWrap w:val="0"/>
                  <w:vAlign w:val="center"/>
                </w:tcPr>
                <w:p w14:paraId="2F6FAC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PE管废气</w:t>
                  </w:r>
                </w:p>
              </w:tc>
              <w:tc>
                <w:tcPr>
                  <w:tcW w:w="4032" w:type="dxa"/>
                  <w:tcBorders>
                    <w:tl2br w:val="nil"/>
                    <w:tr2bl w:val="nil"/>
                  </w:tcBorders>
                  <w:noWrap w:val="0"/>
                  <w:vAlign w:val="center"/>
                </w:tcPr>
                <w:p w14:paraId="116ED5A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现有PE管熔融挤出废气采用集气罩+光氧催化处理后经15m高排气筒排放。排气筒编号为G</w:t>
                  </w:r>
                  <w:r>
                    <w:rPr>
                      <w:rFonts w:hint="default" w:ascii="Times New Roman" w:hAnsi="Times New Roman" w:eastAsia="宋体" w:cs="Times New Roman"/>
                      <w:bCs/>
                      <w:color w:val="auto"/>
                      <w:sz w:val="21"/>
                      <w:szCs w:val="21"/>
                      <w:highlight w:val="none"/>
                      <w:vertAlign w:val="subscript"/>
                      <w:lang w:val="en-US" w:eastAsia="zh-CN"/>
                    </w:rPr>
                    <w:t>4现有</w:t>
                  </w:r>
                  <w:r>
                    <w:rPr>
                      <w:rFonts w:hint="default" w:ascii="Times New Roman" w:hAnsi="Times New Roman" w:eastAsia="宋体" w:cs="Times New Roman"/>
                      <w:bCs/>
                      <w:color w:val="auto"/>
                      <w:sz w:val="21"/>
                      <w:szCs w:val="21"/>
                      <w:highlight w:val="none"/>
                      <w:vertAlign w:val="baseline"/>
                      <w:lang w:val="en-US" w:eastAsia="zh-CN"/>
                    </w:rPr>
                    <w:t>。</w:t>
                  </w:r>
                </w:p>
              </w:tc>
              <w:tc>
                <w:tcPr>
                  <w:tcW w:w="1595" w:type="dxa"/>
                  <w:tcBorders>
                    <w:tl2br w:val="nil"/>
                    <w:tr2bl w:val="nil"/>
                  </w:tcBorders>
                  <w:noWrap w:val="0"/>
                  <w:vAlign w:val="center"/>
                </w:tcPr>
                <w:p w14:paraId="0AC3D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5651B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6944A1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tcBorders>
                    <w:tl2br w:val="nil"/>
                    <w:tr2bl w:val="nil"/>
                  </w:tcBorders>
                  <w:noWrap w:val="0"/>
                  <w:vAlign w:val="center"/>
                </w:tcPr>
                <w:p w14:paraId="41CAEA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生活污水</w:t>
                  </w:r>
                </w:p>
              </w:tc>
              <w:tc>
                <w:tcPr>
                  <w:tcW w:w="4032" w:type="dxa"/>
                  <w:tcBorders>
                    <w:tl2br w:val="nil"/>
                    <w:tr2bl w:val="nil"/>
                  </w:tcBorders>
                  <w:noWrap w:val="0"/>
                  <w:vAlign w:val="center"/>
                </w:tcPr>
                <w:p w14:paraId="576F582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生活污水通过场内污水管网进入镇区污水管网。</w:t>
                  </w:r>
                </w:p>
              </w:tc>
              <w:tc>
                <w:tcPr>
                  <w:tcW w:w="1595" w:type="dxa"/>
                  <w:tcBorders>
                    <w:tl2br w:val="nil"/>
                    <w:tr2bl w:val="nil"/>
                  </w:tcBorders>
                  <w:noWrap w:val="0"/>
                  <w:vAlign w:val="center"/>
                </w:tcPr>
                <w:p w14:paraId="42B36E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r w14:paraId="67A9D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694C0D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vMerge w:val="restart"/>
                  <w:tcBorders>
                    <w:tl2br w:val="nil"/>
                    <w:tr2bl w:val="nil"/>
                  </w:tcBorders>
                  <w:noWrap w:val="0"/>
                  <w:vAlign w:val="center"/>
                </w:tcPr>
                <w:p w14:paraId="4AAD4D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固废</w:t>
                  </w:r>
                </w:p>
              </w:tc>
              <w:tc>
                <w:tcPr>
                  <w:tcW w:w="4032" w:type="dxa"/>
                  <w:tcBorders>
                    <w:tl2br w:val="nil"/>
                    <w:tr2bl w:val="nil"/>
                  </w:tcBorders>
                  <w:noWrap w:val="0"/>
                  <w:vAlign w:val="center"/>
                </w:tcPr>
                <w:p w14:paraId="5383AC4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次品、废料销售给废品收购单位</w:t>
                  </w:r>
                </w:p>
              </w:tc>
              <w:tc>
                <w:tcPr>
                  <w:tcW w:w="1595" w:type="dxa"/>
                  <w:tcBorders>
                    <w:tl2br w:val="nil"/>
                    <w:tr2bl w:val="nil"/>
                  </w:tcBorders>
                  <w:noWrap w:val="0"/>
                  <w:vAlign w:val="center"/>
                </w:tcPr>
                <w:p w14:paraId="20A46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r>
            <w:tr w14:paraId="2D597F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3C24E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vMerge w:val="continue"/>
                  <w:tcBorders>
                    <w:tl2br w:val="nil"/>
                    <w:tr2bl w:val="nil"/>
                  </w:tcBorders>
                  <w:noWrap w:val="0"/>
                  <w:vAlign w:val="center"/>
                </w:tcPr>
                <w:p w14:paraId="4834F3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4032" w:type="dxa"/>
                  <w:tcBorders>
                    <w:tl2br w:val="nil"/>
                    <w:tr2bl w:val="nil"/>
                  </w:tcBorders>
                  <w:noWrap w:val="0"/>
                  <w:vAlign w:val="center"/>
                </w:tcPr>
                <w:p w14:paraId="2DF6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生活垃圾交环卫部门处理</w:t>
                  </w:r>
                </w:p>
              </w:tc>
              <w:tc>
                <w:tcPr>
                  <w:tcW w:w="1595" w:type="dxa"/>
                  <w:tcBorders>
                    <w:tl2br w:val="nil"/>
                    <w:tr2bl w:val="nil"/>
                  </w:tcBorders>
                  <w:noWrap w:val="0"/>
                  <w:vAlign w:val="center"/>
                </w:tcPr>
                <w:p w14:paraId="77FCB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r>
            <w:tr w14:paraId="7E943C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tcBorders>
                    <w:tl2br w:val="nil"/>
                    <w:tr2bl w:val="nil"/>
                  </w:tcBorders>
                  <w:noWrap w:val="0"/>
                  <w:vAlign w:val="center"/>
                </w:tcPr>
                <w:p w14:paraId="0A7D3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484" w:type="dxa"/>
                  <w:gridSpan w:val="2"/>
                  <w:vMerge w:val="continue"/>
                  <w:tcBorders>
                    <w:tl2br w:val="nil"/>
                    <w:tr2bl w:val="nil"/>
                  </w:tcBorders>
                  <w:noWrap w:val="0"/>
                  <w:vAlign w:val="center"/>
                </w:tcPr>
                <w:p w14:paraId="72415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4032" w:type="dxa"/>
                  <w:tcBorders>
                    <w:tl2br w:val="nil"/>
                    <w:tr2bl w:val="nil"/>
                  </w:tcBorders>
                  <w:noWrap w:val="0"/>
                  <w:vAlign w:val="center"/>
                </w:tcPr>
                <w:p w14:paraId="5AA5913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建设5m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vertAlign w:val="baseline"/>
                      <w:lang w:val="en-US" w:eastAsia="zh-CN"/>
                    </w:rPr>
                    <w:t>危险废物暂存间，用于暂存废气活性炭，定期委托资质单位处理</w:t>
                  </w:r>
                </w:p>
              </w:tc>
              <w:tc>
                <w:tcPr>
                  <w:tcW w:w="1595" w:type="dxa"/>
                  <w:tcBorders>
                    <w:tl2br w:val="nil"/>
                    <w:tr2bl w:val="nil"/>
                  </w:tcBorders>
                  <w:noWrap w:val="0"/>
                  <w:vAlign w:val="center"/>
                </w:tcPr>
                <w:p w14:paraId="1AFBC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w:t>
                  </w:r>
                </w:p>
              </w:tc>
            </w:tr>
          </w:tbl>
          <w:p w14:paraId="628E3925">
            <w:pPr>
              <w:pStyle w:val="68"/>
              <w:widowControl/>
              <w:adjustRightInd/>
              <w:snapToGrid/>
              <w:spacing w:after="0"/>
              <w:rPr>
                <w:rFonts w:hint="default" w:ascii="Times New Roman" w:hAnsi="Times New Roman" w:eastAsia="宋体" w:cs="Times New Roman"/>
                <w:color w:val="auto"/>
                <w:sz w:val="21"/>
                <w:highlight w:val="none"/>
              </w:rPr>
            </w:pPr>
          </w:p>
          <w:p w14:paraId="31B03C0D">
            <w:pPr>
              <w:pStyle w:val="68"/>
              <w:widowControl/>
              <w:adjustRightInd/>
              <w:snapToGrid/>
              <w:spacing w:after="0"/>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表</w:t>
            </w:r>
            <w:r>
              <w:rPr>
                <w:rFonts w:hint="default" w:ascii="Times New Roman" w:hAnsi="Times New Roman" w:eastAsia="宋体" w:cs="Times New Roman"/>
                <w:color w:val="auto"/>
                <w:sz w:val="21"/>
                <w:highlight w:val="none"/>
                <w:lang w:val="en-US" w:eastAsia="zh-CN"/>
              </w:rPr>
              <w:t>2-6</w:t>
            </w:r>
            <w:r>
              <w:rPr>
                <w:rFonts w:hint="default" w:ascii="Times New Roman" w:hAnsi="Times New Roman" w:eastAsia="宋体" w:cs="Times New Roman"/>
                <w:color w:val="auto"/>
                <w:sz w:val="21"/>
                <w:highlight w:val="none"/>
              </w:rPr>
              <w:t xml:space="preserve">    </w:t>
            </w:r>
            <w:r>
              <w:rPr>
                <w:rFonts w:hint="default" w:ascii="Times New Roman" w:hAnsi="Times New Roman" w:cs="Times New Roman"/>
                <w:color w:val="auto"/>
                <w:sz w:val="21"/>
                <w:highlight w:val="none"/>
                <w:lang w:val="en-US" w:eastAsia="zh-CN"/>
              </w:rPr>
              <w:t>现有</w:t>
            </w:r>
            <w:r>
              <w:rPr>
                <w:rFonts w:hint="default" w:ascii="Times New Roman" w:hAnsi="Times New Roman" w:eastAsia="宋体" w:cs="Times New Roman"/>
                <w:color w:val="auto"/>
                <w:sz w:val="21"/>
                <w:highlight w:val="none"/>
                <w:lang w:val="en-US" w:eastAsia="zh-CN"/>
              </w:rPr>
              <w:t>工程</w:t>
            </w:r>
            <w:r>
              <w:rPr>
                <w:rFonts w:hint="default" w:ascii="Times New Roman" w:hAnsi="Times New Roman" w:cs="Times New Roman"/>
                <w:color w:val="auto"/>
                <w:sz w:val="21"/>
                <w:highlight w:val="none"/>
                <w:lang w:val="en-US" w:eastAsia="zh-CN"/>
              </w:rPr>
              <w:t>产能</w:t>
            </w:r>
            <w:r>
              <w:rPr>
                <w:rFonts w:hint="default" w:ascii="Times New Roman" w:hAnsi="Times New Roman" w:eastAsia="宋体" w:cs="Times New Roman"/>
                <w:color w:val="auto"/>
                <w:sz w:val="21"/>
                <w:highlight w:val="none"/>
                <w:lang w:val="en-US" w:eastAsia="zh-CN"/>
              </w:rPr>
              <w:t>情况</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2507"/>
              <w:gridCol w:w="2279"/>
              <w:gridCol w:w="1679"/>
            </w:tblGrid>
            <w:tr w14:paraId="6DDCF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1" w:type="pct"/>
                  <w:tcBorders>
                    <w:bottom w:val="single" w:color="auto" w:sz="12" w:space="0"/>
                  </w:tcBorders>
                  <w:vAlign w:val="center"/>
                </w:tcPr>
                <w:p w14:paraId="09CEEB9D">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项目名称</w:t>
                  </w:r>
                </w:p>
              </w:tc>
              <w:tc>
                <w:tcPr>
                  <w:tcW w:w="1612" w:type="pct"/>
                  <w:tcBorders>
                    <w:bottom w:val="single" w:color="auto" w:sz="12" w:space="0"/>
                  </w:tcBorders>
                  <w:vAlign w:val="center"/>
                </w:tcPr>
                <w:p w14:paraId="7137AEE0">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环评阶段建设概况</w:t>
                  </w:r>
                </w:p>
              </w:tc>
              <w:tc>
                <w:tcPr>
                  <w:tcW w:w="1465" w:type="pct"/>
                  <w:tcBorders>
                    <w:bottom w:val="single" w:color="auto" w:sz="12" w:space="0"/>
                  </w:tcBorders>
                  <w:vAlign w:val="center"/>
                </w:tcPr>
                <w:p w14:paraId="5D40869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验收阶段建设情况</w:t>
                  </w:r>
                </w:p>
              </w:tc>
              <w:tc>
                <w:tcPr>
                  <w:tcW w:w="1080" w:type="pct"/>
                  <w:tcBorders>
                    <w:bottom w:val="single" w:color="auto" w:sz="12" w:space="0"/>
                  </w:tcBorders>
                  <w:vAlign w:val="center"/>
                </w:tcPr>
                <w:p w14:paraId="52BC5B65">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cs="Times New Roman"/>
                      <w:b/>
                      <w:bCs/>
                      <w:i w:val="0"/>
                      <w:iCs w:val="0"/>
                      <w:color w:val="auto"/>
                      <w:kern w:val="0"/>
                      <w:sz w:val="21"/>
                      <w:szCs w:val="21"/>
                      <w:highlight w:val="none"/>
                      <w:u w:val="none"/>
                      <w:lang w:val="en-US" w:eastAsia="zh-CN" w:bidi="ar"/>
                    </w:rPr>
                    <w:t>备注</w:t>
                  </w:r>
                </w:p>
              </w:tc>
            </w:tr>
            <w:tr w14:paraId="763811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1" w:type="pct"/>
                  <w:vMerge w:val="restart"/>
                  <w:tcBorders>
                    <w:top w:val="single" w:color="auto" w:sz="12" w:space="0"/>
                    <w:tl2br w:val="nil"/>
                    <w:tr2bl w:val="nil"/>
                  </w:tcBorders>
                  <w:vAlign w:val="center"/>
                </w:tcPr>
                <w:p w14:paraId="3691BD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现有项目产能</w:t>
                  </w:r>
                </w:p>
              </w:tc>
              <w:tc>
                <w:tcPr>
                  <w:tcW w:w="1612" w:type="pct"/>
                  <w:tcBorders>
                    <w:top w:val="single" w:color="auto" w:sz="12" w:space="0"/>
                    <w:tl2br w:val="nil"/>
                    <w:tr2bl w:val="nil"/>
                  </w:tcBorders>
                  <w:vAlign w:val="center"/>
                </w:tcPr>
                <w:p w14:paraId="286DBB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6条PVC管生产线，年产PVC管1100t/a</w:t>
                  </w:r>
                </w:p>
              </w:tc>
              <w:tc>
                <w:tcPr>
                  <w:tcW w:w="1465" w:type="pct"/>
                  <w:tcBorders>
                    <w:top w:val="single" w:color="auto" w:sz="12" w:space="0"/>
                    <w:tl2br w:val="nil"/>
                    <w:tr2bl w:val="nil"/>
                  </w:tcBorders>
                  <w:vAlign w:val="center"/>
                </w:tcPr>
                <w:p w14:paraId="5D85E7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6条PVC管生产线，年产PVC管1100t/a</w:t>
                  </w:r>
                </w:p>
              </w:tc>
              <w:tc>
                <w:tcPr>
                  <w:tcW w:w="1080" w:type="pct"/>
                  <w:tcBorders>
                    <w:top w:val="single" w:color="auto" w:sz="12" w:space="0"/>
                    <w:tl2br w:val="nil"/>
                    <w:tr2bl w:val="nil"/>
                  </w:tcBorders>
                  <w:vAlign w:val="center"/>
                </w:tcPr>
                <w:p w14:paraId="2C2E4FCE">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已停产，不再生产</w:t>
                  </w:r>
                </w:p>
              </w:tc>
            </w:tr>
            <w:tr w14:paraId="76BCDC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1" w:type="pct"/>
                  <w:vMerge w:val="continue"/>
                  <w:tcBorders>
                    <w:tl2br w:val="nil"/>
                    <w:tr2bl w:val="nil"/>
                  </w:tcBorders>
                  <w:vAlign w:val="center"/>
                </w:tcPr>
                <w:p w14:paraId="5062C3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612" w:type="pct"/>
                  <w:tcBorders>
                    <w:tl2br w:val="nil"/>
                    <w:tr2bl w:val="nil"/>
                  </w:tcBorders>
                  <w:vAlign w:val="center"/>
                </w:tcPr>
                <w:p w14:paraId="6B1F8D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13条PE农膜生产线，年产PE农膜2000t</w:t>
                  </w:r>
                </w:p>
              </w:tc>
              <w:tc>
                <w:tcPr>
                  <w:tcW w:w="1465" w:type="pct"/>
                  <w:tcBorders>
                    <w:tl2br w:val="nil"/>
                    <w:tr2bl w:val="nil"/>
                  </w:tcBorders>
                  <w:vAlign w:val="center"/>
                </w:tcPr>
                <w:p w14:paraId="1DE559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13条PE农膜生产线，年产PE农膜2000t</w:t>
                  </w:r>
                </w:p>
              </w:tc>
              <w:tc>
                <w:tcPr>
                  <w:tcW w:w="1080" w:type="pct"/>
                  <w:tcBorders>
                    <w:tl2br w:val="nil"/>
                    <w:tr2bl w:val="nil"/>
                  </w:tcBorders>
                  <w:vAlign w:val="center"/>
                </w:tcPr>
                <w:p w14:paraId="410C9975">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现有工程</w:t>
                  </w:r>
                </w:p>
              </w:tc>
            </w:tr>
            <w:tr w14:paraId="427C8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1" w:type="pct"/>
                  <w:vMerge w:val="continue"/>
                  <w:tcBorders>
                    <w:tl2br w:val="nil"/>
                    <w:tr2bl w:val="nil"/>
                  </w:tcBorders>
                  <w:vAlign w:val="center"/>
                </w:tcPr>
                <w:p w14:paraId="22BADE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612" w:type="pct"/>
                  <w:tcBorders>
                    <w:tl2br w:val="nil"/>
                    <w:tr2bl w:val="nil"/>
                  </w:tcBorders>
                  <w:vAlign w:val="center"/>
                </w:tcPr>
                <w:p w14:paraId="336B25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6条PE管生产线，年产PE管1000t</w:t>
                  </w:r>
                </w:p>
              </w:tc>
              <w:tc>
                <w:tcPr>
                  <w:tcW w:w="1465" w:type="pct"/>
                  <w:tcBorders>
                    <w:tl2br w:val="nil"/>
                    <w:tr2bl w:val="nil"/>
                  </w:tcBorders>
                  <w:vAlign w:val="center"/>
                </w:tcPr>
                <w:p w14:paraId="239DA1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color w:val="auto"/>
                      <w:sz w:val="21"/>
                      <w:szCs w:val="21"/>
                      <w:highlight w:val="none"/>
                      <w:lang w:val="en-US" w:eastAsia="zh-CN"/>
                    </w:rPr>
                    <w:t>6条PE管生产线，年产PE管1000t</w:t>
                  </w:r>
                </w:p>
              </w:tc>
              <w:tc>
                <w:tcPr>
                  <w:tcW w:w="1080" w:type="pct"/>
                  <w:tcBorders>
                    <w:tl2br w:val="nil"/>
                    <w:tr2bl w:val="nil"/>
                  </w:tcBorders>
                  <w:vAlign w:val="center"/>
                </w:tcPr>
                <w:p w14:paraId="53C86234">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现有工程</w:t>
                  </w:r>
                </w:p>
              </w:tc>
            </w:tr>
            <w:tr w14:paraId="6D28A1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41" w:type="pct"/>
                  <w:tcBorders>
                    <w:tl2br w:val="nil"/>
                    <w:tr2bl w:val="nil"/>
                  </w:tcBorders>
                  <w:vAlign w:val="center"/>
                </w:tcPr>
                <w:p w14:paraId="30AB85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废塑料再生造粒项目</w:t>
                  </w:r>
                </w:p>
              </w:tc>
              <w:tc>
                <w:tcPr>
                  <w:tcW w:w="1612" w:type="pct"/>
                  <w:tcBorders>
                    <w:tl2br w:val="nil"/>
                    <w:tr2bl w:val="nil"/>
                  </w:tcBorders>
                  <w:vAlign w:val="center"/>
                </w:tcPr>
                <w:p w14:paraId="24F7E8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eastAsia="zh-CN"/>
                    </w:rPr>
                    <w:t>条造粒生产线</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加工废旧塑料50</w:t>
                  </w:r>
                  <w:r>
                    <w:rPr>
                      <w:rFonts w:hint="default" w:ascii="Times New Roman" w:hAnsi="Times New Roman" w:eastAsia="宋体" w:cs="Times New Roman"/>
                      <w:color w:val="auto"/>
                      <w:highlight w:val="none"/>
                      <w:lang w:eastAsia="zh-CN"/>
                    </w:rPr>
                    <w:t>00t</w:t>
                  </w:r>
                </w:p>
              </w:tc>
              <w:tc>
                <w:tcPr>
                  <w:tcW w:w="1465" w:type="pct"/>
                  <w:tcBorders>
                    <w:tl2br w:val="nil"/>
                    <w:tr2bl w:val="nil"/>
                  </w:tcBorders>
                  <w:vAlign w:val="center"/>
                </w:tcPr>
                <w:p w14:paraId="479C8D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eastAsia="zh-CN"/>
                    </w:rPr>
                    <w:t>条造粒生产线</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加工废旧塑料50</w:t>
                  </w:r>
                  <w:r>
                    <w:rPr>
                      <w:rFonts w:hint="default" w:ascii="Times New Roman" w:hAnsi="Times New Roman" w:eastAsia="宋体" w:cs="Times New Roman"/>
                      <w:color w:val="auto"/>
                      <w:highlight w:val="none"/>
                      <w:lang w:eastAsia="zh-CN"/>
                    </w:rPr>
                    <w:t>00t</w:t>
                  </w:r>
                </w:p>
              </w:tc>
              <w:tc>
                <w:tcPr>
                  <w:tcW w:w="1080" w:type="pct"/>
                  <w:tcBorders>
                    <w:tl2br w:val="nil"/>
                    <w:tr2bl w:val="nil"/>
                  </w:tcBorders>
                  <w:vAlign w:val="center"/>
                </w:tcPr>
                <w:p w14:paraId="2670EC4C">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 w:val="21"/>
                      <w:szCs w:val="21"/>
                      <w:highlight w:val="none"/>
                      <w:lang w:val="en-US" w:eastAsia="zh-CN"/>
                    </w:rPr>
                    <w:t>现有工程，生产的造粒产品均外售</w:t>
                  </w:r>
                </w:p>
              </w:tc>
            </w:tr>
          </w:tbl>
          <w:p w14:paraId="4D8333F8">
            <w:pPr>
              <w:bidi w:val="0"/>
              <w:spacing w:line="360" w:lineRule="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2.2.2</w:t>
            </w:r>
            <w:r>
              <w:rPr>
                <w:rFonts w:hint="default" w:ascii="Times New Roman" w:hAnsi="Times New Roman" w:cs="Times New Roman"/>
                <w:b/>
                <w:bCs/>
                <w:color w:val="auto"/>
                <w:sz w:val="24"/>
                <w:szCs w:val="24"/>
                <w:highlight w:val="none"/>
                <w:lang w:val="en-US" w:eastAsia="zh-CN"/>
              </w:rPr>
              <w:t>现有</w:t>
            </w:r>
            <w:r>
              <w:rPr>
                <w:rFonts w:hint="default" w:ascii="Times New Roman" w:hAnsi="Times New Roman" w:eastAsia="宋体" w:cs="Times New Roman"/>
                <w:b/>
                <w:bCs/>
                <w:color w:val="auto"/>
                <w:sz w:val="24"/>
                <w:szCs w:val="24"/>
                <w:highlight w:val="none"/>
                <w:lang w:val="en-US" w:eastAsia="zh-CN"/>
              </w:rPr>
              <w:t>工程生产设备</w:t>
            </w:r>
          </w:p>
          <w:p w14:paraId="3EBFDF44">
            <w:pPr>
              <w:adjustRightInd/>
              <w:snapToGrid/>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现有</w:t>
            </w:r>
            <w:r>
              <w:rPr>
                <w:rFonts w:hint="default" w:ascii="Times New Roman" w:hAnsi="Times New Roman" w:eastAsia="宋体" w:cs="Times New Roman"/>
                <w:color w:val="auto"/>
                <w:sz w:val="24"/>
                <w:szCs w:val="24"/>
                <w:highlight w:val="none"/>
                <w:lang w:val="en-US" w:eastAsia="zh-CN"/>
              </w:rPr>
              <w:t>工程</w:t>
            </w:r>
            <w:r>
              <w:rPr>
                <w:rFonts w:hint="default" w:ascii="Times New Roman" w:hAnsi="Times New Roman" w:eastAsia="宋体" w:cs="Times New Roman"/>
                <w:color w:val="auto"/>
                <w:sz w:val="24"/>
                <w:szCs w:val="24"/>
                <w:highlight w:val="none"/>
              </w:rPr>
              <w:t>主要设备一览表</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见表</w:t>
            </w:r>
            <w:r>
              <w:rPr>
                <w:rFonts w:hint="default" w:ascii="Times New Roman" w:hAnsi="Times New Roman" w:eastAsia="宋体" w:cs="Times New Roman"/>
                <w:color w:val="auto"/>
                <w:sz w:val="24"/>
                <w:szCs w:val="24"/>
                <w:highlight w:val="none"/>
                <w:lang w:val="en-US" w:eastAsia="zh-CN"/>
              </w:rPr>
              <w:t>2-7</w:t>
            </w:r>
            <w:r>
              <w:rPr>
                <w:rFonts w:hint="default" w:ascii="Times New Roman" w:hAnsi="Times New Roman" w:eastAsia="宋体" w:cs="Times New Roman"/>
                <w:color w:val="auto"/>
                <w:sz w:val="24"/>
                <w:szCs w:val="24"/>
                <w:highlight w:val="none"/>
              </w:rPr>
              <w:t>。</w:t>
            </w:r>
          </w:p>
          <w:p w14:paraId="2559762F">
            <w:pPr>
              <w:pStyle w:val="68"/>
              <w:widowControl/>
              <w:adjustRightInd/>
              <w:snapToGrid/>
              <w:spacing w:after="0" w:line="240" w:lineRule="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default" w:ascii="Times New Roman" w:hAnsi="Times New Roman" w:eastAsia="宋体" w:cs="Times New Roman"/>
                <w:color w:val="auto"/>
                <w:sz w:val="21"/>
                <w:highlight w:val="none"/>
                <w:lang w:val="en-US" w:eastAsia="zh-CN"/>
              </w:rPr>
              <w:t>2-7</w:t>
            </w:r>
            <w:r>
              <w:rPr>
                <w:rFonts w:hint="default" w:ascii="Times New Roman" w:hAnsi="Times New Roman" w:eastAsia="宋体" w:cs="Times New Roman"/>
                <w:color w:val="auto"/>
                <w:sz w:val="21"/>
                <w:highlight w:val="none"/>
              </w:rPr>
              <w:t xml:space="preserve">   项目主要设备一览表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83"/>
              <w:gridCol w:w="4372"/>
              <w:gridCol w:w="1213"/>
              <w:gridCol w:w="1284"/>
            </w:tblGrid>
            <w:tr w14:paraId="0A04E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6" w:type="pct"/>
                  <w:tcBorders>
                    <w:bottom w:val="single" w:color="auto" w:sz="12" w:space="0"/>
                  </w:tcBorders>
                  <w:noWrap w:val="0"/>
                  <w:vAlign w:val="center"/>
                </w:tcPr>
                <w:p w14:paraId="3DD64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序号</w:t>
                  </w:r>
                </w:p>
              </w:tc>
              <w:tc>
                <w:tcPr>
                  <w:tcW w:w="2784" w:type="pct"/>
                  <w:tcBorders>
                    <w:bottom w:val="single" w:color="auto" w:sz="12" w:space="0"/>
                  </w:tcBorders>
                  <w:noWrap w:val="0"/>
                  <w:vAlign w:val="center"/>
                </w:tcPr>
                <w:p w14:paraId="46B4F6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设备名称</w:t>
                  </w:r>
                </w:p>
              </w:tc>
              <w:tc>
                <w:tcPr>
                  <w:tcW w:w="772" w:type="pct"/>
                  <w:tcBorders>
                    <w:bottom w:val="single" w:color="auto" w:sz="12" w:space="0"/>
                  </w:tcBorders>
                  <w:noWrap w:val="0"/>
                  <w:vAlign w:val="center"/>
                </w:tcPr>
                <w:p w14:paraId="4809DE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数量</w:t>
                  </w:r>
                </w:p>
              </w:tc>
              <w:tc>
                <w:tcPr>
                  <w:tcW w:w="817" w:type="pct"/>
                  <w:tcBorders>
                    <w:bottom w:val="single" w:color="auto" w:sz="12" w:space="0"/>
                  </w:tcBorders>
                  <w:noWrap w:val="0"/>
                  <w:vAlign w:val="center"/>
                </w:tcPr>
                <w:p w14:paraId="6D5297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备注</w:t>
                  </w:r>
                </w:p>
              </w:tc>
            </w:tr>
            <w:tr w14:paraId="5EB9F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26" w:type="pct"/>
                  <w:tcBorders>
                    <w:top w:val="single" w:color="auto" w:sz="12" w:space="0"/>
                    <w:tl2br w:val="nil"/>
                    <w:tr2bl w:val="nil"/>
                  </w:tcBorders>
                  <w:noWrap w:val="0"/>
                  <w:vAlign w:val="center"/>
                </w:tcPr>
                <w:p w14:paraId="1EA80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2784" w:type="pct"/>
                  <w:tcBorders>
                    <w:top w:val="single" w:color="auto" w:sz="12" w:space="0"/>
                    <w:tl2br w:val="nil"/>
                    <w:tr2bl w:val="nil"/>
                  </w:tcBorders>
                  <w:noWrap w:val="0"/>
                  <w:vAlign w:val="center"/>
                </w:tcPr>
                <w:p w14:paraId="5B2E22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S190单螺旋挤出生产线</w:t>
                  </w:r>
                </w:p>
              </w:tc>
              <w:tc>
                <w:tcPr>
                  <w:tcW w:w="772" w:type="pct"/>
                  <w:tcBorders>
                    <w:top w:val="single" w:color="auto" w:sz="12" w:space="0"/>
                    <w:tl2br w:val="nil"/>
                    <w:tr2bl w:val="nil"/>
                  </w:tcBorders>
                  <w:noWrap w:val="0"/>
                  <w:vAlign w:val="center"/>
                </w:tcPr>
                <w:p w14:paraId="610AEA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3套</w:t>
                  </w:r>
                </w:p>
              </w:tc>
              <w:tc>
                <w:tcPr>
                  <w:tcW w:w="817" w:type="pct"/>
                  <w:vMerge w:val="restart"/>
                  <w:tcBorders>
                    <w:top w:val="single" w:color="auto" w:sz="12" w:space="0"/>
                    <w:tl2br w:val="nil"/>
                    <w:tr2bl w:val="nil"/>
                  </w:tcBorders>
                  <w:noWrap w:val="0"/>
                  <w:vAlign w:val="center"/>
                </w:tcPr>
                <w:p w14:paraId="5DEB27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2010年建设PVC管装置</w:t>
                  </w:r>
                </w:p>
              </w:tc>
            </w:tr>
            <w:tr w14:paraId="2194E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26" w:type="pct"/>
                  <w:tcBorders>
                    <w:tl2br w:val="nil"/>
                    <w:tr2bl w:val="nil"/>
                  </w:tcBorders>
                  <w:noWrap w:val="0"/>
                  <w:vAlign w:val="center"/>
                </w:tcPr>
                <w:p w14:paraId="2EE288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2</w:t>
                  </w:r>
                </w:p>
              </w:tc>
              <w:tc>
                <w:tcPr>
                  <w:tcW w:w="2784" w:type="pct"/>
                  <w:tcBorders>
                    <w:tl2br w:val="nil"/>
                    <w:tr2bl w:val="nil"/>
                  </w:tcBorders>
                  <w:noWrap w:val="0"/>
                  <w:vAlign w:val="center"/>
                </w:tcPr>
                <w:p w14:paraId="7499FA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S165单螺旋挤出生产线</w:t>
                  </w:r>
                </w:p>
              </w:tc>
              <w:tc>
                <w:tcPr>
                  <w:tcW w:w="772" w:type="pct"/>
                  <w:tcBorders>
                    <w:tl2br w:val="nil"/>
                    <w:tr2bl w:val="nil"/>
                  </w:tcBorders>
                  <w:noWrap w:val="0"/>
                  <w:vAlign w:val="center"/>
                </w:tcPr>
                <w:p w14:paraId="635F2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3套</w:t>
                  </w:r>
                </w:p>
              </w:tc>
              <w:tc>
                <w:tcPr>
                  <w:tcW w:w="817" w:type="pct"/>
                  <w:vMerge w:val="continue"/>
                  <w:tcBorders>
                    <w:tl2br w:val="nil"/>
                    <w:tr2bl w:val="nil"/>
                  </w:tcBorders>
                  <w:noWrap w:val="0"/>
                  <w:vAlign w:val="center"/>
                </w:tcPr>
                <w:p w14:paraId="248F7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0453FD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3908A0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3</w:t>
                  </w:r>
                </w:p>
              </w:tc>
              <w:tc>
                <w:tcPr>
                  <w:tcW w:w="2784" w:type="pct"/>
                  <w:tcBorders>
                    <w:tl2br w:val="nil"/>
                    <w:tr2bl w:val="nil"/>
                  </w:tcBorders>
                  <w:noWrap w:val="0"/>
                  <w:vAlign w:val="center"/>
                </w:tcPr>
                <w:p w14:paraId="2F4BE1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废气净化装置（光氧）</w:t>
                  </w:r>
                </w:p>
              </w:tc>
              <w:tc>
                <w:tcPr>
                  <w:tcW w:w="772" w:type="pct"/>
                  <w:tcBorders>
                    <w:tl2br w:val="nil"/>
                    <w:tr2bl w:val="nil"/>
                  </w:tcBorders>
                  <w:noWrap w:val="0"/>
                  <w:vAlign w:val="center"/>
                </w:tcPr>
                <w:p w14:paraId="4EC70C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1套</w:t>
                  </w:r>
                </w:p>
              </w:tc>
              <w:tc>
                <w:tcPr>
                  <w:tcW w:w="817" w:type="pct"/>
                  <w:vMerge w:val="continue"/>
                  <w:tcBorders>
                    <w:tl2br w:val="nil"/>
                    <w:tr2bl w:val="nil"/>
                  </w:tcBorders>
                  <w:noWrap w:val="0"/>
                  <w:vAlign w:val="center"/>
                </w:tcPr>
                <w:p w14:paraId="0EC59C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5E9E07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7D4103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4</w:t>
                  </w:r>
                </w:p>
              </w:tc>
              <w:tc>
                <w:tcPr>
                  <w:tcW w:w="2784" w:type="pct"/>
                  <w:tcBorders>
                    <w:tl2br w:val="nil"/>
                    <w:tr2bl w:val="nil"/>
                  </w:tcBorders>
                  <w:noWrap w:val="0"/>
                  <w:vAlign w:val="center"/>
                </w:tcPr>
                <w:p w14:paraId="45110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PE管注塑生产线</w:t>
                  </w:r>
                </w:p>
              </w:tc>
              <w:tc>
                <w:tcPr>
                  <w:tcW w:w="772" w:type="pct"/>
                  <w:tcBorders>
                    <w:tl2br w:val="nil"/>
                    <w:tr2bl w:val="nil"/>
                  </w:tcBorders>
                  <w:noWrap w:val="0"/>
                  <w:vAlign w:val="center"/>
                </w:tcPr>
                <w:p w14:paraId="59677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6套</w:t>
                  </w:r>
                </w:p>
              </w:tc>
              <w:tc>
                <w:tcPr>
                  <w:tcW w:w="817" w:type="pct"/>
                  <w:vMerge w:val="restart"/>
                  <w:tcBorders>
                    <w:tl2br w:val="nil"/>
                    <w:tr2bl w:val="nil"/>
                  </w:tcBorders>
                  <w:noWrap w:val="0"/>
                  <w:vAlign w:val="center"/>
                </w:tcPr>
                <w:p w14:paraId="5744E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2018年建设PE农膜及PE管装置</w:t>
                  </w:r>
                </w:p>
              </w:tc>
            </w:tr>
            <w:tr w14:paraId="21742E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7B45DF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5</w:t>
                  </w:r>
                </w:p>
              </w:tc>
              <w:tc>
                <w:tcPr>
                  <w:tcW w:w="2784" w:type="pct"/>
                  <w:tcBorders>
                    <w:tl2br w:val="nil"/>
                    <w:tr2bl w:val="nil"/>
                  </w:tcBorders>
                  <w:noWrap w:val="0"/>
                  <w:vAlign w:val="center"/>
                </w:tcPr>
                <w:p w14:paraId="40430C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PC75型单螺旋挤出生产线</w:t>
                  </w:r>
                </w:p>
              </w:tc>
              <w:tc>
                <w:tcPr>
                  <w:tcW w:w="772" w:type="pct"/>
                  <w:tcBorders>
                    <w:tl2br w:val="nil"/>
                    <w:tr2bl w:val="nil"/>
                  </w:tcBorders>
                  <w:noWrap w:val="0"/>
                  <w:vAlign w:val="center"/>
                </w:tcPr>
                <w:p w14:paraId="01CCDE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4套</w:t>
                  </w:r>
                </w:p>
              </w:tc>
              <w:tc>
                <w:tcPr>
                  <w:tcW w:w="817" w:type="pct"/>
                  <w:vMerge w:val="continue"/>
                  <w:tcBorders>
                    <w:tl2br w:val="nil"/>
                    <w:tr2bl w:val="nil"/>
                  </w:tcBorders>
                  <w:noWrap w:val="0"/>
                  <w:vAlign w:val="center"/>
                </w:tcPr>
                <w:p w14:paraId="6563F5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1E4161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2D5A3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w:t>
                  </w:r>
                </w:p>
              </w:tc>
              <w:tc>
                <w:tcPr>
                  <w:tcW w:w="2784" w:type="pct"/>
                  <w:tcBorders>
                    <w:tl2br w:val="nil"/>
                    <w:tr2bl w:val="nil"/>
                  </w:tcBorders>
                  <w:noWrap w:val="0"/>
                  <w:vAlign w:val="center"/>
                </w:tcPr>
                <w:p w14:paraId="7B9718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PC65型单螺旋挤出生产线</w:t>
                  </w:r>
                </w:p>
              </w:tc>
              <w:tc>
                <w:tcPr>
                  <w:tcW w:w="772" w:type="pct"/>
                  <w:tcBorders>
                    <w:tl2br w:val="nil"/>
                    <w:tr2bl w:val="nil"/>
                  </w:tcBorders>
                  <w:noWrap w:val="0"/>
                  <w:vAlign w:val="center"/>
                </w:tcPr>
                <w:p w14:paraId="451153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9套</w:t>
                  </w:r>
                </w:p>
              </w:tc>
              <w:tc>
                <w:tcPr>
                  <w:tcW w:w="817" w:type="pct"/>
                  <w:vMerge w:val="continue"/>
                  <w:tcBorders>
                    <w:tl2br w:val="nil"/>
                    <w:tr2bl w:val="nil"/>
                  </w:tcBorders>
                  <w:noWrap w:val="0"/>
                  <w:vAlign w:val="center"/>
                </w:tcPr>
                <w:p w14:paraId="492BA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449BC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24EBDA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7</w:t>
                  </w:r>
                </w:p>
              </w:tc>
              <w:tc>
                <w:tcPr>
                  <w:tcW w:w="2784" w:type="pct"/>
                  <w:tcBorders>
                    <w:tl2br w:val="nil"/>
                    <w:tr2bl w:val="nil"/>
                  </w:tcBorders>
                  <w:noWrap w:val="0"/>
                  <w:vAlign w:val="center"/>
                </w:tcPr>
                <w:p w14:paraId="46240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牵引机</w:t>
                  </w:r>
                </w:p>
              </w:tc>
              <w:tc>
                <w:tcPr>
                  <w:tcW w:w="772" w:type="pct"/>
                  <w:tcBorders>
                    <w:tl2br w:val="nil"/>
                    <w:tr2bl w:val="nil"/>
                  </w:tcBorders>
                  <w:noWrap w:val="0"/>
                  <w:vAlign w:val="center"/>
                </w:tcPr>
                <w:p w14:paraId="4BC805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26台</w:t>
                  </w:r>
                </w:p>
              </w:tc>
              <w:tc>
                <w:tcPr>
                  <w:tcW w:w="817" w:type="pct"/>
                  <w:vMerge w:val="continue"/>
                  <w:tcBorders>
                    <w:tl2br w:val="nil"/>
                    <w:tr2bl w:val="nil"/>
                  </w:tcBorders>
                  <w:noWrap w:val="0"/>
                  <w:vAlign w:val="center"/>
                </w:tcPr>
                <w:p w14:paraId="173924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3915E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20E644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bCs/>
                      <w:snapToGrid w:val="0"/>
                      <w:color w:val="auto"/>
                      <w:sz w:val="21"/>
                      <w:szCs w:val="21"/>
                      <w:highlight w:val="none"/>
                      <w:vertAlign w:val="baseline"/>
                      <w:lang w:val="en-US" w:eastAsia="zh-CN" w:bidi="ar-SA"/>
                    </w:rPr>
                    <w:t>8</w:t>
                  </w:r>
                </w:p>
              </w:tc>
              <w:tc>
                <w:tcPr>
                  <w:tcW w:w="2784" w:type="pct"/>
                  <w:tcBorders>
                    <w:tl2br w:val="nil"/>
                    <w:tr2bl w:val="nil"/>
                  </w:tcBorders>
                  <w:noWrap w:val="0"/>
                  <w:vAlign w:val="center"/>
                </w:tcPr>
                <w:p w14:paraId="67EAA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收卷机</w:t>
                  </w:r>
                </w:p>
              </w:tc>
              <w:tc>
                <w:tcPr>
                  <w:tcW w:w="772" w:type="pct"/>
                  <w:tcBorders>
                    <w:tl2br w:val="nil"/>
                    <w:tr2bl w:val="nil"/>
                  </w:tcBorders>
                  <w:noWrap w:val="0"/>
                  <w:vAlign w:val="center"/>
                </w:tcPr>
                <w:p w14:paraId="6E882E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13台</w:t>
                  </w:r>
                </w:p>
              </w:tc>
              <w:tc>
                <w:tcPr>
                  <w:tcW w:w="817" w:type="pct"/>
                  <w:vMerge w:val="continue"/>
                  <w:tcBorders>
                    <w:tl2br w:val="nil"/>
                    <w:tr2bl w:val="nil"/>
                  </w:tcBorders>
                  <w:noWrap w:val="0"/>
                  <w:vAlign w:val="center"/>
                </w:tcPr>
                <w:p w14:paraId="0AB096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0B336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13E9F9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9</w:t>
                  </w:r>
                </w:p>
              </w:tc>
              <w:tc>
                <w:tcPr>
                  <w:tcW w:w="2784" w:type="pct"/>
                  <w:tcBorders>
                    <w:tl2br w:val="nil"/>
                    <w:tr2bl w:val="nil"/>
                  </w:tcBorders>
                  <w:noWrap w:val="0"/>
                  <w:vAlign w:val="center"/>
                </w:tcPr>
                <w:p w14:paraId="542CA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color w:val="auto"/>
                      <w:sz w:val="21"/>
                      <w:szCs w:val="21"/>
                      <w:highlight w:val="none"/>
                      <w:vertAlign w:val="baseline"/>
                      <w:lang w:val="en-US" w:eastAsia="zh-CN" w:bidi="ar-SA"/>
                    </w:rPr>
                  </w:pPr>
                  <w:r>
                    <w:rPr>
                      <w:rFonts w:hint="default" w:ascii="Times New Roman" w:hAnsi="Times New Roman" w:eastAsia="宋体" w:cs="Times New Roman"/>
                      <w:bCs/>
                      <w:color w:val="auto"/>
                      <w:sz w:val="21"/>
                      <w:szCs w:val="21"/>
                      <w:highlight w:val="none"/>
                      <w:vertAlign w:val="baseline"/>
                      <w:lang w:val="en-US" w:eastAsia="zh-CN"/>
                    </w:rPr>
                    <w:t>废气净化装置（光氧）</w:t>
                  </w:r>
                </w:p>
              </w:tc>
              <w:tc>
                <w:tcPr>
                  <w:tcW w:w="772" w:type="pct"/>
                  <w:tcBorders>
                    <w:tl2br w:val="nil"/>
                    <w:tr2bl w:val="nil"/>
                  </w:tcBorders>
                  <w:noWrap w:val="0"/>
                  <w:vAlign w:val="center"/>
                </w:tcPr>
                <w:p w14:paraId="47EC9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snapToGrid w:val="0"/>
                      <w:color w:val="auto"/>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3套</w:t>
                  </w:r>
                </w:p>
              </w:tc>
              <w:tc>
                <w:tcPr>
                  <w:tcW w:w="817" w:type="pct"/>
                  <w:vMerge w:val="continue"/>
                  <w:tcBorders>
                    <w:tl2br w:val="nil"/>
                    <w:tr2bl w:val="nil"/>
                  </w:tcBorders>
                  <w:noWrap w:val="0"/>
                  <w:vAlign w:val="center"/>
                </w:tcPr>
                <w:p w14:paraId="0A65CC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096C93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442BE7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10</w:t>
                  </w:r>
                </w:p>
              </w:tc>
              <w:tc>
                <w:tcPr>
                  <w:tcW w:w="2784" w:type="pct"/>
                  <w:tcBorders>
                    <w:tl2br w:val="nil"/>
                    <w:tr2bl w:val="nil"/>
                  </w:tcBorders>
                  <w:shd w:val="clear" w:color="auto" w:fill="auto"/>
                  <w:noWrap w:val="0"/>
                  <w:vAlign w:val="center"/>
                </w:tcPr>
                <w:p w14:paraId="73B53E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塑料回收造粒机组</w:t>
                  </w:r>
                </w:p>
              </w:tc>
              <w:tc>
                <w:tcPr>
                  <w:tcW w:w="772" w:type="pct"/>
                  <w:tcBorders>
                    <w:tl2br w:val="nil"/>
                    <w:tr2bl w:val="nil"/>
                  </w:tcBorders>
                  <w:shd w:val="clear" w:color="auto" w:fill="auto"/>
                  <w:noWrap w:val="0"/>
                  <w:vAlign w:val="center"/>
                </w:tcPr>
                <w:p w14:paraId="533DA0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4</w:t>
                  </w:r>
                  <w:r>
                    <w:rPr>
                      <w:rFonts w:hint="default" w:ascii="Times New Roman" w:hAnsi="Times New Roman" w:cs="Times New Roman"/>
                      <w:color w:val="auto"/>
                      <w:sz w:val="21"/>
                      <w:szCs w:val="21"/>
                      <w:highlight w:val="none"/>
                      <w:vertAlign w:val="baseline"/>
                      <w:lang w:val="en-US" w:eastAsia="zh-CN"/>
                    </w:rPr>
                    <w:t>套</w:t>
                  </w:r>
                </w:p>
              </w:tc>
              <w:tc>
                <w:tcPr>
                  <w:tcW w:w="817" w:type="pct"/>
                  <w:vMerge w:val="restart"/>
                  <w:tcBorders>
                    <w:tl2br w:val="nil"/>
                    <w:tr2bl w:val="nil"/>
                  </w:tcBorders>
                  <w:noWrap w:val="0"/>
                  <w:vAlign w:val="center"/>
                </w:tcPr>
                <w:p w14:paraId="7AAF3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2023年建设</w:t>
                  </w:r>
                  <w:r>
                    <w:rPr>
                      <w:rFonts w:hint="default" w:ascii="Times New Roman" w:hAnsi="Times New Roman" w:eastAsia="宋体" w:cs="Times New Roman"/>
                      <w:i w:val="0"/>
                      <w:iCs w:val="0"/>
                      <w:color w:val="auto"/>
                      <w:kern w:val="0"/>
                      <w:sz w:val="21"/>
                      <w:szCs w:val="21"/>
                      <w:highlight w:val="none"/>
                      <w:u w:val="none"/>
                      <w:lang w:val="en-US" w:eastAsia="zh-CN" w:bidi="ar"/>
                    </w:rPr>
                    <w:t>废塑料再生造粒项目</w:t>
                  </w:r>
                </w:p>
              </w:tc>
            </w:tr>
            <w:tr w14:paraId="2C129D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7CC269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11</w:t>
                  </w:r>
                </w:p>
              </w:tc>
              <w:tc>
                <w:tcPr>
                  <w:tcW w:w="2784" w:type="pct"/>
                  <w:tcBorders>
                    <w:tl2br w:val="nil"/>
                    <w:tr2bl w:val="nil"/>
                  </w:tcBorders>
                  <w:shd w:val="clear" w:color="auto" w:fill="auto"/>
                  <w:noWrap w:val="0"/>
                  <w:vAlign w:val="center"/>
                </w:tcPr>
                <w:p w14:paraId="16F0A2C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湿式破碎机</w:t>
                  </w:r>
                </w:p>
              </w:tc>
              <w:tc>
                <w:tcPr>
                  <w:tcW w:w="772" w:type="pct"/>
                  <w:tcBorders>
                    <w:tl2br w:val="nil"/>
                    <w:tr2bl w:val="nil"/>
                  </w:tcBorders>
                  <w:shd w:val="clear" w:color="auto" w:fill="auto"/>
                  <w:noWrap w:val="0"/>
                  <w:vAlign w:val="center"/>
                </w:tcPr>
                <w:p w14:paraId="37324A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2台</w:t>
                  </w:r>
                </w:p>
              </w:tc>
              <w:tc>
                <w:tcPr>
                  <w:tcW w:w="817" w:type="pct"/>
                  <w:vMerge w:val="continue"/>
                  <w:tcBorders>
                    <w:tl2br w:val="nil"/>
                    <w:tr2bl w:val="nil"/>
                  </w:tcBorders>
                  <w:noWrap w:val="0"/>
                  <w:vAlign w:val="center"/>
                </w:tcPr>
                <w:p w14:paraId="3532F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53C5C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4F800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12</w:t>
                  </w:r>
                </w:p>
              </w:tc>
              <w:tc>
                <w:tcPr>
                  <w:tcW w:w="2784" w:type="pct"/>
                  <w:tcBorders>
                    <w:tl2br w:val="nil"/>
                    <w:tr2bl w:val="nil"/>
                  </w:tcBorders>
                  <w:shd w:val="clear" w:color="auto" w:fill="auto"/>
                  <w:noWrap w:val="0"/>
                  <w:vAlign w:val="center"/>
                </w:tcPr>
                <w:p w14:paraId="50DB39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清洗水槽</w:t>
                  </w:r>
                </w:p>
              </w:tc>
              <w:tc>
                <w:tcPr>
                  <w:tcW w:w="772" w:type="pct"/>
                  <w:tcBorders>
                    <w:tl2br w:val="nil"/>
                    <w:tr2bl w:val="nil"/>
                  </w:tcBorders>
                  <w:shd w:val="clear" w:color="auto" w:fill="auto"/>
                  <w:noWrap w:val="0"/>
                  <w:vAlign w:val="center"/>
                </w:tcPr>
                <w:p w14:paraId="052F22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2台</w:t>
                  </w:r>
                </w:p>
              </w:tc>
              <w:tc>
                <w:tcPr>
                  <w:tcW w:w="817" w:type="pct"/>
                  <w:vMerge w:val="continue"/>
                  <w:tcBorders>
                    <w:tl2br w:val="nil"/>
                    <w:tr2bl w:val="nil"/>
                  </w:tcBorders>
                  <w:noWrap w:val="0"/>
                  <w:vAlign w:val="center"/>
                </w:tcPr>
                <w:p w14:paraId="200BA4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4BB51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31AE1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13</w:t>
                  </w:r>
                </w:p>
              </w:tc>
              <w:tc>
                <w:tcPr>
                  <w:tcW w:w="2784" w:type="pct"/>
                  <w:tcBorders>
                    <w:tl2br w:val="nil"/>
                    <w:tr2bl w:val="nil"/>
                  </w:tcBorders>
                  <w:shd w:val="clear" w:color="auto" w:fill="auto"/>
                  <w:noWrap w:val="0"/>
                  <w:vAlign w:val="center"/>
                </w:tcPr>
                <w:p w14:paraId="2044CD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清洗绞龙</w:t>
                  </w:r>
                </w:p>
              </w:tc>
              <w:tc>
                <w:tcPr>
                  <w:tcW w:w="772" w:type="pct"/>
                  <w:tcBorders>
                    <w:tl2br w:val="nil"/>
                    <w:tr2bl w:val="nil"/>
                  </w:tcBorders>
                  <w:shd w:val="clear" w:color="auto" w:fill="auto"/>
                  <w:noWrap w:val="0"/>
                  <w:vAlign w:val="center"/>
                </w:tcPr>
                <w:p w14:paraId="6F2B2C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w:t>
                  </w:r>
                  <w:r>
                    <w:rPr>
                      <w:rFonts w:hint="default" w:ascii="Times New Roman" w:hAnsi="Times New Roman" w:cs="Times New Roman"/>
                      <w:color w:val="auto"/>
                      <w:sz w:val="21"/>
                      <w:szCs w:val="21"/>
                      <w:highlight w:val="none"/>
                      <w:vertAlign w:val="baseline"/>
                      <w:lang w:val="en-US" w:eastAsia="zh-CN"/>
                    </w:rPr>
                    <w:t>套</w:t>
                  </w:r>
                </w:p>
              </w:tc>
              <w:tc>
                <w:tcPr>
                  <w:tcW w:w="817" w:type="pct"/>
                  <w:vMerge w:val="continue"/>
                  <w:tcBorders>
                    <w:tl2br w:val="nil"/>
                    <w:tr2bl w:val="nil"/>
                  </w:tcBorders>
                  <w:noWrap w:val="0"/>
                  <w:vAlign w:val="center"/>
                </w:tcPr>
                <w:p w14:paraId="3D2175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36BFF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08D3B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14</w:t>
                  </w:r>
                </w:p>
              </w:tc>
              <w:tc>
                <w:tcPr>
                  <w:tcW w:w="2784" w:type="pct"/>
                  <w:tcBorders>
                    <w:tl2br w:val="nil"/>
                    <w:tr2bl w:val="nil"/>
                  </w:tcBorders>
                  <w:shd w:val="clear" w:color="auto" w:fill="auto"/>
                  <w:noWrap w:val="0"/>
                  <w:vAlign w:val="center"/>
                </w:tcPr>
                <w:p w14:paraId="04D6D4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沉淀池</w:t>
                  </w:r>
                </w:p>
              </w:tc>
              <w:tc>
                <w:tcPr>
                  <w:tcW w:w="772" w:type="pct"/>
                  <w:tcBorders>
                    <w:tl2br w:val="nil"/>
                    <w:tr2bl w:val="nil"/>
                  </w:tcBorders>
                  <w:shd w:val="clear" w:color="auto" w:fill="auto"/>
                  <w:noWrap w:val="0"/>
                  <w:vAlign w:val="center"/>
                </w:tcPr>
                <w:p w14:paraId="4F143E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1座</w:t>
                  </w:r>
                </w:p>
              </w:tc>
              <w:tc>
                <w:tcPr>
                  <w:tcW w:w="817" w:type="pct"/>
                  <w:vMerge w:val="continue"/>
                  <w:tcBorders>
                    <w:tl2br w:val="nil"/>
                    <w:tr2bl w:val="nil"/>
                  </w:tcBorders>
                  <w:noWrap w:val="0"/>
                  <w:vAlign w:val="center"/>
                </w:tcPr>
                <w:p w14:paraId="5CAF1B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r w14:paraId="128069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l2br w:val="nil"/>
                    <w:tr2bl w:val="nil"/>
                  </w:tcBorders>
                  <w:noWrap w:val="0"/>
                  <w:vAlign w:val="center"/>
                </w:tcPr>
                <w:p w14:paraId="708B94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15</w:t>
                  </w:r>
                </w:p>
              </w:tc>
              <w:tc>
                <w:tcPr>
                  <w:tcW w:w="2784" w:type="pct"/>
                  <w:tcBorders>
                    <w:tl2br w:val="nil"/>
                    <w:tr2bl w:val="nil"/>
                  </w:tcBorders>
                  <w:shd w:val="clear" w:color="auto" w:fill="auto"/>
                  <w:noWrap w:val="0"/>
                  <w:vAlign w:val="center"/>
                </w:tcPr>
                <w:p w14:paraId="19FE69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bCs/>
                      <w:color w:val="auto"/>
                      <w:kern w:val="2"/>
                      <w:sz w:val="21"/>
                      <w:szCs w:val="21"/>
                      <w:highlight w:val="none"/>
                      <w:lang w:val="en-US" w:eastAsia="zh-CN" w:bidi="ar-SA"/>
                    </w:rPr>
                    <w:t>二级活性炭吸附装置</w:t>
                  </w:r>
                </w:p>
              </w:tc>
              <w:tc>
                <w:tcPr>
                  <w:tcW w:w="772" w:type="pct"/>
                  <w:tcBorders>
                    <w:tl2br w:val="nil"/>
                    <w:tr2bl w:val="nil"/>
                  </w:tcBorders>
                  <w:shd w:val="clear" w:color="auto" w:fill="auto"/>
                  <w:noWrap w:val="0"/>
                  <w:vAlign w:val="center"/>
                </w:tcPr>
                <w:p w14:paraId="247528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1台</w:t>
                  </w:r>
                </w:p>
              </w:tc>
              <w:tc>
                <w:tcPr>
                  <w:tcW w:w="817" w:type="pct"/>
                  <w:vMerge w:val="continue"/>
                  <w:tcBorders>
                    <w:tl2br w:val="nil"/>
                    <w:tr2bl w:val="nil"/>
                  </w:tcBorders>
                  <w:noWrap w:val="0"/>
                  <w:vAlign w:val="center"/>
                </w:tcPr>
                <w:p w14:paraId="3FC5C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p>
              </w:tc>
            </w:tr>
          </w:tbl>
          <w:p w14:paraId="3EB51181">
            <w:pPr>
              <w:bidi w:val="0"/>
              <w:spacing w:line="360" w:lineRule="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lang w:val="en-US" w:eastAsia="zh-CN"/>
              </w:rPr>
              <w:t>2.2.3</w:t>
            </w:r>
            <w:r>
              <w:rPr>
                <w:rFonts w:hint="default" w:ascii="Times New Roman" w:hAnsi="Times New Roman" w:cs="Times New Roman"/>
                <w:b/>
                <w:color w:val="auto"/>
                <w:sz w:val="24"/>
                <w:highlight w:val="none"/>
                <w:lang w:val="en-US" w:eastAsia="zh-CN"/>
              </w:rPr>
              <w:t>现有工程</w:t>
            </w:r>
            <w:r>
              <w:rPr>
                <w:rFonts w:hint="default" w:ascii="Times New Roman" w:hAnsi="Times New Roman" w:cs="Times New Roman"/>
                <w:b/>
                <w:bCs/>
                <w:color w:val="auto"/>
                <w:sz w:val="24"/>
                <w:szCs w:val="32"/>
                <w:highlight w:val="none"/>
              </w:rPr>
              <w:t>原辅材料</w:t>
            </w:r>
            <w:r>
              <w:rPr>
                <w:rFonts w:hint="default" w:ascii="Times New Roman" w:hAnsi="Times New Roman" w:cs="Times New Roman"/>
                <w:b/>
                <w:bCs/>
                <w:color w:val="auto"/>
                <w:sz w:val="24"/>
                <w:szCs w:val="32"/>
                <w:highlight w:val="none"/>
                <w:lang w:val="en-US" w:eastAsia="zh-CN"/>
              </w:rPr>
              <w:t>及能源</w:t>
            </w:r>
            <w:r>
              <w:rPr>
                <w:rFonts w:hint="default" w:ascii="Times New Roman" w:hAnsi="Times New Roman" w:cs="Times New Roman"/>
                <w:b/>
                <w:bCs/>
                <w:color w:val="auto"/>
                <w:sz w:val="24"/>
                <w:szCs w:val="32"/>
                <w:highlight w:val="none"/>
              </w:rPr>
              <w:t>消耗</w:t>
            </w:r>
          </w:p>
          <w:p w14:paraId="7432567E">
            <w:pPr>
              <w:adjustRightInd/>
              <w:snapToGrid/>
              <w:spacing w:after="0" w:line="360" w:lineRule="auto"/>
              <w:ind w:firstLine="480" w:firstLineChars="200"/>
              <w:rPr>
                <w:rFonts w:hint="default" w:ascii="Times New Roman" w:hAnsi="Times New Roman" w:eastAsia="宋体" w:cs="Times New Roman"/>
                <w:snapToGrid w:val="0"/>
                <w:color w:val="auto"/>
                <w:sz w:val="24"/>
                <w:szCs w:val="24"/>
                <w:highlight w:val="none"/>
              </w:rPr>
            </w:pPr>
            <w:r>
              <w:rPr>
                <w:rFonts w:hint="default" w:ascii="Times New Roman" w:hAnsi="Times New Roman" w:cs="Times New Roman"/>
                <w:snapToGrid w:val="0"/>
                <w:color w:val="auto"/>
                <w:sz w:val="24"/>
                <w:szCs w:val="24"/>
                <w:highlight w:val="none"/>
                <w:lang w:val="en-US" w:eastAsia="zh-CN"/>
              </w:rPr>
              <w:t>现有</w:t>
            </w:r>
            <w:r>
              <w:rPr>
                <w:rFonts w:hint="default" w:ascii="Times New Roman" w:hAnsi="Times New Roman" w:eastAsia="宋体" w:cs="Times New Roman"/>
                <w:snapToGrid w:val="0"/>
                <w:color w:val="auto"/>
                <w:sz w:val="24"/>
                <w:szCs w:val="24"/>
                <w:highlight w:val="none"/>
                <w:lang w:val="en-US" w:eastAsia="zh-CN"/>
              </w:rPr>
              <w:t>工程</w:t>
            </w:r>
            <w:r>
              <w:rPr>
                <w:rFonts w:hint="default" w:ascii="Times New Roman" w:hAnsi="Times New Roman" w:eastAsia="宋体" w:cs="Times New Roman"/>
                <w:snapToGrid w:val="0"/>
                <w:color w:val="auto"/>
                <w:sz w:val="24"/>
                <w:szCs w:val="24"/>
                <w:highlight w:val="none"/>
              </w:rPr>
              <w:t>运营期间原</w:t>
            </w:r>
            <w:r>
              <w:rPr>
                <w:rFonts w:hint="default" w:ascii="Times New Roman" w:hAnsi="Times New Roman" w:eastAsia="宋体" w:cs="Times New Roman"/>
                <w:snapToGrid w:val="0"/>
                <w:color w:val="auto"/>
                <w:sz w:val="24"/>
                <w:szCs w:val="24"/>
                <w:highlight w:val="none"/>
                <w:lang w:eastAsia="zh-CN"/>
              </w:rPr>
              <w:t>辅</w:t>
            </w:r>
            <w:r>
              <w:rPr>
                <w:rFonts w:hint="default" w:ascii="Times New Roman" w:hAnsi="Times New Roman" w:eastAsia="宋体" w:cs="Times New Roman"/>
                <w:snapToGrid w:val="0"/>
                <w:color w:val="auto"/>
                <w:sz w:val="24"/>
                <w:szCs w:val="24"/>
                <w:highlight w:val="none"/>
              </w:rPr>
              <w:t>料</w:t>
            </w:r>
            <w:r>
              <w:rPr>
                <w:rFonts w:hint="default" w:ascii="Times New Roman" w:hAnsi="Times New Roman" w:eastAsia="宋体" w:cs="Times New Roman"/>
                <w:snapToGrid w:val="0"/>
                <w:color w:val="auto"/>
                <w:sz w:val="24"/>
                <w:szCs w:val="24"/>
                <w:highlight w:val="none"/>
                <w:lang w:val="en-US" w:eastAsia="zh-CN"/>
              </w:rPr>
              <w:t>及能源</w:t>
            </w:r>
            <w:r>
              <w:rPr>
                <w:rFonts w:hint="default" w:ascii="Times New Roman" w:hAnsi="Times New Roman" w:eastAsia="宋体" w:cs="Times New Roman"/>
                <w:snapToGrid w:val="0"/>
                <w:color w:val="auto"/>
                <w:sz w:val="24"/>
                <w:szCs w:val="24"/>
                <w:highlight w:val="none"/>
              </w:rPr>
              <w:t>消耗</w:t>
            </w:r>
            <w:r>
              <w:rPr>
                <w:rFonts w:hint="default" w:ascii="Times New Roman" w:hAnsi="Times New Roman" w:eastAsia="宋体" w:cs="Times New Roman"/>
                <w:snapToGrid w:val="0"/>
                <w:color w:val="auto"/>
                <w:sz w:val="24"/>
                <w:szCs w:val="24"/>
                <w:highlight w:val="none"/>
                <w:lang w:val="en-US" w:eastAsia="zh-CN"/>
              </w:rPr>
              <w:t>情况</w:t>
            </w:r>
            <w:r>
              <w:rPr>
                <w:rFonts w:hint="default" w:ascii="Times New Roman" w:hAnsi="Times New Roman" w:eastAsia="宋体" w:cs="Times New Roman"/>
                <w:snapToGrid w:val="0"/>
                <w:color w:val="auto"/>
                <w:sz w:val="24"/>
                <w:szCs w:val="24"/>
                <w:highlight w:val="none"/>
                <w:lang w:eastAsia="zh-CN"/>
              </w:rPr>
              <w:t>，</w:t>
            </w:r>
            <w:r>
              <w:rPr>
                <w:rFonts w:hint="default" w:ascii="Times New Roman" w:hAnsi="Times New Roman" w:eastAsia="宋体" w:cs="Times New Roman"/>
                <w:snapToGrid w:val="0"/>
                <w:color w:val="auto"/>
                <w:sz w:val="24"/>
                <w:szCs w:val="24"/>
                <w:highlight w:val="none"/>
              </w:rPr>
              <w:t>见表</w:t>
            </w:r>
            <w:r>
              <w:rPr>
                <w:rFonts w:hint="default" w:ascii="Times New Roman" w:hAnsi="Times New Roman" w:eastAsia="宋体" w:cs="Times New Roman"/>
                <w:snapToGrid w:val="0"/>
                <w:color w:val="auto"/>
                <w:sz w:val="24"/>
                <w:szCs w:val="24"/>
                <w:highlight w:val="none"/>
                <w:lang w:val="en-US" w:eastAsia="zh-CN"/>
              </w:rPr>
              <w:t>2-8</w:t>
            </w:r>
            <w:r>
              <w:rPr>
                <w:rFonts w:hint="default" w:ascii="Times New Roman" w:hAnsi="Times New Roman" w:eastAsia="宋体" w:cs="Times New Roman"/>
                <w:snapToGrid w:val="0"/>
                <w:color w:val="auto"/>
                <w:sz w:val="24"/>
                <w:szCs w:val="24"/>
                <w:highlight w:val="none"/>
              </w:rPr>
              <w:t>。</w:t>
            </w:r>
          </w:p>
          <w:p w14:paraId="6C7CF60A">
            <w:pPr>
              <w:pStyle w:val="68"/>
              <w:widowControl/>
              <w:adjustRightInd/>
              <w:snapToGrid/>
              <w:spacing w:after="0"/>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表</w:t>
            </w:r>
            <w:r>
              <w:rPr>
                <w:rFonts w:hint="default" w:ascii="Times New Roman" w:hAnsi="Times New Roman" w:eastAsia="宋体" w:cs="Times New Roman"/>
                <w:color w:val="auto"/>
                <w:sz w:val="21"/>
                <w:highlight w:val="none"/>
                <w:lang w:val="en-US" w:eastAsia="zh-CN"/>
              </w:rPr>
              <w:t>2-8</w:t>
            </w:r>
            <w:r>
              <w:rPr>
                <w:rFonts w:hint="default" w:ascii="Times New Roman" w:hAnsi="Times New Roman" w:eastAsia="宋体" w:cs="Times New Roman"/>
                <w:color w:val="auto"/>
                <w:sz w:val="21"/>
                <w:highlight w:val="none"/>
              </w:rPr>
              <w:t xml:space="preserve">    原辅材料一览表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3021"/>
              <w:gridCol w:w="3012"/>
            </w:tblGrid>
            <w:tr w14:paraId="00622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7" w:type="pct"/>
                  <w:tcBorders>
                    <w:tl2br w:val="nil"/>
                    <w:tr2bl w:val="nil"/>
                  </w:tcBorders>
                  <w:noWrap w:val="0"/>
                  <w:vAlign w:val="center"/>
                </w:tcPr>
                <w:p w14:paraId="3D85B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序号</w:t>
                  </w:r>
                </w:p>
              </w:tc>
              <w:tc>
                <w:tcPr>
                  <w:tcW w:w="1924" w:type="pct"/>
                  <w:tcBorders>
                    <w:tl2br w:val="nil"/>
                    <w:tr2bl w:val="nil"/>
                  </w:tcBorders>
                  <w:noWrap w:val="0"/>
                  <w:vAlign w:val="center"/>
                </w:tcPr>
                <w:p w14:paraId="77BB4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主要原辅料名称</w:t>
                  </w:r>
                </w:p>
              </w:tc>
              <w:tc>
                <w:tcPr>
                  <w:tcW w:w="1918" w:type="pct"/>
                  <w:tcBorders>
                    <w:tl2br w:val="nil"/>
                    <w:tr2bl w:val="nil"/>
                  </w:tcBorders>
                  <w:noWrap w:val="0"/>
                  <w:vAlign w:val="center"/>
                </w:tcPr>
                <w:p w14:paraId="2F6900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highlight w:val="none"/>
                      <w:vertAlign w:val="baseline"/>
                      <w:lang w:val="en-US" w:eastAsia="zh-CN"/>
                    </w:rPr>
                  </w:pPr>
                  <w:r>
                    <w:rPr>
                      <w:rFonts w:hint="default" w:ascii="Times New Roman" w:hAnsi="Times New Roman" w:cs="Times New Roman"/>
                      <w:b/>
                      <w:bCs w:val="0"/>
                      <w:color w:val="auto"/>
                      <w:sz w:val="21"/>
                      <w:szCs w:val="21"/>
                      <w:highlight w:val="none"/>
                      <w:vertAlign w:val="baseline"/>
                      <w:lang w:val="en-US" w:eastAsia="zh-CN"/>
                    </w:rPr>
                    <w:t>年需要量（吨）</w:t>
                  </w:r>
                </w:p>
              </w:tc>
            </w:tr>
            <w:tr w14:paraId="7F8EC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57" w:type="pct"/>
                  <w:tcBorders>
                    <w:tl2br w:val="nil"/>
                    <w:tr2bl w:val="nil"/>
                  </w:tcBorders>
                  <w:noWrap w:val="0"/>
                  <w:vAlign w:val="center"/>
                </w:tcPr>
                <w:p w14:paraId="7B2EB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924" w:type="pct"/>
                  <w:tcBorders>
                    <w:tl2br w:val="nil"/>
                    <w:tr2bl w:val="nil"/>
                  </w:tcBorders>
                  <w:noWrap w:val="0"/>
                  <w:vAlign w:val="center"/>
                </w:tcPr>
                <w:p w14:paraId="2B64D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PVC树脂</w:t>
                  </w:r>
                </w:p>
              </w:tc>
              <w:tc>
                <w:tcPr>
                  <w:tcW w:w="1918" w:type="pct"/>
                  <w:tcBorders>
                    <w:tl2br w:val="nil"/>
                    <w:tr2bl w:val="nil"/>
                  </w:tcBorders>
                  <w:noWrap w:val="0"/>
                  <w:vAlign w:val="center"/>
                </w:tcPr>
                <w:p w14:paraId="193F9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1000</w:t>
                  </w:r>
                </w:p>
              </w:tc>
            </w:tr>
            <w:tr w14:paraId="322589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57" w:type="pct"/>
                  <w:tcBorders>
                    <w:tl2br w:val="nil"/>
                    <w:tr2bl w:val="nil"/>
                  </w:tcBorders>
                  <w:noWrap w:val="0"/>
                  <w:vAlign w:val="center"/>
                </w:tcPr>
                <w:p w14:paraId="55841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2</w:t>
                  </w:r>
                </w:p>
              </w:tc>
              <w:tc>
                <w:tcPr>
                  <w:tcW w:w="1924" w:type="pct"/>
                  <w:tcBorders>
                    <w:tl2br w:val="nil"/>
                    <w:tr2bl w:val="nil"/>
                  </w:tcBorders>
                  <w:noWrap w:val="0"/>
                  <w:vAlign w:val="center"/>
                </w:tcPr>
                <w:p w14:paraId="5EFB39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PVC树脂辅料（色母）</w:t>
                  </w:r>
                </w:p>
              </w:tc>
              <w:tc>
                <w:tcPr>
                  <w:tcW w:w="1918" w:type="pct"/>
                  <w:tcBorders>
                    <w:tl2br w:val="nil"/>
                    <w:tr2bl w:val="nil"/>
                  </w:tcBorders>
                  <w:noWrap w:val="0"/>
                  <w:vAlign w:val="center"/>
                </w:tcPr>
                <w:p w14:paraId="58E709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100</w:t>
                  </w:r>
                </w:p>
              </w:tc>
            </w:tr>
            <w:tr w14:paraId="4BF70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7" w:type="pct"/>
                  <w:tcBorders>
                    <w:tl2br w:val="nil"/>
                    <w:tr2bl w:val="nil"/>
                  </w:tcBorders>
                  <w:noWrap w:val="0"/>
                  <w:vAlign w:val="center"/>
                </w:tcPr>
                <w:p w14:paraId="28892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1924" w:type="pct"/>
                  <w:tcBorders>
                    <w:tl2br w:val="nil"/>
                    <w:tr2bl w:val="nil"/>
                  </w:tcBorders>
                  <w:noWrap w:val="0"/>
                  <w:vAlign w:val="center"/>
                </w:tcPr>
                <w:p w14:paraId="6F487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PE高压线性颗粒料</w:t>
                  </w:r>
                </w:p>
              </w:tc>
              <w:tc>
                <w:tcPr>
                  <w:tcW w:w="1918" w:type="pct"/>
                  <w:tcBorders>
                    <w:tl2br w:val="nil"/>
                    <w:tr2bl w:val="nil"/>
                  </w:tcBorders>
                  <w:noWrap w:val="0"/>
                  <w:vAlign w:val="center"/>
                </w:tcPr>
                <w:p w14:paraId="71BC38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2970</w:t>
                  </w:r>
                </w:p>
              </w:tc>
            </w:tr>
            <w:tr w14:paraId="5EDCD5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7" w:type="pct"/>
                  <w:tcBorders>
                    <w:tl2br w:val="nil"/>
                    <w:tr2bl w:val="nil"/>
                  </w:tcBorders>
                  <w:noWrap w:val="0"/>
                  <w:vAlign w:val="center"/>
                </w:tcPr>
                <w:p w14:paraId="6980E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w:t>
                  </w:r>
                </w:p>
              </w:tc>
              <w:tc>
                <w:tcPr>
                  <w:tcW w:w="1924" w:type="pct"/>
                  <w:tcBorders>
                    <w:tl2br w:val="nil"/>
                    <w:tr2bl w:val="nil"/>
                  </w:tcBorders>
                  <w:noWrap w:val="0"/>
                  <w:vAlign w:val="center"/>
                </w:tcPr>
                <w:p w14:paraId="460432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黑色母粒</w:t>
                  </w:r>
                </w:p>
              </w:tc>
              <w:tc>
                <w:tcPr>
                  <w:tcW w:w="1918" w:type="pct"/>
                  <w:tcBorders>
                    <w:tl2br w:val="nil"/>
                    <w:tr2bl w:val="nil"/>
                  </w:tcBorders>
                  <w:noWrap w:val="0"/>
                  <w:vAlign w:val="center"/>
                </w:tcPr>
                <w:p w14:paraId="2219A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30</w:t>
                  </w:r>
                </w:p>
              </w:tc>
            </w:tr>
            <w:tr w14:paraId="7C6E3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57" w:type="pct"/>
                  <w:tcBorders>
                    <w:tl2br w:val="nil"/>
                    <w:tr2bl w:val="nil"/>
                  </w:tcBorders>
                  <w:noWrap w:val="0"/>
                  <w:vAlign w:val="center"/>
                </w:tcPr>
                <w:p w14:paraId="4FE7B3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w:t>
                  </w:r>
                </w:p>
              </w:tc>
              <w:tc>
                <w:tcPr>
                  <w:tcW w:w="1924" w:type="pct"/>
                  <w:tcBorders>
                    <w:tl2br w:val="nil"/>
                    <w:tr2bl w:val="nil"/>
                  </w:tcBorders>
                  <w:noWrap w:val="0"/>
                  <w:vAlign w:val="center"/>
                </w:tcPr>
                <w:p w14:paraId="7912D5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废旧塑料</w:t>
                  </w:r>
                </w:p>
              </w:tc>
              <w:tc>
                <w:tcPr>
                  <w:tcW w:w="1918" w:type="pct"/>
                  <w:tcBorders>
                    <w:tl2br w:val="nil"/>
                    <w:tr2bl w:val="nil"/>
                  </w:tcBorders>
                  <w:noWrap w:val="0"/>
                  <w:vAlign w:val="center"/>
                </w:tcPr>
                <w:p w14:paraId="45910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5000</w:t>
                  </w:r>
                </w:p>
              </w:tc>
            </w:tr>
          </w:tbl>
          <w:p w14:paraId="20A11968">
            <w:pPr>
              <w:spacing w:line="360" w:lineRule="auto"/>
              <w:jc w:val="left"/>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2.2.4现有工程工艺流程及产排污环节</w:t>
            </w:r>
          </w:p>
          <w:p w14:paraId="1DFD200E">
            <w:pPr>
              <w:widowControl/>
              <w:adjustRightInd/>
              <w:snapToGrid/>
              <w:spacing w:after="0" w:line="360" w:lineRule="auto"/>
              <w:ind w:firstLine="480" w:firstLineChars="200"/>
              <w:rPr>
                <w:rFonts w:hint="default" w:ascii="Times New Roman" w:hAnsi="Times New Roman" w:eastAsia="宋体" w:cs="Times New Roman"/>
                <w:snapToGrid w:val="0"/>
                <w:color w:val="auto"/>
                <w:sz w:val="24"/>
                <w:szCs w:val="24"/>
                <w:highlight w:val="none"/>
              </w:rPr>
            </w:pPr>
            <w:r>
              <w:rPr>
                <w:rFonts w:hint="default" w:ascii="Times New Roman" w:hAnsi="Times New Roman" w:cs="Times New Roman"/>
                <w:snapToGrid w:val="0"/>
                <w:color w:val="auto"/>
                <w:sz w:val="24"/>
                <w:szCs w:val="24"/>
                <w:highlight w:val="none"/>
                <w:lang w:val="en-US" w:eastAsia="zh-CN"/>
              </w:rPr>
              <w:t>现有</w:t>
            </w:r>
            <w:r>
              <w:rPr>
                <w:rFonts w:hint="default" w:ascii="Times New Roman" w:hAnsi="Times New Roman" w:eastAsia="宋体" w:cs="Times New Roman"/>
                <w:snapToGrid w:val="0"/>
                <w:color w:val="auto"/>
                <w:sz w:val="24"/>
                <w:szCs w:val="24"/>
                <w:highlight w:val="none"/>
                <w:lang w:val="en-US" w:eastAsia="zh-CN"/>
              </w:rPr>
              <w:t>工程</w:t>
            </w:r>
            <w:r>
              <w:rPr>
                <w:rFonts w:hint="default" w:ascii="Times New Roman" w:hAnsi="Times New Roman" w:eastAsia="宋体" w:cs="Times New Roman"/>
                <w:snapToGrid w:val="0"/>
                <w:color w:val="auto"/>
                <w:sz w:val="24"/>
                <w:szCs w:val="24"/>
                <w:highlight w:val="none"/>
                <w:lang w:eastAsia="zh-CN"/>
              </w:rPr>
              <w:t>实际</w:t>
            </w:r>
            <w:r>
              <w:rPr>
                <w:rFonts w:hint="default" w:ascii="Times New Roman" w:hAnsi="Times New Roman" w:eastAsia="宋体" w:cs="Times New Roman"/>
                <w:snapToGrid w:val="0"/>
                <w:color w:val="auto"/>
                <w:sz w:val="24"/>
                <w:szCs w:val="24"/>
                <w:highlight w:val="none"/>
              </w:rPr>
              <w:t>运营后</w:t>
            </w:r>
            <w:r>
              <w:rPr>
                <w:rFonts w:hint="default" w:ascii="Times New Roman" w:hAnsi="Times New Roman" w:eastAsia="宋体" w:cs="Times New Roman"/>
                <w:snapToGrid w:val="0"/>
                <w:color w:val="auto"/>
                <w:sz w:val="24"/>
                <w:szCs w:val="24"/>
                <w:highlight w:val="none"/>
                <w:lang w:eastAsia="zh-CN"/>
              </w:rPr>
              <w:t>生产工艺与环评</w:t>
            </w:r>
            <w:r>
              <w:rPr>
                <w:rFonts w:hint="default" w:ascii="Times New Roman" w:hAnsi="Times New Roman" w:eastAsia="宋体" w:cs="Times New Roman"/>
                <w:snapToGrid w:val="0"/>
                <w:color w:val="auto"/>
                <w:sz w:val="24"/>
                <w:szCs w:val="24"/>
                <w:highlight w:val="none"/>
                <w:lang w:val="en-US" w:eastAsia="zh-CN"/>
              </w:rPr>
              <w:t>批复</w:t>
            </w:r>
            <w:r>
              <w:rPr>
                <w:rFonts w:hint="default" w:ascii="Times New Roman" w:hAnsi="Times New Roman" w:eastAsia="宋体" w:cs="Times New Roman"/>
                <w:snapToGrid w:val="0"/>
                <w:color w:val="auto"/>
                <w:sz w:val="24"/>
                <w:szCs w:val="24"/>
                <w:highlight w:val="none"/>
                <w:lang w:eastAsia="zh-CN"/>
              </w:rPr>
              <w:t>中一致，工艺</w:t>
            </w:r>
            <w:r>
              <w:rPr>
                <w:rFonts w:hint="default" w:ascii="Times New Roman" w:hAnsi="Times New Roman" w:eastAsia="宋体" w:cs="Times New Roman"/>
                <w:snapToGrid w:val="0"/>
                <w:color w:val="auto"/>
                <w:sz w:val="24"/>
                <w:szCs w:val="24"/>
                <w:highlight w:val="none"/>
              </w:rPr>
              <w:t>主要产污流程见图</w:t>
            </w:r>
            <w:r>
              <w:rPr>
                <w:rFonts w:hint="default" w:ascii="Times New Roman" w:hAnsi="Times New Roman" w:eastAsia="宋体" w:cs="Times New Roman"/>
                <w:snapToGrid w:val="0"/>
                <w:color w:val="auto"/>
                <w:sz w:val="24"/>
                <w:szCs w:val="24"/>
                <w:highlight w:val="none"/>
                <w:lang w:val="en-US" w:eastAsia="zh-CN"/>
              </w:rPr>
              <w:t>2-3</w:t>
            </w:r>
            <w:r>
              <w:rPr>
                <w:rFonts w:hint="default" w:ascii="Times New Roman" w:hAnsi="Times New Roman" w:eastAsia="宋体" w:cs="Times New Roman"/>
                <w:snapToGrid w:val="0"/>
                <w:color w:val="auto"/>
                <w:sz w:val="24"/>
                <w:szCs w:val="24"/>
                <w:highlight w:val="none"/>
                <w:lang w:eastAsia="zh-CN"/>
              </w:rPr>
              <w:t>、</w:t>
            </w:r>
            <w:r>
              <w:rPr>
                <w:rFonts w:hint="default" w:ascii="Times New Roman" w:hAnsi="Times New Roman" w:eastAsia="宋体" w:cs="Times New Roman"/>
                <w:snapToGrid w:val="0"/>
                <w:color w:val="auto"/>
                <w:sz w:val="24"/>
                <w:szCs w:val="24"/>
                <w:highlight w:val="none"/>
                <w:lang w:val="en-US" w:eastAsia="zh-CN"/>
              </w:rPr>
              <w:t>2-4</w:t>
            </w:r>
            <w:r>
              <w:rPr>
                <w:rFonts w:hint="default" w:ascii="Times New Roman" w:hAnsi="Times New Roman" w:eastAsia="宋体" w:cs="Times New Roman"/>
                <w:snapToGrid w:val="0"/>
                <w:color w:val="auto"/>
                <w:sz w:val="24"/>
                <w:szCs w:val="24"/>
                <w:highlight w:val="none"/>
              </w:rPr>
              <w:t>。</w:t>
            </w:r>
          </w:p>
          <w:p w14:paraId="568D8FAA">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PVC管生产工艺</w:t>
            </w:r>
          </w:p>
          <w:p w14:paraId="5B255ADE">
            <w:pPr>
              <w:keepNext w:val="0"/>
              <w:keepLines w:val="0"/>
              <w:pageBreakBefore w:val="0"/>
              <w:widowControl w:val="0"/>
              <w:kinsoku/>
              <w:wordWrap/>
              <w:overflowPunct/>
              <w:topLinePunct w:val="0"/>
              <w:bidi w:val="0"/>
              <w:spacing w:line="360" w:lineRule="auto"/>
              <w:ind w:left="0" w:leftChars="0" w:firstLine="0" w:firstLineChars="0"/>
              <w:jc w:val="center"/>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drawing>
                <wp:inline distT="0" distB="0" distL="114300" distR="114300">
                  <wp:extent cx="4848860" cy="1513840"/>
                  <wp:effectExtent l="0" t="0" r="8890" b="10160"/>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11"/>
                          <a:stretch>
                            <a:fillRect/>
                          </a:stretch>
                        </pic:blipFill>
                        <pic:spPr>
                          <a:xfrm>
                            <a:off x="0" y="0"/>
                            <a:ext cx="4848860" cy="1513840"/>
                          </a:xfrm>
                          <a:prstGeom prst="rect">
                            <a:avLst/>
                          </a:prstGeom>
                          <a:noFill/>
                          <a:ln>
                            <a:noFill/>
                          </a:ln>
                        </pic:spPr>
                      </pic:pic>
                    </a:graphicData>
                  </a:graphic>
                </wp:inline>
              </w:drawing>
            </w:r>
          </w:p>
          <w:p w14:paraId="18B5CE0B">
            <w:pPr>
              <w:keepNext w:val="0"/>
              <w:keepLines w:val="0"/>
              <w:pageBreakBefore w:val="0"/>
              <w:widowControl w:val="0"/>
              <w:kinsoku/>
              <w:wordWrap/>
              <w:overflowPunct/>
              <w:topLinePunct w:val="0"/>
              <w:bidi w:val="0"/>
              <w:spacing w:line="360" w:lineRule="auto"/>
              <w:ind w:firstLine="422" w:firstLineChars="200"/>
              <w:jc w:val="center"/>
              <w:textAlignment w:val="auto"/>
              <w:rPr>
                <w:rFonts w:hint="default" w:ascii="Times New Roman" w:hAnsi="Times New Roman" w:cs="Times New Roman"/>
                <w:color w:val="auto"/>
                <w:highlight w:val="none"/>
              </w:rPr>
            </w:pPr>
            <w:r>
              <w:rPr>
                <w:rFonts w:hint="default" w:ascii="Times New Roman" w:hAnsi="Times New Roman" w:eastAsia="宋体" w:cs="Times New Roman"/>
                <w:b/>
                <w:bCs/>
                <w:snapToGrid w:val="0"/>
                <w:color w:val="auto"/>
                <w:sz w:val="21"/>
                <w:szCs w:val="21"/>
                <w:highlight w:val="none"/>
                <w:lang w:val="en-US" w:eastAsia="zh-CN" w:bidi="ar-SA"/>
              </w:rPr>
              <w:t>图</w:t>
            </w:r>
            <w:r>
              <w:rPr>
                <w:rFonts w:hint="eastAsia" w:ascii="Times New Roman" w:hAnsi="Times New Roman" w:cs="Times New Roman"/>
                <w:b/>
                <w:bCs/>
                <w:snapToGrid w:val="0"/>
                <w:color w:val="auto"/>
                <w:sz w:val="21"/>
                <w:szCs w:val="21"/>
                <w:highlight w:val="none"/>
                <w:lang w:val="en-US" w:eastAsia="zh-CN" w:bidi="ar-SA"/>
              </w:rPr>
              <w:t>2-2</w:t>
            </w:r>
            <w:r>
              <w:rPr>
                <w:rFonts w:hint="default" w:ascii="Times New Roman" w:hAnsi="Times New Roman" w:eastAsia="宋体" w:cs="Times New Roman"/>
                <w:b/>
                <w:bCs/>
                <w:snapToGrid w:val="0"/>
                <w:color w:val="auto"/>
                <w:sz w:val="21"/>
                <w:szCs w:val="21"/>
                <w:highlight w:val="none"/>
                <w:lang w:val="en-US" w:eastAsia="zh-CN" w:bidi="ar-SA"/>
              </w:rPr>
              <w:t xml:space="preserve">   PVC管生产工艺流程</w:t>
            </w:r>
          </w:p>
          <w:p w14:paraId="5701D272">
            <w:pPr>
              <w:pStyle w:val="46"/>
              <w:numPr>
                <w:ilvl w:val="0"/>
                <w:numId w:val="0"/>
              </w:numPr>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商品聚氯乙烯树脂和母料按比例配料，经过混合后的原料到融化区，经220℃</w:t>
            </w:r>
            <w:r>
              <w:rPr>
                <w:rFonts w:hint="default" w:ascii="Times New Roman" w:hAnsi="Times New Roman" w:cs="Times New Roman"/>
                <w:bCs/>
                <w:color w:val="auto"/>
                <w:sz w:val="24"/>
                <w:szCs w:val="24"/>
                <w:highlight w:val="none"/>
                <w:lang w:val="en-US" w:eastAsia="zh-CN"/>
              </w:rPr>
              <w:t>熔化</w:t>
            </w:r>
            <w:r>
              <w:rPr>
                <w:rFonts w:hint="default" w:ascii="Times New Roman" w:hAnsi="Times New Roman" w:eastAsia="宋体" w:cs="Times New Roman"/>
                <w:bCs/>
                <w:color w:val="auto"/>
                <w:sz w:val="24"/>
                <w:szCs w:val="24"/>
                <w:highlight w:val="none"/>
                <w:lang w:val="en-US" w:eastAsia="zh-CN"/>
              </w:rPr>
              <w:t>后的物料到挤出区在模具的作用下挤出，通过循环冷却水冷却定型，成型后即得到产品。</w:t>
            </w:r>
          </w:p>
          <w:p w14:paraId="4CEEAA9C">
            <w:pPr>
              <w:pStyle w:val="46"/>
              <w:numPr>
                <w:ilvl w:val="0"/>
                <w:numId w:val="0"/>
              </w:numPr>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（2）农膜生产工艺</w:t>
            </w:r>
          </w:p>
          <w:p w14:paraId="4EB12E15">
            <w:pPr>
              <w:keepNext w:val="0"/>
              <w:keepLines w:val="0"/>
              <w:pageBreakBefore w:val="0"/>
              <w:widowControl w:val="0"/>
              <w:kinsoku/>
              <w:wordWrap/>
              <w:overflowPunct/>
              <w:topLinePunct w:val="0"/>
              <w:bidi w:val="0"/>
              <w:spacing w:line="360" w:lineRule="auto"/>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color w:val="auto"/>
                <w:highlight w:val="none"/>
              </w:rPr>
              <w:drawing>
                <wp:inline distT="0" distB="0" distL="114300" distR="114300">
                  <wp:extent cx="4909185" cy="1767205"/>
                  <wp:effectExtent l="9525" t="9525" r="15240" b="13970"/>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12"/>
                          <a:stretch>
                            <a:fillRect/>
                          </a:stretch>
                        </pic:blipFill>
                        <pic:spPr>
                          <a:xfrm>
                            <a:off x="0" y="0"/>
                            <a:ext cx="4909185" cy="176720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3B8D0F9D">
            <w:pPr>
              <w:pStyle w:val="31"/>
              <w:jc w:val="center"/>
              <w:rPr>
                <w:rFonts w:hint="default" w:ascii="Times New Roman" w:hAnsi="Times New Roman" w:eastAsia="宋体" w:cs="Times New Roman"/>
                <w:b/>
                <w:bCs/>
                <w:snapToGrid w:val="0"/>
                <w:color w:val="auto"/>
                <w:sz w:val="21"/>
                <w:szCs w:val="21"/>
                <w:highlight w:val="none"/>
                <w:lang w:val="en-US" w:eastAsia="zh-CN" w:bidi="ar-SA"/>
              </w:rPr>
            </w:pPr>
            <w:r>
              <w:rPr>
                <w:rFonts w:hint="default" w:ascii="Times New Roman" w:hAnsi="Times New Roman" w:eastAsia="宋体" w:cs="Times New Roman"/>
                <w:b/>
                <w:bCs/>
                <w:snapToGrid w:val="0"/>
                <w:color w:val="auto"/>
                <w:sz w:val="21"/>
                <w:szCs w:val="21"/>
                <w:highlight w:val="none"/>
                <w:lang w:val="en-US" w:eastAsia="zh-CN" w:bidi="ar-SA"/>
              </w:rPr>
              <w:t>图</w:t>
            </w:r>
            <w:r>
              <w:rPr>
                <w:rFonts w:hint="eastAsia" w:cs="Times New Roman"/>
                <w:b/>
                <w:bCs/>
                <w:snapToGrid w:val="0"/>
                <w:color w:val="auto"/>
                <w:sz w:val="21"/>
                <w:szCs w:val="21"/>
                <w:highlight w:val="none"/>
                <w:lang w:val="en-US" w:eastAsia="zh-CN" w:bidi="ar-SA"/>
              </w:rPr>
              <w:t>2-3</w:t>
            </w:r>
            <w:r>
              <w:rPr>
                <w:rFonts w:hint="default" w:ascii="Times New Roman" w:hAnsi="Times New Roman" w:eastAsia="宋体" w:cs="Times New Roman"/>
                <w:b/>
                <w:bCs/>
                <w:snapToGrid w:val="0"/>
                <w:color w:val="auto"/>
                <w:sz w:val="21"/>
                <w:szCs w:val="21"/>
                <w:highlight w:val="none"/>
                <w:lang w:val="en-US" w:eastAsia="zh-CN" w:bidi="ar-SA"/>
              </w:rPr>
              <w:t xml:space="preserve">   农用地膜生产工艺流程</w:t>
            </w:r>
          </w:p>
          <w:p w14:paraId="3B3B665E">
            <w:pPr>
              <w:pStyle w:val="46"/>
              <w:numPr>
                <w:ilvl w:val="0"/>
                <w:numId w:val="0"/>
              </w:numPr>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（3）PE管生产工艺</w:t>
            </w:r>
          </w:p>
          <w:p w14:paraId="53F495A1">
            <w:pPr>
              <w:pStyle w:val="46"/>
              <w:numPr>
                <w:ilvl w:val="0"/>
                <w:numId w:val="0"/>
              </w:numPr>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把聚乙烯树脂和母料按比例配料，经过混合后的原料到融化区，经220℃融化后的物料到吹塑区进行吹塑，吹制成所需宽度和厚度的地膜，再牵引切割收卷后包装成成品，经检验合格的产品入库。</w:t>
            </w:r>
          </w:p>
          <w:p w14:paraId="3AAEE1D8">
            <w:pPr>
              <w:jc w:val="center"/>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color w:val="auto"/>
                <w:highlight w:val="none"/>
              </w:rPr>
              <w:drawing>
                <wp:inline distT="0" distB="0" distL="114300" distR="114300">
                  <wp:extent cx="4772025" cy="1701800"/>
                  <wp:effectExtent l="9525" t="9525" r="19050" b="22225"/>
                  <wp:docPr id="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pic:cNvPicPr>
                            <a:picLocks noChangeAspect="1"/>
                          </pic:cNvPicPr>
                        </pic:nvPicPr>
                        <pic:blipFill>
                          <a:blip r:embed="rId13"/>
                          <a:stretch>
                            <a:fillRect/>
                          </a:stretch>
                        </pic:blipFill>
                        <pic:spPr>
                          <a:xfrm>
                            <a:off x="0" y="0"/>
                            <a:ext cx="4772025" cy="170180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5C2C30B1">
            <w:pPr>
              <w:pStyle w:val="31"/>
              <w:jc w:val="center"/>
              <w:rPr>
                <w:rFonts w:hint="default" w:ascii="Times New Roman" w:hAnsi="Times New Roman" w:eastAsia="宋体" w:cs="Times New Roman"/>
                <w:b/>
                <w:bCs/>
                <w:snapToGrid w:val="0"/>
                <w:color w:val="auto"/>
                <w:sz w:val="21"/>
                <w:szCs w:val="21"/>
                <w:highlight w:val="none"/>
                <w:lang w:val="en-US" w:eastAsia="zh-CN" w:bidi="ar-SA"/>
              </w:rPr>
            </w:pPr>
            <w:r>
              <w:rPr>
                <w:rFonts w:hint="default" w:ascii="Times New Roman" w:hAnsi="Times New Roman" w:eastAsia="宋体" w:cs="Times New Roman"/>
                <w:b/>
                <w:bCs/>
                <w:snapToGrid w:val="0"/>
                <w:color w:val="auto"/>
                <w:sz w:val="21"/>
                <w:szCs w:val="21"/>
                <w:highlight w:val="none"/>
                <w:lang w:val="en-US" w:eastAsia="zh-CN" w:bidi="ar-SA"/>
              </w:rPr>
              <w:t>图</w:t>
            </w:r>
            <w:r>
              <w:rPr>
                <w:rFonts w:hint="eastAsia" w:cs="Times New Roman"/>
                <w:b/>
                <w:bCs/>
                <w:snapToGrid w:val="0"/>
                <w:color w:val="auto"/>
                <w:sz w:val="21"/>
                <w:szCs w:val="21"/>
                <w:highlight w:val="none"/>
                <w:lang w:val="en-US" w:eastAsia="zh-CN" w:bidi="ar-SA"/>
              </w:rPr>
              <w:t>2-4</w:t>
            </w:r>
            <w:r>
              <w:rPr>
                <w:rFonts w:hint="default" w:ascii="Times New Roman" w:hAnsi="Times New Roman" w:eastAsia="宋体" w:cs="Times New Roman"/>
                <w:b/>
                <w:bCs/>
                <w:snapToGrid w:val="0"/>
                <w:color w:val="auto"/>
                <w:sz w:val="21"/>
                <w:szCs w:val="21"/>
                <w:highlight w:val="none"/>
                <w:lang w:val="en-US" w:eastAsia="zh-CN" w:bidi="ar-SA"/>
              </w:rPr>
              <w:t xml:space="preserve">   PE管生产工艺流程</w:t>
            </w:r>
          </w:p>
          <w:p w14:paraId="495F6345">
            <w:pPr>
              <w:pStyle w:val="46"/>
              <w:numPr>
                <w:ilvl w:val="0"/>
                <w:numId w:val="0"/>
              </w:numPr>
              <w:ind w:firstLine="480" w:firstLineChars="200"/>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原料经过严格检验合格后，原辅料严格按比例称量、配料，投入高速混合机中进行搅拌捏合，物料在高速搅拌过程中被混合均匀，升温到160℃后，送到搅拌机继续升温至175℃为二级温区，三级温区为185℃-195℃，四级温区为200℃塑化，再到五级温区210℃时换网过滤，后又逐步至机头六级温区180℃挤出成型，七级冷却170℃定型，八级温区165℃定型成品后，成为成品。</w:t>
            </w:r>
          </w:p>
          <w:p w14:paraId="6123B265">
            <w:pPr>
              <w:keepNext w:val="0"/>
              <w:keepLines w:val="0"/>
              <w:pageBreakBefore w:val="0"/>
              <w:widowControl w:val="0"/>
              <w:kinsoku/>
              <w:wordWrap/>
              <w:overflowPunct/>
              <w:topLinePunct w:val="0"/>
              <w:autoSpaceDE/>
              <w:autoSpaceDN/>
              <w:bidi w:val="0"/>
              <w:adjustRightInd/>
              <w:snapToGrid w:val="0"/>
              <w:spacing w:after="0" w:line="360" w:lineRule="auto"/>
              <w:ind w:left="0" w:right="0" w:firstLine="482" w:firstLineChars="200"/>
              <w:jc w:val="left"/>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w:t>
            </w:r>
            <w:r>
              <w:rPr>
                <w:rFonts w:hint="default" w:ascii="Times New Roman" w:hAnsi="Times New Roman" w:cs="Times New Roman"/>
                <w:b/>
                <w:bCs/>
                <w:color w:val="auto"/>
                <w:kern w:val="2"/>
                <w:sz w:val="24"/>
                <w:szCs w:val="24"/>
                <w:highlight w:val="none"/>
                <w:lang w:val="en-US" w:eastAsia="zh-CN" w:bidi="ar-SA"/>
              </w:rPr>
              <w:t>4</w:t>
            </w:r>
            <w:r>
              <w:rPr>
                <w:rFonts w:hint="default" w:ascii="Times New Roman" w:hAnsi="Times New Roman" w:eastAsia="宋体" w:cs="Times New Roman"/>
                <w:b/>
                <w:bCs/>
                <w:color w:val="auto"/>
                <w:kern w:val="2"/>
                <w:sz w:val="24"/>
                <w:szCs w:val="24"/>
                <w:highlight w:val="none"/>
                <w:lang w:val="en-US" w:eastAsia="zh-CN" w:bidi="ar-SA"/>
              </w:rPr>
              <w:t>）废塑料再生造粒工艺及产排污环节</w:t>
            </w:r>
          </w:p>
          <w:p w14:paraId="42D9A0D4">
            <w:pPr>
              <w:widowControl w:val="0"/>
              <w:adjustRightInd/>
              <w:snapToGrid w:val="0"/>
              <w:spacing w:after="0" w:line="360" w:lineRule="auto"/>
              <w:jc w:val="center"/>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cs="Times New Roman"/>
                <w:color w:val="auto"/>
                <w:highlight w:val="none"/>
              </w:rPr>
              <w:drawing>
                <wp:inline distT="0" distB="0" distL="114300" distR="114300">
                  <wp:extent cx="4831080" cy="3159125"/>
                  <wp:effectExtent l="0" t="0" r="7620" b="3175"/>
                  <wp:docPr id="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
                          <pic:cNvPicPr>
                            <a:picLocks noChangeAspect="1"/>
                          </pic:cNvPicPr>
                        </pic:nvPicPr>
                        <pic:blipFill>
                          <a:blip r:embed="rId14"/>
                          <a:stretch>
                            <a:fillRect/>
                          </a:stretch>
                        </pic:blipFill>
                        <pic:spPr>
                          <a:xfrm>
                            <a:off x="0" y="0"/>
                            <a:ext cx="4831080" cy="3159125"/>
                          </a:xfrm>
                          <a:prstGeom prst="rect">
                            <a:avLst/>
                          </a:prstGeom>
                          <a:noFill/>
                          <a:ln>
                            <a:noFill/>
                          </a:ln>
                        </pic:spPr>
                      </pic:pic>
                    </a:graphicData>
                  </a:graphic>
                </wp:inline>
              </w:drawing>
            </w:r>
          </w:p>
          <w:p w14:paraId="34ED4A3D">
            <w:pPr>
              <w:widowControl w:val="0"/>
              <w:adjustRightInd/>
              <w:snapToGrid w:val="0"/>
              <w:spacing w:after="0" w:line="360" w:lineRule="auto"/>
              <w:jc w:val="center"/>
              <w:rPr>
                <w:rFonts w:hint="default" w:ascii="Times New Roman" w:hAnsi="Times New Roman" w:eastAsia="宋体" w:cs="Times New Roman"/>
                <w:b/>
                <w:bCs/>
                <w:color w:val="auto"/>
                <w:kern w:val="2"/>
                <w:sz w:val="24"/>
                <w:szCs w:val="24"/>
                <w:highlight w:val="none"/>
              </w:rPr>
            </w:pPr>
            <w:r>
              <w:rPr>
                <w:rFonts w:hint="default" w:ascii="Times New Roman" w:hAnsi="Times New Roman" w:eastAsia="宋体" w:cs="Times New Roman"/>
                <w:b/>
                <w:bCs/>
                <w:color w:val="auto"/>
                <w:kern w:val="2"/>
                <w:sz w:val="24"/>
                <w:szCs w:val="24"/>
                <w:highlight w:val="none"/>
              </w:rPr>
              <w:t>图</w:t>
            </w:r>
            <w:r>
              <w:rPr>
                <w:rFonts w:hint="default" w:ascii="Times New Roman" w:hAnsi="Times New Roman" w:eastAsia="宋体" w:cs="Times New Roman"/>
                <w:b/>
                <w:bCs/>
                <w:color w:val="auto"/>
                <w:kern w:val="2"/>
                <w:sz w:val="24"/>
                <w:szCs w:val="24"/>
                <w:highlight w:val="none"/>
                <w:lang w:val="en-US" w:eastAsia="zh-CN"/>
              </w:rPr>
              <w:t>2-</w:t>
            </w:r>
            <w:r>
              <w:rPr>
                <w:rFonts w:hint="default" w:ascii="Times New Roman" w:hAnsi="Times New Roman" w:cs="Times New Roman"/>
                <w:b/>
                <w:bCs/>
                <w:color w:val="auto"/>
                <w:kern w:val="2"/>
                <w:sz w:val="24"/>
                <w:szCs w:val="24"/>
                <w:highlight w:val="none"/>
                <w:lang w:val="en-US" w:eastAsia="zh-CN"/>
              </w:rPr>
              <w:t>5</w:t>
            </w:r>
            <w:r>
              <w:rPr>
                <w:rFonts w:hint="default" w:ascii="Times New Roman" w:hAnsi="Times New Roman" w:eastAsia="宋体" w:cs="Times New Roman"/>
                <w:b/>
                <w:bCs/>
                <w:color w:val="auto"/>
                <w:kern w:val="2"/>
                <w:sz w:val="24"/>
                <w:szCs w:val="24"/>
                <w:highlight w:val="none"/>
              </w:rPr>
              <w:t xml:space="preserve">  </w:t>
            </w:r>
            <w:r>
              <w:rPr>
                <w:rFonts w:hint="default" w:ascii="Times New Roman" w:hAnsi="Times New Roman" w:eastAsia="宋体" w:cs="Times New Roman"/>
                <w:b/>
                <w:bCs/>
                <w:color w:val="auto"/>
                <w:kern w:val="2"/>
                <w:sz w:val="24"/>
                <w:szCs w:val="24"/>
                <w:highlight w:val="none"/>
                <w:lang w:val="en-US" w:eastAsia="zh-CN"/>
              </w:rPr>
              <w:t>废塑料再生造粒</w:t>
            </w:r>
            <w:r>
              <w:rPr>
                <w:rFonts w:hint="default" w:ascii="Times New Roman" w:hAnsi="Times New Roman" w:eastAsia="宋体" w:cs="Times New Roman"/>
                <w:b/>
                <w:bCs/>
                <w:color w:val="auto"/>
                <w:kern w:val="2"/>
                <w:sz w:val="24"/>
                <w:szCs w:val="24"/>
                <w:highlight w:val="none"/>
              </w:rPr>
              <w:t>生产工艺流程及产污环节图</w:t>
            </w:r>
          </w:p>
          <w:p w14:paraId="6C90302C">
            <w:pPr>
              <w:pStyle w:val="63"/>
              <w:keepNext w:val="0"/>
              <w:keepLines w:val="0"/>
              <w:pageBreakBefore w:val="0"/>
              <w:widowControl w:val="0"/>
              <w:kinsoku/>
              <w:wordWrap/>
              <w:overflowPunct/>
              <w:topLinePunct w:val="0"/>
              <w:autoSpaceDE/>
              <w:autoSpaceDN/>
              <w:bidi w:val="0"/>
              <w:adjustRightInd/>
              <w:spacing w:line="360" w:lineRule="auto"/>
              <w:ind w:right="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生产工艺流程简述：</w:t>
            </w:r>
          </w:p>
          <w:p w14:paraId="6CAD8B8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①分拣</w:t>
            </w:r>
          </w:p>
          <w:p w14:paraId="1DD920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对回收的废旧滴灌带进行人工挑拣，将其中杂物（主要为石块、土块、作物残渣等）清理出来，以方便后续加工。分拣工序主要产生分拣废物。</w:t>
            </w:r>
          </w:p>
          <w:p w14:paraId="124ECA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②破碎</w:t>
            </w:r>
          </w:p>
          <w:p w14:paraId="603B90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利用破碎机将废塑料破碎成1~2cm的碎片，破碎机顶部设置雾化喷嘴，破碎的同时进行喷淋降尘，可有效减少破碎粉尘的产生，破碎废水进入沉淀池澄清回用。破碎工序主要产生粉尘、废水及噪声。</w:t>
            </w:r>
          </w:p>
          <w:p w14:paraId="2334AB0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③清洗</w:t>
            </w:r>
          </w:p>
          <w:p w14:paraId="59F5C0C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破碎后的废塑料送至清洗水池进行清洗，清洗的目的是去除废塑料表面附着的杂质（主要为泥沙等）。本项目废塑料清洗工序不使用任何清洗剂。清洗后的废塑料进入造粒工序。清洗工序主要产生废水、噪声，清洗废水经沉淀池沉淀处理后回用，不外排</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沉淀池产生的污染物为泥沙，生产季结束后清掏，自然干化，干化后用于项目区周边农田配土。</w:t>
            </w:r>
          </w:p>
          <w:p w14:paraId="13647A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④熔融、挤出、切粒</w:t>
            </w:r>
          </w:p>
          <w:p w14:paraId="2ADAD8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造粒机由挤出机、水槽、切粒机组成，塑料的挤出成型就是塑料在挤出机中，在一定的温度（180-200℃左右）下熔融塑料，并连续通过有固定截面的模型，得到具有特定断面形状连续型材的加工方法，塑料在料筒中借助料筒外部的加热和螺杆转动的剪切挤压作用而熔融，同时熔体在压力的推动下被连续挤出，被挤出的型材失去塑性变为条状，再经过冷却水槽冷却，以免发生变形。</w:t>
            </w:r>
          </w:p>
          <w:p w14:paraId="277E7C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最后进入切粒机切成圆柱状颗粒。再生塑料颗粒的粒径在0.7-1.5mm范围内，用编织袋进行包装待用。在生产过程中采用节能电磁感应加热技术进行加热塑化，成型后的产品采用水作为冷却剂进行冷却。</w:t>
            </w:r>
          </w:p>
          <w:p w14:paraId="64CB9C2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现有项目产排污环节一览表见表2-</w:t>
            </w:r>
            <w:r>
              <w:rPr>
                <w:rFonts w:hint="eastAsia" w:ascii="Times New Roman" w:hAnsi="Times New Roman" w:cs="Times New Roman"/>
                <w:color w:val="auto"/>
                <w:kern w:val="0"/>
                <w:sz w:val="24"/>
                <w:szCs w:val="24"/>
                <w:highlight w:val="none"/>
                <w:lang w:val="en-US" w:eastAsia="zh-CN" w:bidi="ar"/>
              </w:rPr>
              <w:t>9</w:t>
            </w:r>
            <w:r>
              <w:rPr>
                <w:rFonts w:hint="default" w:ascii="Times New Roman" w:hAnsi="Times New Roman" w:cs="Times New Roman"/>
                <w:color w:val="auto"/>
                <w:kern w:val="0"/>
                <w:sz w:val="24"/>
                <w:szCs w:val="24"/>
                <w:highlight w:val="none"/>
                <w:lang w:val="en-US" w:eastAsia="zh-CN" w:bidi="ar"/>
              </w:rPr>
              <w:t>。</w:t>
            </w:r>
          </w:p>
          <w:p w14:paraId="48E69858">
            <w:pPr>
              <w:keepNext w:val="0"/>
              <w:keepLines w:val="0"/>
              <w:widowControl/>
              <w:suppressLineNumbers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表2-</w:t>
            </w:r>
            <w:r>
              <w:rPr>
                <w:rFonts w:hint="eastAsia" w:ascii="Times New Roman" w:hAnsi="Times New Roman" w:cs="Times New Roman"/>
                <w:b/>
                <w:bCs/>
                <w:color w:val="auto"/>
                <w:highlight w:val="none"/>
                <w:lang w:val="en-US" w:eastAsia="zh-CN"/>
              </w:rPr>
              <w:t>9</w:t>
            </w:r>
            <w:r>
              <w:rPr>
                <w:rFonts w:hint="default" w:ascii="Times New Roman" w:hAnsi="Times New Roman" w:cs="Times New Roman"/>
                <w:b/>
                <w:bCs/>
                <w:color w:val="auto"/>
                <w:highlight w:val="none"/>
                <w:lang w:val="en-US" w:eastAsia="zh-CN"/>
              </w:rPr>
              <w:t xml:space="preserve">   现有项目产排污环节一览表</w:t>
            </w:r>
          </w:p>
          <w:tbl>
            <w:tblPr>
              <w:tblStyle w:val="54"/>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510"/>
              <w:gridCol w:w="2303"/>
              <w:gridCol w:w="2276"/>
            </w:tblGrid>
            <w:tr w14:paraId="67AFD7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tcBorders>
                    <w:bottom w:val="single" w:color="000000" w:sz="12" w:space="0"/>
                  </w:tcBorders>
                  <w:vAlign w:val="center"/>
                </w:tcPr>
                <w:p w14:paraId="3620292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3"/>
                      <w:sz w:val="21"/>
                      <w:szCs w:val="21"/>
                      <w:highlight w:val="none"/>
                    </w:rPr>
                    <w:t>项目</w:t>
                  </w:r>
                </w:p>
              </w:tc>
              <w:tc>
                <w:tcPr>
                  <w:tcW w:w="2510" w:type="dxa"/>
                  <w:tcBorders>
                    <w:bottom w:val="single" w:color="000000" w:sz="12" w:space="0"/>
                  </w:tcBorders>
                  <w:vAlign w:val="center"/>
                </w:tcPr>
                <w:p w14:paraId="1BF6AD2C">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7"/>
                      <w:sz w:val="21"/>
                      <w:szCs w:val="21"/>
                      <w:highlight w:val="none"/>
                    </w:rPr>
                    <w:t>产污环节</w:t>
                  </w:r>
                </w:p>
              </w:tc>
              <w:tc>
                <w:tcPr>
                  <w:tcW w:w="2303" w:type="dxa"/>
                  <w:tcBorders>
                    <w:bottom w:val="single" w:color="000000" w:sz="12" w:space="0"/>
                  </w:tcBorders>
                  <w:vAlign w:val="center"/>
                </w:tcPr>
                <w:p w14:paraId="631746F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6"/>
                      <w:sz w:val="21"/>
                      <w:szCs w:val="21"/>
                      <w:highlight w:val="none"/>
                    </w:rPr>
                    <w:t>污染物</w:t>
                  </w:r>
                </w:p>
              </w:tc>
              <w:tc>
                <w:tcPr>
                  <w:tcW w:w="2276" w:type="dxa"/>
                  <w:tcBorders>
                    <w:bottom w:val="single" w:color="000000" w:sz="12" w:space="0"/>
                  </w:tcBorders>
                  <w:vAlign w:val="center"/>
                </w:tcPr>
                <w:p w14:paraId="364573BC">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7"/>
                      <w:sz w:val="21"/>
                      <w:szCs w:val="21"/>
                      <w:highlight w:val="none"/>
                    </w:rPr>
                    <w:t>污染物成分</w:t>
                  </w:r>
                </w:p>
              </w:tc>
            </w:tr>
            <w:tr w14:paraId="6C2D5B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restart"/>
                  <w:tcBorders>
                    <w:top w:val="single" w:color="000000" w:sz="12" w:space="0"/>
                    <w:tl2br w:val="nil"/>
                    <w:tr2bl w:val="nil"/>
                  </w:tcBorders>
                  <w:vAlign w:val="center"/>
                </w:tcPr>
                <w:p w14:paraId="5CFA39E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废气</w:t>
                  </w:r>
                </w:p>
              </w:tc>
              <w:tc>
                <w:tcPr>
                  <w:tcW w:w="2510" w:type="dxa"/>
                  <w:tcBorders>
                    <w:top w:val="single" w:color="000000" w:sz="12" w:space="0"/>
                    <w:tl2br w:val="nil"/>
                    <w:tr2bl w:val="nil"/>
                  </w:tcBorders>
                  <w:vAlign w:val="center"/>
                </w:tcPr>
                <w:p w14:paraId="5C8BDC3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PVC管生产</w:t>
                  </w:r>
                </w:p>
              </w:tc>
              <w:tc>
                <w:tcPr>
                  <w:tcW w:w="2303" w:type="dxa"/>
                  <w:vMerge w:val="restart"/>
                  <w:tcBorders>
                    <w:top w:val="single" w:color="000000" w:sz="12" w:space="0"/>
                    <w:tl2br w:val="nil"/>
                    <w:tr2bl w:val="nil"/>
                  </w:tcBorders>
                  <w:vAlign w:val="center"/>
                </w:tcPr>
                <w:p w14:paraId="3980FC4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8"/>
                      <w:sz w:val="21"/>
                      <w:szCs w:val="21"/>
                      <w:highlight w:val="none"/>
                      <w:lang w:eastAsia="zh-CN"/>
                    </w:rPr>
                    <w:t>VOCs（以非甲烷总烃计）</w:t>
                  </w:r>
                  <w:r>
                    <w:rPr>
                      <w:rFonts w:hint="default" w:ascii="Times New Roman" w:hAnsi="Times New Roman" w:cs="Times New Roman"/>
                      <w:color w:val="auto"/>
                      <w:spacing w:val="8"/>
                      <w:sz w:val="21"/>
                      <w:szCs w:val="21"/>
                      <w:highlight w:val="none"/>
                    </w:rPr>
                    <w:t>、臭气</w:t>
                  </w:r>
                  <w:r>
                    <w:rPr>
                      <w:rFonts w:hint="default" w:ascii="Times New Roman" w:hAnsi="Times New Roman" w:eastAsia="宋体" w:cs="Times New Roman"/>
                      <w:color w:val="auto"/>
                      <w:spacing w:val="8"/>
                      <w:sz w:val="21"/>
                      <w:szCs w:val="21"/>
                      <w:highlight w:val="none"/>
                      <w:lang w:eastAsia="zh-CN"/>
                    </w:rPr>
                    <w:t>、</w:t>
                  </w:r>
                  <w:r>
                    <w:rPr>
                      <w:rFonts w:hint="default" w:ascii="Times New Roman" w:hAnsi="Times New Roman" w:eastAsia="宋体" w:cs="Times New Roman"/>
                      <w:color w:val="auto"/>
                      <w:spacing w:val="8"/>
                      <w:sz w:val="21"/>
                      <w:szCs w:val="21"/>
                      <w:highlight w:val="none"/>
                      <w:lang w:val="en-US" w:eastAsia="zh-CN"/>
                    </w:rPr>
                    <w:t>颗粒物</w:t>
                  </w:r>
                </w:p>
              </w:tc>
              <w:tc>
                <w:tcPr>
                  <w:tcW w:w="2276" w:type="dxa"/>
                  <w:vMerge w:val="restart"/>
                  <w:tcBorders>
                    <w:top w:val="single" w:color="000000" w:sz="12" w:space="0"/>
                    <w:tl2br w:val="nil"/>
                    <w:tr2bl w:val="nil"/>
                  </w:tcBorders>
                  <w:vAlign w:val="center"/>
                </w:tcPr>
                <w:p w14:paraId="7832AA7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pacing w:val="8"/>
                      <w:sz w:val="21"/>
                      <w:szCs w:val="21"/>
                      <w:highlight w:val="none"/>
                    </w:rPr>
                    <w:t>非甲烷总烃、臭气</w:t>
                  </w:r>
                  <w:r>
                    <w:rPr>
                      <w:rFonts w:hint="default" w:ascii="Times New Roman" w:hAnsi="Times New Roman" w:eastAsia="宋体" w:cs="Times New Roman"/>
                      <w:color w:val="auto"/>
                      <w:spacing w:val="8"/>
                      <w:sz w:val="21"/>
                      <w:szCs w:val="21"/>
                      <w:highlight w:val="none"/>
                      <w:lang w:eastAsia="zh-CN"/>
                    </w:rPr>
                    <w:t>、</w:t>
                  </w:r>
                  <w:r>
                    <w:rPr>
                      <w:rFonts w:hint="default" w:ascii="Times New Roman" w:hAnsi="Times New Roman" w:eastAsia="宋体" w:cs="Times New Roman"/>
                      <w:color w:val="auto"/>
                      <w:spacing w:val="8"/>
                      <w:sz w:val="21"/>
                      <w:szCs w:val="21"/>
                      <w:highlight w:val="none"/>
                      <w:lang w:val="en-US" w:eastAsia="zh-CN"/>
                    </w:rPr>
                    <w:t>颗粒物</w:t>
                  </w:r>
                </w:p>
              </w:tc>
            </w:tr>
            <w:tr w14:paraId="132773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4C5B9F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tcBorders>
                    <w:tl2br w:val="nil"/>
                    <w:tr2bl w:val="nil"/>
                  </w:tcBorders>
                  <w:vAlign w:val="center"/>
                </w:tcPr>
                <w:p w14:paraId="04F71FB7">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农膜生产</w:t>
                  </w:r>
                </w:p>
              </w:tc>
              <w:tc>
                <w:tcPr>
                  <w:tcW w:w="2303" w:type="dxa"/>
                  <w:vMerge w:val="continue"/>
                  <w:tcBorders>
                    <w:tl2br w:val="nil"/>
                    <w:tr2bl w:val="nil"/>
                  </w:tcBorders>
                  <w:vAlign w:val="center"/>
                </w:tcPr>
                <w:p w14:paraId="164BC5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276" w:type="dxa"/>
                  <w:vMerge w:val="continue"/>
                  <w:tcBorders>
                    <w:tl2br w:val="nil"/>
                    <w:tr2bl w:val="nil"/>
                  </w:tcBorders>
                  <w:vAlign w:val="center"/>
                </w:tcPr>
                <w:p w14:paraId="6B8445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r>
            <w:tr w14:paraId="5C268D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458718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tcBorders>
                    <w:tl2br w:val="nil"/>
                    <w:tr2bl w:val="nil"/>
                  </w:tcBorders>
                  <w:vAlign w:val="center"/>
                </w:tcPr>
                <w:p w14:paraId="520D33C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PE管生产</w:t>
                  </w:r>
                </w:p>
              </w:tc>
              <w:tc>
                <w:tcPr>
                  <w:tcW w:w="2303" w:type="dxa"/>
                  <w:vMerge w:val="continue"/>
                  <w:tcBorders>
                    <w:tl2br w:val="nil"/>
                    <w:tr2bl w:val="nil"/>
                  </w:tcBorders>
                  <w:vAlign w:val="center"/>
                </w:tcPr>
                <w:p w14:paraId="4170E3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276" w:type="dxa"/>
                  <w:vMerge w:val="continue"/>
                  <w:tcBorders>
                    <w:tl2br w:val="nil"/>
                    <w:tr2bl w:val="nil"/>
                  </w:tcBorders>
                  <w:vAlign w:val="center"/>
                </w:tcPr>
                <w:p w14:paraId="224D76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r>
            <w:tr w14:paraId="6AD63F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76880F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tcBorders>
                    <w:tl2br w:val="nil"/>
                    <w:tr2bl w:val="nil"/>
                  </w:tcBorders>
                  <w:vAlign w:val="center"/>
                </w:tcPr>
                <w:p w14:paraId="01EA968B">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废塑料再生造粒</w:t>
                  </w:r>
                </w:p>
              </w:tc>
              <w:tc>
                <w:tcPr>
                  <w:tcW w:w="2303" w:type="dxa"/>
                  <w:vMerge w:val="continue"/>
                  <w:tcBorders>
                    <w:tl2br w:val="nil"/>
                    <w:tr2bl w:val="nil"/>
                  </w:tcBorders>
                  <w:vAlign w:val="center"/>
                </w:tcPr>
                <w:p w14:paraId="08FA45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276" w:type="dxa"/>
                  <w:vMerge w:val="continue"/>
                  <w:tcBorders>
                    <w:tl2br w:val="nil"/>
                    <w:tr2bl w:val="nil"/>
                  </w:tcBorders>
                  <w:vAlign w:val="center"/>
                </w:tcPr>
                <w:p w14:paraId="165094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r>
            <w:tr w14:paraId="755A00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tcBorders>
                    <w:tl2br w:val="nil"/>
                    <w:tr2bl w:val="nil"/>
                  </w:tcBorders>
                  <w:vAlign w:val="center"/>
                </w:tcPr>
                <w:p w14:paraId="25A72E36">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废水</w:t>
                  </w:r>
                </w:p>
              </w:tc>
              <w:tc>
                <w:tcPr>
                  <w:tcW w:w="2510" w:type="dxa"/>
                  <w:tcBorders>
                    <w:tl2br w:val="nil"/>
                    <w:tr2bl w:val="nil"/>
                  </w:tcBorders>
                  <w:vAlign w:val="center"/>
                </w:tcPr>
                <w:p w14:paraId="6723565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职工生活</w:t>
                  </w:r>
                </w:p>
              </w:tc>
              <w:tc>
                <w:tcPr>
                  <w:tcW w:w="2303" w:type="dxa"/>
                  <w:tcBorders>
                    <w:tl2br w:val="nil"/>
                    <w:tr2bl w:val="nil"/>
                  </w:tcBorders>
                  <w:vAlign w:val="center"/>
                </w:tcPr>
                <w:p w14:paraId="12E565D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生活污水</w:t>
                  </w:r>
                </w:p>
              </w:tc>
              <w:tc>
                <w:tcPr>
                  <w:tcW w:w="2276" w:type="dxa"/>
                  <w:tcBorders>
                    <w:tl2br w:val="nil"/>
                    <w:tr2bl w:val="nil"/>
                  </w:tcBorders>
                  <w:vAlign w:val="center"/>
                </w:tcPr>
                <w:p w14:paraId="508B9FEF">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COD</w:t>
                  </w:r>
                  <w:r>
                    <w:rPr>
                      <w:rFonts w:hint="default" w:ascii="Times New Roman" w:hAnsi="Times New Roman" w:cs="Times New Roman"/>
                      <w:color w:val="auto"/>
                      <w:sz w:val="21"/>
                      <w:szCs w:val="21"/>
                      <w:highlight w:val="none"/>
                    </w:rPr>
                    <w:t>、</w:t>
                  </w:r>
                  <w:r>
                    <w:rPr>
                      <w:rFonts w:hint="default" w:ascii="Times New Roman" w:hAnsi="Times New Roman" w:eastAsia="Times New Roman" w:cs="Times New Roman"/>
                      <w:color w:val="auto"/>
                      <w:sz w:val="21"/>
                      <w:szCs w:val="21"/>
                      <w:highlight w:val="none"/>
                    </w:rPr>
                    <w:t>BOD</w:t>
                  </w:r>
                  <w:r>
                    <w:rPr>
                      <w:rFonts w:hint="default" w:ascii="Times New Roman" w:hAnsi="Times New Roman" w:eastAsia="Times New Roman" w:cs="Times New Roman"/>
                      <w:color w:val="auto"/>
                      <w:sz w:val="21"/>
                      <w:szCs w:val="21"/>
                      <w:highlight w:val="none"/>
                      <w:vertAlign w:val="subscript"/>
                    </w:rPr>
                    <w:t>5</w:t>
                  </w:r>
                  <w:r>
                    <w:rPr>
                      <w:rFonts w:hint="default" w:ascii="Times New Roman" w:hAnsi="Times New Roman" w:cs="Times New Roman"/>
                      <w:color w:val="auto"/>
                      <w:sz w:val="21"/>
                      <w:szCs w:val="21"/>
                      <w:highlight w:val="none"/>
                    </w:rPr>
                    <w:t>、氨氮、</w:t>
                  </w:r>
                  <w:r>
                    <w:rPr>
                      <w:rFonts w:hint="default" w:ascii="Times New Roman" w:hAnsi="Times New Roman" w:eastAsia="Times New Roman" w:cs="Times New Roman"/>
                      <w:color w:val="auto"/>
                      <w:sz w:val="21"/>
                      <w:szCs w:val="21"/>
                      <w:highlight w:val="none"/>
                    </w:rPr>
                    <w:t>SS</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pacing w:val="8"/>
                      <w:sz w:val="21"/>
                      <w:szCs w:val="21"/>
                      <w:highlight w:val="none"/>
                    </w:rPr>
                    <w:t>动植物油、阴离子、粪大</w:t>
                  </w:r>
                  <w:r>
                    <w:rPr>
                      <w:rFonts w:hint="default" w:ascii="Times New Roman" w:hAnsi="Times New Roman" w:cs="Times New Roman"/>
                      <w:color w:val="auto"/>
                      <w:spacing w:val="7"/>
                      <w:sz w:val="21"/>
                      <w:szCs w:val="21"/>
                      <w:highlight w:val="none"/>
                    </w:rPr>
                    <w:t>肠杆菌等</w:t>
                  </w:r>
                </w:p>
              </w:tc>
            </w:tr>
            <w:tr w14:paraId="3ADD57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tcBorders>
                    <w:tl2br w:val="nil"/>
                    <w:tr2bl w:val="nil"/>
                  </w:tcBorders>
                  <w:vAlign w:val="center"/>
                </w:tcPr>
                <w:p w14:paraId="5FDD98D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噪声</w:t>
                  </w:r>
                </w:p>
              </w:tc>
              <w:tc>
                <w:tcPr>
                  <w:tcW w:w="2510" w:type="dxa"/>
                  <w:tcBorders>
                    <w:tl2br w:val="nil"/>
                    <w:tr2bl w:val="nil"/>
                  </w:tcBorders>
                  <w:vAlign w:val="center"/>
                </w:tcPr>
                <w:p w14:paraId="03CBA05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生产过程</w:t>
                  </w:r>
                </w:p>
              </w:tc>
              <w:tc>
                <w:tcPr>
                  <w:tcW w:w="2303" w:type="dxa"/>
                  <w:tcBorders>
                    <w:tl2br w:val="nil"/>
                    <w:tr2bl w:val="nil"/>
                  </w:tcBorders>
                  <w:vAlign w:val="center"/>
                </w:tcPr>
                <w:p w14:paraId="6E47E78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设备噪声</w:t>
                  </w:r>
                </w:p>
              </w:tc>
              <w:tc>
                <w:tcPr>
                  <w:tcW w:w="2276" w:type="dxa"/>
                  <w:tcBorders>
                    <w:tl2br w:val="nil"/>
                    <w:tr2bl w:val="nil"/>
                  </w:tcBorders>
                  <w:vAlign w:val="center"/>
                </w:tcPr>
                <w:p w14:paraId="15C8A1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LAeq</w:t>
                  </w:r>
                </w:p>
              </w:tc>
            </w:tr>
            <w:tr w14:paraId="1CECB9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restart"/>
                  <w:tcBorders>
                    <w:tl2br w:val="nil"/>
                    <w:tr2bl w:val="nil"/>
                  </w:tcBorders>
                  <w:vAlign w:val="center"/>
                </w:tcPr>
                <w:p w14:paraId="1AA21F0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一般固体废</w:t>
                  </w:r>
                  <w:r>
                    <w:rPr>
                      <w:rFonts w:hint="default" w:ascii="Times New Roman" w:hAnsi="Times New Roman" w:cs="Times New Roman"/>
                      <w:color w:val="auto"/>
                      <w:sz w:val="21"/>
                      <w:szCs w:val="21"/>
                      <w:highlight w:val="none"/>
                    </w:rPr>
                    <w:t>物</w:t>
                  </w:r>
                </w:p>
              </w:tc>
              <w:tc>
                <w:tcPr>
                  <w:tcW w:w="2510" w:type="dxa"/>
                  <w:vMerge w:val="restart"/>
                  <w:tcBorders>
                    <w:tl2br w:val="nil"/>
                    <w:tr2bl w:val="nil"/>
                  </w:tcBorders>
                  <w:vAlign w:val="center"/>
                </w:tcPr>
                <w:p w14:paraId="6488C93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生产过程</w:t>
                  </w:r>
                </w:p>
              </w:tc>
              <w:tc>
                <w:tcPr>
                  <w:tcW w:w="2303" w:type="dxa"/>
                  <w:tcBorders>
                    <w:tl2br w:val="nil"/>
                    <w:tr2bl w:val="nil"/>
                  </w:tcBorders>
                  <w:vAlign w:val="center"/>
                </w:tcPr>
                <w:p w14:paraId="25D1CED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材料包装袋</w:t>
                  </w:r>
                </w:p>
              </w:tc>
              <w:tc>
                <w:tcPr>
                  <w:tcW w:w="2276" w:type="dxa"/>
                  <w:tcBorders>
                    <w:tl2br w:val="nil"/>
                    <w:tr2bl w:val="nil"/>
                  </w:tcBorders>
                  <w:vAlign w:val="center"/>
                </w:tcPr>
                <w:p w14:paraId="48B5596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pacing w:val="8"/>
                      <w:sz w:val="21"/>
                      <w:szCs w:val="21"/>
                      <w:highlight w:val="none"/>
                      <w:lang w:eastAsia="zh-CN"/>
                    </w:rPr>
                    <w:t>废包装袋</w:t>
                  </w:r>
                </w:p>
              </w:tc>
            </w:tr>
            <w:tr w14:paraId="13B52A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4A7EFD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2E47C53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303" w:type="dxa"/>
                  <w:tcBorders>
                    <w:tl2br w:val="nil"/>
                    <w:tr2bl w:val="nil"/>
                  </w:tcBorders>
                  <w:vAlign w:val="center"/>
                </w:tcPr>
                <w:p w14:paraId="27F75F2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不合格产品及边角料</w:t>
                  </w:r>
                </w:p>
              </w:tc>
              <w:tc>
                <w:tcPr>
                  <w:tcW w:w="2276" w:type="dxa"/>
                  <w:tcBorders>
                    <w:tl2br w:val="nil"/>
                    <w:tr2bl w:val="nil"/>
                  </w:tcBorders>
                  <w:vAlign w:val="center"/>
                </w:tcPr>
                <w:p w14:paraId="4BD9E48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不合格产品及边角料</w:t>
                  </w:r>
                </w:p>
              </w:tc>
            </w:tr>
            <w:tr w14:paraId="2B371F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164EE8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260DE5EB">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6"/>
                      <w:sz w:val="21"/>
                      <w:szCs w:val="21"/>
                      <w:highlight w:val="none"/>
                    </w:rPr>
                  </w:pPr>
                </w:p>
              </w:tc>
              <w:tc>
                <w:tcPr>
                  <w:tcW w:w="2303" w:type="dxa"/>
                  <w:tcBorders>
                    <w:tl2br w:val="nil"/>
                    <w:tr2bl w:val="nil"/>
                  </w:tcBorders>
                  <w:vAlign w:val="center"/>
                </w:tcPr>
                <w:p w14:paraId="7A6588A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泥土、杂质</w:t>
                  </w:r>
                </w:p>
              </w:tc>
              <w:tc>
                <w:tcPr>
                  <w:tcW w:w="2276" w:type="dxa"/>
                  <w:tcBorders>
                    <w:tl2br w:val="nil"/>
                    <w:tr2bl w:val="nil"/>
                  </w:tcBorders>
                  <w:vAlign w:val="center"/>
                </w:tcPr>
                <w:p w14:paraId="024076D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泥土、杂质</w:t>
                  </w:r>
                </w:p>
              </w:tc>
            </w:tr>
            <w:tr w14:paraId="5950D7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4FD246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6567DD3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6"/>
                      <w:sz w:val="21"/>
                      <w:szCs w:val="21"/>
                      <w:highlight w:val="none"/>
                    </w:rPr>
                  </w:pPr>
                </w:p>
              </w:tc>
              <w:tc>
                <w:tcPr>
                  <w:tcW w:w="2303" w:type="dxa"/>
                  <w:tcBorders>
                    <w:tl2br w:val="nil"/>
                    <w:tr2bl w:val="nil"/>
                  </w:tcBorders>
                  <w:vAlign w:val="center"/>
                </w:tcPr>
                <w:p w14:paraId="53B1469B">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底泥</w:t>
                  </w:r>
                </w:p>
              </w:tc>
              <w:tc>
                <w:tcPr>
                  <w:tcW w:w="2276" w:type="dxa"/>
                  <w:tcBorders>
                    <w:tl2br w:val="nil"/>
                    <w:tr2bl w:val="nil"/>
                  </w:tcBorders>
                  <w:vAlign w:val="center"/>
                </w:tcPr>
                <w:p w14:paraId="1FD5606C">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底泥</w:t>
                  </w:r>
                </w:p>
              </w:tc>
            </w:tr>
            <w:tr w14:paraId="1F911E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0DC663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53632B0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6"/>
                      <w:sz w:val="21"/>
                      <w:szCs w:val="21"/>
                      <w:highlight w:val="none"/>
                    </w:rPr>
                  </w:pPr>
                </w:p>
              </w:tc>
              <w:tc>
                <w:tcPr>
                  <w:tcW w:w="2303" w:type="dxa"/>
                  <w:tcBorders>
                    <w:tl2br w:val="nil"/>
                    <w:tr2bl w:val="nil"/>
                  </w:tcBorders>
                  <w:vAlign w:val="center"/>
                </w:tcPr>
                <w:p w14:paraId="2E93E73F">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废丝网</w:t>
                  </w:r>
                </w:p>
              </w:tc>
              <w:tc>
                <w:tcPr>
                  <w:tcW w:w="2276" w:type="dxa"/>
                  <w:tcBorders>
                    <w:tl2br w:val="nil"/>
                    <w:tr2bl w:val="nil"/>
                  </w:tcBorders>
                  <w:vAlign w:val="center"/>
                </w:tcPr>
                <w:p w14:paraId="6962768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废丝网</w:t>
                  </w:r>
                </w:p>
              </w:tc>
            </w:tr>
            <w:tr w14:paraId="3CE7BA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5343A0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519E034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pacing w:val="6"/>
                      <w:sz w:val="21"/>
                      <w:szCs w:val="21"/>
                      <w:highlight w:val="none"/>
                    </w:rPr>
                  </w:pPr>
                </w:p>
              </w:tc>
              <w:tc>
                <w:tcPr>
                  <w:tcW w:w="2303" w:type="dxa"/>
                  <w:tcBorders>
                    <w:tl2br w:val="nil"/>
                    <w:tr2bl w:val="nil"/>
                  </w:tcBorders>
                  <w:vAlign w:val="center"/>
                </w:tcPr>
                <w:p w14:paraId="4C30177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生活垃圾</w:t>
                  </w:r>
                </w:p>
              </w:tc>
              <w:tc>
                <w:tcPr>
                  <w:tcW w:w="2276" w:type="dxa"/>
                  <w:tcBorders>
                    <w:tl2br w:val="nil"/>
                    <w:tr2bl w:val="nil"/>
                  </w:tcBorders>
                  <w:vAlign w:val="center"/>
                </w:tcPr>
                <w:p w14:paraId="2BF630B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生活垃圾</w:t>
                  </w:r>
                </w:p>
              </w:tc>
            </w:tr>
            <w:tr w14:paraId="228122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restart"/>
                  <w:tcBorders>
                    <w:tl2br w:val="nil"/>
                    <w:tr2bl w:val="nil"/>
                  </w:tcBorders>
                  <w:vAlign w:val="center"/>
                </w:tcPr>
                <w:p w14:paraId="64D22D5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危险废物</w:t>
                  </w:r>
                </w:p>
              </w:tc>
              <w:tc>
                <w:tcPr>
                  <w:tcW w:w="2510" w:type="dxa"/>
                  <w:vMerge w:val="restart"/>
                  <w:tcBorders>
                    <w:tl2br w:val="nil"/>
                    <w:tr2bl w:val="nil"/>
                  </w:tcBorders>
                  <w:vAlign w:val="center"/>
                </w:tcPr>
                <w:p w14:paraId="2BF7D6D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废气处理</w:t>
                  </w:r>
                </w:p>
              </w:tc>
              <w:tc>
                <w:tcPr>
                  <w:tcW w:w="2303" w:type="dxa"/>
                  <w:tcBorders>
                    <w:tl2br w:val="nil"/>
                    <w:tr2bl w:val="nil"/>
                  </w:tcBorders>
                  <w:vAlign w:val="center"/>
                </w:tcPr>
                <w:p w14:paraId="6FDE5F6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废弃紫外线灯管</w:t>
                  </w:r>
                </w:p>
              </w:tc>
              <w:tc>
                <w:tcPr>
                  <w:tcW w:w="2276" w:type="dxa"/>
                  <w:tcBorders>
                    <w:tl2br w:val="nil"/>
                    <w:tr2bl w:val="nil"/>
                  </w:tcBorders>
                  <w:vAlign w:val="center"/>
                </w:tcPr>
                <w:p w14:paraId="4F21F62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lang w:val="en-US" w:eastAsia="zh-CN"/>
                    </w:rPr>
                    <w:t>废弃紫外线灯管</w:t>
                  </w:r>
                </w:p>
              </w:tc>
            </w:tr>
            <w:tr w14:paraId="08E7C6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3D726584">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4DA9DF5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303" w:type="dxa"/>
                  <w:tcBorders>
                    <w:tl2br w:val="nil"/>
                    <w:tr2bl w:val="nil"/>
                  </w:tcBorders>
                  <w:vAlign w:val="center"/>
                </w:tcPr>
                <w:p w14:paraId="35291A27">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废活性炭</w:t>
                  </w:r>
                </w:p>
              </w:tc>
              <w:tc>
                <w:tcPr>
                  <w:tcW w:w="2276" w:type="dxa"/>
                  <w:tcBorders>
                    <w:tl2br w:val="nil"/>
                    <w:tr2bl w:val="nil"/>
                  </w:tcBorders>
                  <w:vAlign w:val="center"/>
                </w:tcPr>
                <w:p w14:paraId="669F45A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有机物</w:t>
                  </w:r>
                </w:p>
              </w:tc>
            </w:tr>
            <w:tr w14:paraId="036B29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062111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restart"/>
                  <w:tcBorders>
                    <w:tl2br w:val="nil"/>
                    <w:tr2bl w:val="nil"/>
                  </w:tcBorders>
                  <w:vAlign w:val="center"/>
                </w:tcPr>
                <w:p w14:paraId="66C715C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设备维护</w:t>
                  </w:r>
                </w:p>
              </w:tc>
              <w:tc>
                <w:tcPr>
                  <w:tcW w:w="2303" w:type="dxa"/>
                  <w:tcBorders>
                    <w:tl2br w:val="nil"/>
                    <w:tr2bl w:val="nil"/>
                  </w:tcBorders>
                  <w:vAlign w:val="center"/>
                </w:tcPr>
                <w:p w14:paraId="7D269F3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7"/>
                      <w:sz w:val="21"/>
                      <w:szCs w:val="21"/>
                      <w:highlight w:val="none"/>
                    </w:rPr>
                    <w:t>废机油</w:t>
                  </w:r>
                </w:p>
              </w:tc>
              <w:tc>
                <w:tcPr>
                  <w:tcW w:w="2276" w:type="dxa"/>
                  <w:tcBorders>
                    <w:tl2br w:val="nil"/>
                    <w:tr2bl w:val="nil"/>
                  </w:tcBorders>
                  <w:vAlign w:val="center"/>
                </w:tcPr>
                <w:p w14:paraId="132A74C8">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有机物、重金属</w:t>
                  </w:r>
                </w:p>
              </w:tc>
            </w:tr>
            <w:tr w14:paraId="0FEAD6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4" w:type="dxa"/>
                  <w:vMerge w:val="continue"/>
                  <w:tcBorders>
                    <w:tl2br w:val="nil"/>
                    <w:tr2bl w:val="nil"/>
                  </w:tcBorders>
                  <w:vAlign w:val="center"/>
                </w:tcPr>
                <w:p w14:paraId="326996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510" w:type="dxa"/>
                  <w:vMerge w:val="continue"/>
                  <w:tcBorders>
                    <w:tl2br w:val="nil"/>
                    <w:tr2bl w:val="nil"/>
                  </w:tcBorders>
                  <w:vAlign w:val="center"/>
                </w:tcPr>
                <w:p w14:paraId="6171473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p>
              </w:tc>
              <w:tc>
                <w:tcPr>
                  <w:tcW w:w="2303" w:type="dxa"/>
                  <w:tcBorders>
                    <w:tl2br w:val="nil"/>
                    <w:tr2bl w:val="nil"/>
                  </w:tcBorders>
                  <w:vAlign w:val="center"/>
                </w:tcPr>
                <w:p w14:paraId="2A82164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8"/>
                      <w:sz w:val="21"/>
                      <w:szCs w:val="21"/>
                      <w:highlight w:val="none"/>
                    </w:rPr>
                    <w:t>含油抹布及手套</w:t>
                  </w:r>
                </w:p>
              </w:tc>
              <w:tc>
                <w:tcPr>
                  <w:tcW w:w="2276" w:type="dxa"/>
                  <w:tcBorders>
                    <w:tl2br w:val="nil"/>
                    <w:tr2bl w:val="nil"/>
                  </w:tcBorders>
                  <w:vAlign w:val="center"/>
                </w:tcPr>
                <w:p w14:paraId="4FC648E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有机物</w:t>
                  </w:r>
                </w:p>
              </w:tc>
            </w:tr>
          </w:tbl>
          <w:p w14:paraId="27363A58">
            <w:pPr>
              <w:widowControl w:val="0"/>
              <w:adjustRightInd/>
              <w:snapToGrid w:val="0"/>
              <w:spacing w:after="0" w:line="360" w:lineRule="auto"/>
              <w:jc w:val="both"/>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2.2.5</w:t>
            </w:r>
            <w:r>
              <w:rPr>
                <w:rFonts w:hint="default" w:ascii="Times New Roman" w:hAnsi="Times New Roman" w:cs="Times New Roman"/>
                <w:b/>
                <w:color w:val="auto"/>
                <w:sz w:val="24"/>
                <w:szCs w:val="24"/>
                <w:highlight w:val="none"/>
                <w:lang w:val="en-US" w:eastAsia="zh-CN"/>
              </w:rPr>
              <w:t>现有</w:t>
            </w:r>
            <w:r>
              <w:rPr>
                <w:rFonts w:hint="default" w:ascii="Times New Roman" w:hAnsi="Times New Roman" w:eastAsia="宋体" w:cs="Times New Roman"/>
                <w:b/>
                <w:color w:val="auto"/>
                <w:sz w:val="24"/>
                <w:szCs w:val="24"/>
                <w:highlight w:val="none"/>
                <w:lang w:val="en-US" w:eastAsia="zh-CN"/>
              </w:rPr>
              <w:t>工程污染防治措施</w:t>
            </w:r>
          </w:p>
          <w:p w14:paraId="743E7838">
            <w:pPr>
              <w:adjustRightInd/>
              <w:snapToGrid/>
              <w:spacing w:after="0" w:line="360" w:lineRule="auto"/>
              <w:ind w:firstLine="482" w:firstLineChars="200"/>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lang w:val="en-US" w:eastAsia="zh-CN"/>
              </w:rPr>
              <w:t>（1）</w:t>
            </w:r>
            <w:r>
              <w:rPr>
                <w:rFonts w:hint="default" w:ascii="Times New Roman" w:hAnsi="Times New Roman" w:eastAsia="宋体" w:cs="Times New Roman"/>
                <w:b/>
                <w:bCs w:val="0"/>
                <w:color w:val="auto"/>
                <w:sz w:val="24"/>
                <w:szCs w:val="24"/>
                <w:highlight w:val="none"/>
              </w:rPr>
              <w:t>废气</w:t>
            </w:r>
            <w:r>
              <w:rPr>
                <w:rFonts w:hint="default" w:ascii="Times New Roman" w:hAnsi="Times New Roman" w:eastAsia="宋体" w:cs="Times New Roman"/>
                <w:b/>
                <w:bCs w:val="0"/>
                <w:color w:val="auto"/>
                <w:sz w:val="24"/>
                <w:szCs w:val="24"/>
                <w:highlight w:val="none"/>
                <w:lang w:val="en-US" w:eastAsia="zh-CN"/>
              </w:rPr>
              <w:t>污染防治措施</w:t>
            </w:r>
          </w:p>
          <w:p w14:paraId="050DA31B">
            <w:pPr>
              <w:pStyle w:val="46"/>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①现有</w:t>
            </w:r>
            <w:r>
              <w:rPr>
                <w:rFonts w:hint="default" w:ascii="Times New Roman" w:hAnsi="Times New Roman" w:eastAsia="宋体" w:cs="Times New Roman"/>
                <w:color w:val="auto"/>
                <w:sz w:val="24"/>
                <w:szCs w:val="24"/>
                <w:highlight w:val="none"/>
                <w:lang w:val="en-US" w:eastAsia="zh-CN"/>
              </w:rPr>
              <w:t>工程产品主要为PVC管、PE农膜、PE管，污染物主要为塑料熔融塑化过程产生</w:t>
            </w:r>
            <w:r>
              <w:rPr>
                <w:rFonts w:hint="default" w:ascii="Times New Roman" w:hAnsi="Times New Roman" w:cs="Times New Roman"/>
                <w:color w:val="auto"/>
                <w:sz w:val="24"/>
                <w:szCs w:val="24"/>
                <w:highlight w:val="none"/>
                <w:lang w:val="en-US" w:eastAsia="zh-CN"/>
              </w:rPr>
              <w:t>VOCs（以非甲烷总烃计）</w:t>
            </w:r>
            <w:r>
              <w:rPr>
                <w:rFonts w:hint="default" w:ascii="Times New Roman" w:hAnsi="Times New Roman" w:eastAsia="宋体" w:cs="Times New Roman"/>
                <w:color w:val="auto"/>
                <w:sz w:val="24"/>
                <w:szCs w:val="24"/>
                <w:highlight w:val="none"/>
                <w:lang w:val="en-US" w:eastAsia="zh-CN"/>
              </w:rPr>
              <w:t>以及配料、混合搅拌过程产生的粉尘。</w:t>
            </w:r>
            <w:r>
              <w:rPr>
                <w:rFonts w:hint="default" w:ascii="Times New Roman" w:hAnsi="Times New Roman" w:cs="Times New Roman"/>
                <w:color w:val="auto"/>
                <w:sz w:val="24"/>
                <w:szCs w:val="24"/>
                <w:highlight w:val="none"/>
                <w:lang w:val="en-US" w:eastAsia="zh-CN"/>
              </w:rPr>
              <w:t>VOCs（以非甲烷总烃计）</w:t>
            </w:r>
            <w:r>
              <w:rPr>
                <w:rFonts w:hint="default" w:ascii="Times New Roman" w:hAnsi="Times New Roman" w:eastAsia="宋体" w:cs="Times New Roman"/>
                <w:color w:val="auto"/>
                <w:sz w:val="24"/>
                <w:szCs w:val="24"/>
                <w:highlight w:val="none"/>
                <w:lang w:val="en-US" w:eastAsia="zh-CN"/>
              </w:rPr>
              <w:t>经二级活性炭吸附设备处理后于15m高排气筒排放</w:t>
            </w:r>
            <w:r>
              <w:rPr>
                <w:rFonts w:hint="default" w:ascii="Times New Roman" w:hAnsi="Times New Roman" w:cs="Times New Roman"/>
                <w:color w:val="auto"/>
                <w:sz w:val="24"/>
                <w:szCs w:val="24"/>
                <w:highlight w:val="none"/>
                <w:lang w:val="en-US" w:eastAsia="zh-CN"/>
              </w:rPr>
              <w:t>，根据排污许可证及企业例行监测报告，现有工程VOCs（以非甲烷总烃计）</w:t>
            </w:r>
            <w:r>
              <w:rPr>
                <w:rFonts w:hint="default" w:ascii="Times New Roman" w:hAnsi="Times New Roman" w:eastAsia="宋体" w:cs="Times New Roman"/>
                <w:color w:val="auto"/>
                <w:sz w:val="24"/>
                <w:szCs w:val="24"/>
                <w:highlight w:val="none"/>
                <w:lang w:val="en-US" w:eastAsia="zh-CN"/>
              </w:rPr>
              <w:t>经二级活性炭吸附设备处理后</w:t>
            </w:r>
            <w:r>
              <w:rPr>
                <w:rFonts w:hint="default" w:ascii="Times New Roman" w:hAnsi="Times New Roman" w:eastAsia="宋体" w:cs="Times New Roman"/>
                <w:bCs/>
                <w:color w:val="auto"/>
                <w:highlight w:val="none"/>
              </w:rPr>
              <w:t>能满足《合成树脂工业污染物排放标准》（GB31572-2015）表</w:t>
            </w:r>
            <w:r>
              <w:rPr>
                <w:rFonts w:hint="default" w:ascii="Times New Roman" w:hAnsi="Times New Roman" w:eastAsia="宋体" w:cs="Times New Roman"/>
                <w:bCs/>
                <w:color w:val="auto"/>
                <w:highlight w:val="none"/>
                <w:lang w:val="en-US" w:eastAsia="zh-CN"/>
              </w:rPr>
              <w:t>5</w:t>
            </w:r>
            <w:r>
              <w:rPr>
                <w:rFonts w:hint="default" w:ascii="Times New Roman" w:hAnsi="Times New Roman" w:eastAsia="宋体" w:cs="Times New Roman"/>
                <w:bCs/>
                <w:color w:val="auto"/>
                <w:highlight w:val="none"/>
              </w:rPr>
              <w:t>中排放限值，即</w:t>
            </w:r>
            <w:r>
              <w:rPr>
                <w:rFonts w:hint="default" w:ascii="Times New Roman" w:hAnsi="Times New Roman" w:eastAsia="宋体" w:cs="Times New Roman"/>
                <w:bCs/>
                <w:color w:val="auto"/>
                <w:highlight w:val="none"/>
                <w:lang w:val="en-US" w:eastAsia="zh-CN"/>
              </w:rPr>
              <w:t>6</w:t>
            </w:r>
            <w:r>
              <w:rPr>
                <w:rFonts w:hint="default" w:ascii="Times New Roman" w:hAnsi="Times New Roman" w:eastAsia="宋体" w:cs="Times New Roman"/>
                <w:bCs/>
                <w:color w:val="auto"/>
                <w:highlight w:val="none"/>
              </w:rPr>
              <w:t>0mg/m</w:t>
            </w:r>
            <w:r>
              <w:rPr>
                <w:rFonts w:hint="default" w:ascii="Times New Roman" w:hAnsi="Times New Roman" w:eastAsia="宋体" w:cs="Times New Roman"/>
                <w:bCs/>
                <w:color w:val="auto"/>
                <w:highlight w:val="none"/>
                <w:vertAlign w:val="superscript"/>
              </w:rPr>
              <w:t>3</w:t>
            </w:r>
            <w:r>
              <w:rPr>
                <w:rFonts w:hint="default" w:ascii="Times New Roman" w:hAnsi="Times New Roman" w:eastAsia="宋体" w:cs="Times New Roman"/>
                <w:color w:val="auto"/>
                <w:sz w:val="24"/>
                <w:szCs w:val="24"/>
                <w:highlight w:val="none"/>
                <w:lang w:val="en-US" w:eastAsia="zh-CN"/>
              </w:rPr>
              <w:t>。</w:t>
            </w:r>
          </w:p>
          <w:p w14:paraId="391C6178">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w:t>
            </w:r>
            <w:r>
              <w:rPr>
                <w:rFonts w:hint="default" w:ascii="Times New Roman" w:hAnsi="Times New Roman" w:cs="Times New Roman"/>
                <w:color w:val="auto"/>
                <w:sz w:val="24"/>
                <w:szCs w:val="24"/>
                <w:highlight w:val="none"/>
                <w:lang w:val="en-US" w:eastAsia="zh-CN"/>
              </w:rPr>
              <w:t>现有</w:t>
            </w:r>
            <w:r>
              <w:rPr>
                <w:rFonts w:hint="default" w:ascii="Times New Roman" w:hAnsi="Times New Roman" w:eastAsia="宋体" w:cs="Times New Roman"/>
                <w:color w:val="auto"/>
                <w:sz w:val="24"/>
                <w:szCs w:val="24"/>
                <w:highlight w:val="none"/>
                <w:lang w:val="en-US" w:eastAsia="zh-CN"/>
              </w:rPr>
              <w:t>工程</w:t>
            </w:r>
            <w:r>
              <w:rPr>
                <w:rFonts w:hint="default" w:ascii="Times New Roman" w:hAnsi="Times New Roman" w:cs="Times New Roman"/>
                <w:color w:val="auto"/>
                <w:sz w:val="24"/>
                <w:szCs w:val="24"/>
                <w:highlight w:val="none"/>
                <w:lang w:val="en-US" w:eastAsia="zh-CN"/>
              </w:rPr>
              <w:t>造粒生产线采用湿式除尘，</w:t>
            </w:r>
            <w:r>
              <w:rPr>
                <w:rFonts w:hint="default" w:ascii="Times New Roman" w:hAnsi="Times New Roman" w:eastAsia="宋体" w:cs="Times New Roman"/>
                <w:b w:val="0"/>
                <w:bCs w:val="0"/>
                <w:color w:val="auto"/>
                <w:kern w:val="2"/>
                <w:sz w:val="24"/>
                <w:szCs w:val="24"/>
                <w:highlight w:val="none"/>
                <w:lang w:val="en-US" w:eastAsia="zh-CN" w:bidi="ar-SA"/>
              </w:rPr>
              <w:t>根据新疆凯狮威塑业有限责任</w:t>
            </w:r>
            <w:r>
              <w:rPr>
                <w:rFonts w:hint="default" w:ascii="Times New Roman" w:hAnsi="Times New Roman" w:cs="Times New Roman"/>
                <w:b w:val="0"/>
                <w:bCs w:val="0"/>
                <w:color w:val="auto"/>
                <w:kern w:val="2"/>
                <w:sz w:val="24"/>
                <w:szCs w:val="24"/>
                <w:highlight w:val="none"/>
                <w:lang w:val="en-US" w:eastAsia="zh-CN" w:bidi="ar-SA"/>
              </w:rPr>
              <w:t>公司</w:t>
            </w:r>
            <w:r>
              <w:rPr>
                <w:rFonts w:hint="default" w:ascii="Times New Roman" w:hAnsi="Times New Roman" w:eastAsia="宋体" w:cs="Times New Roman"/>
                <w:b w:val="0"/>
                <w:bCs w:val="0"/>
                <w:color w:val="auto"/>
                <w:kern w:val="2"/>
                <w:sz w:val="24"/>
                <w:szCs w:val="24"/>
                <w:highlight w:val="none"/>
                <w:lang w:val="en-US" w:eastAsia="zh-CN" w:bidi="ar-SA"/>
              </w:rPr>
              <w:t>2025年监测报告，现有项目采用湿式除尘后厂界无组织颗粒物排放浓度满足《合成树脂工业污染物排放标准》（GB31572-2015）表9浓度限值</w:t>
            </w:r>
            <w:r>
              <w:rPr>
                <w:rFonts w:hint="default" w:ascii="Times New Roman" w:hAnsi="Times New Roman" w:eastAsia="宋体" w:cs="Times New Roman"/>
                <w:b w:val="0"/>
                <w:bCs w:val="0"/>
                <w:color w:val="auto"/>
                <w:kern w:val="2"/>
                <w:sz w:val="24"/>
                <w:szCs w:val="24"/>
                <w:highlight w:val="none"/>
                <w:lang w:val="en-US" w:eastAsia="zh-CN" w:bidi="ar-SA"/>
              </w:rPr>
              <w:t>（</w:t>
            </w:r>
            <w:r>
              <w:rPr>
                <w:rFonts w:hint="default" w:ascii="Times New Roman" w:hAnsi="Times New Roman" w:cs="Times New Roman"/>
                <w:b w:val="0"/>
                <w:bCs w:val="0"/>
                <w:color w:val="auto"/>
                <w:kern w:val="2"/>
                <w:sz w:val="24"/>
                <w:szCs w:val="24"/>
                <w:highlight w:val="none"/>
                <w:lang w:val="en-US" w:eastAsia="zh-CN" w:bidi="ar-SA"/>
              </w:rPr>
              <w:t>4</w:t>
            </w:r>
            <w:r>
              <w:rPr>
                <w:rFonts w:hint="default" w:ascii="Times New Roman" w:hAnsi="Times New Roman" w:eastAsia="宋体" w:cs="Times New Roman"/>
                <w:b w:val="0"/>
                <w:bCs w:val="0"/>
                <w:color w:val="auto"/>
                <w:kern w:val="2"/>
                <w:sz w:val="24"/>
                <w:szCs w:val="24"/>
                <w:highlight w:val="none"/>
                <w:lang w:val="en-US" w:eastAsia="zh-CN" w:bidi="ar-SA"/>
              </w:rPr>
              <w:t>.0mg/m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3</w:t>
            </w:r>
            <w:r>
              <w:rPr>
                <w:rFonts w:hint="default" w:ascii="Times New Roman" w:hAnsi="Times New Roman" w:eastAsia="宋体" w:cs="Times New Roman"/>
                <w:b w:val="0"/>
                <w:bCs w:val="0"/>
                <w:color w:val="auto"/>
                <w:kern w:val="2"/>
                <w:sz w:val="24"/>
                <w:szCs w:val="24"/>
                <w:highlight w:val="none"/>
                <w:lang w:val="en-US" w:eastAsia="zh-CN" w:bidi="ar-SA"/>
              </w:rPr>
              <w:t>）</w:t>
            </w:r>
          </w:p>
          <w:p w14:paraId="27690F0A">
            <w:pPr>
              <w:bidi w:val="0"/>
              <w:spacing w:line="360" w:lineRule="auto"/>
              <w:ind w:firstLine="482" w:firstLineChars="200"/>
              <w:rPr>
                <w:rFonts w:hint="default" w:ascii="Times New Roman" w:hAnsi="Times New Roman" w:cs="Times New Roman"/>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（2）废水污染防治措施</w:t>
            </w:r>
          </w:p>
          <w:p w14:paraId="00D80BCB">
            <w:pPr>
              <w:spacing w:after="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工程运营期间</w:t>
            </w:r>
            <w:r>
              <w:rPr>
                <w:rFonts w:hint="default" w:ascii="Times New Roman" w:hAnsi="Times New Roman" w:eastAsia="宋体" w:cs="Times New Roman"/>
                <w:color w:val="auto"/>
                <w:sz w:val="24"/>
                <w:szCs w:val="24"/>
                <w:highlight w:val="none"/>
                <w:lang w:eastAsia="zh-CN"/>
              </w:rPr>
              <w:t>无工艺废水产生。生活</w:t>
            </w:r>
            <w:r>
              <w:rPr>
                <w:rFonts w:hint="default" w:ascii="Times New Roman" w:hAnsi="Times New Roman" w:eastAsia="宋体" w:cs="Times New Roman"/>
                <w:color w:val="auto"/>
                <w:sz w:val="24"/>
                <w:szCs w:val="24"/>
                <w:highlight w:val="none"/>
              </w:rPr>
              <w:t>废水</w:t>
            </w:r>
            <w:r>
              <w:rPr>
                <w:rFonts w:hint="default" w:ascii="Times New Roman" w:hAnsi="Times New Roman" w:eastAsia="宋体" w:cs="Times New Roman"/>
                <w:color w:val="auto"/>
                <w:sz w:val="24"/>
                <w:szCs w:val="24"/>
                <w:highlight w:val="none"/>
                <w:lang w:eastAsia="zh-CN"/>
              </w:rPr>
              <w:t>排入园区下水管网，最终由</w:t>
            </w:r>
            <w:r>
              <w:rPr>
                <w:rFonts w:hint="default" w:ascii="Times New Roman" w:hAnsi="Times New Roman" w:cs="Times New Roman"/>
                <w:color w:val="auto"/>
                <w:kern w:val="0"/>
                <w:sz w:val="24"/>
                <w:szCs w:val="24"/>
                <w:highlight w:val="none"/>
                <w:lang w:val="en-US" w:eastAsia="zh-CN" w:bidi="ar"/>
              </w:rPr>
              <w:t>昌吉市第二</w:t>
            </w:r>
            <w:r>
              <w:rPr>
                <w:rFonts w:hint="default" w:ascii="Times New Roman" w:hAnsi="Times New Roman" w:eastAsia="宋体" w:cs="Times New Roman"/>
                <w:color w:val="auto"/>
                <w:kern w:val="0"/>
                <w:sz w:val="24"/>
                <w:szCs w:val="24"/>
                <w:highlight w:val="none"/>
                <w:lang w:val="en-US" w:eastAsia="zh-CN" w:bidi="ar"/>
              </w:rPr>
              <w:t>污水处理厂</w:t>
            </w:r>
            <w:r>
              <w:rPr>
                <w:rFonts w:hint="default" w:ascii="Times New Roman" w:hAnsi="Times New Roman" w:eastAsia="宋体" w:cs="Times New Roman"/>
                <w:color w:val="auto"/>
                <w:sz w:val="24"/>
                <w:highlight w:val="none"/>
                <w:lang w:eastAsia="zh-CN"/>
              </w:rPr>
              <w:t>集中处理</w:t>
            </w:r>
            <w:r>
              <w:rPr>
                <w:rFonts w:hint="default" w:ascii="Times New Roman" w:hAnsi="Times New Roman" w:eastAsia="宋体" w:cs="Times New Roman"/>
                <w:color w:val="auto"/>
                <w:sz w:val="24"/>
                <w:szCs w:val="24"/>
                <w:highlight w:val="none"/>
                <w:lang w:eastAsia="zh-CN"/>
              </w:rPr>
              <w:t>处置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工程废水污染防治措施见表2-10。</w:t>
            </w:r>
          </w:p>
          <w:p w14:paraId="4F8A0394">
            <w:pPr>
              <w:spacing w:after="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2-10</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cs="Times New Roman"/>
                <w:b/>
                <w:color w:val="auto"/>
                <w:sz w:val="21"/>
                <w:szCs w:val="21"/>
                <w:highlight w:val="none"/>
                <w:lang w:val="en-US" w:eastAsia="zh-CN"/>
              </w:rPr>
              <w:t>现有</w:t>
            </w:r>
            <w:r>
              <w:rPr>
                <w:rFonts w:hint="default" w:ascii="Times New Roman" w:hAnsi="Times New Roman" w:eastAsia="宋体" w:cs="Times New Roman"/>
                <w:b/>
                <w:color w:val="auto"/>
                <w:sz w:val="21"/>
                <w:szCs w:val="21"/>
                <w:highlight w:val="none"/>
                <w:lang w:val="en-US" w:eastAsia="zh-CN"/>
              </w:rPr>
              <w:t>工程废水污染防治措施</w:t>
            </w:r>
          </w:p>
          <w:tbl>
            <w:tblPr>
              <w:tblStyle w:val="24"/>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2345"/>
              <w:gridCol w:w="1132"/>
              <w:gridCol w:w="3097"/>
            </w:tblGrid>
            <w:tr w14:paraId="6F2EEE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9" w:type="dxa"/>
                  <w:tcBorders>
                    <w:bottom w:val="single" w:color="auto" w:sz="12" w:space="0"/>
                  </w:tcBorders>
                  <w:noWrap w:val="0"/>
                  <w:vAlign w:val="center"/>
                </w:tcPr>
                <w:p w14:paraId="32D348E7">
                  <w:pPr>
                    <w:pStyle w:val="69"/>
                    <w:spacing w:after="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污染源</w:t>
                  </w:r>
                </w:p>
              </w:tc>
              <w:tc>
                <w:tcPr>
                  <w:tcW w:w="2345" w:type="dxa"/>
                  <w:tcBorders>
                    <w:bottom w:val="single" w:color="auto" w:sz="12" w:space="0"/>
                  </w:tcBorders>
                  <w:noWrap w:val="0"/>
                  <w:vAlign w:val="center"/>
                </w:tcPr>
                <w:p w14:paraId="668E3A23">
                  <w:pPr>
                    <w:pStyle w:val="69"/>
                    <w:spacing w:after="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主要污染物</w:t>
                  </w:r>
                </w:p>
              </w:tc>
              <w:tc>
                <w:tcPr>
                  <w:tcW w:w="1132" w:type="dxa"/>
                  <w:tcBorders>
                    <w:bottom w:val="single" w:color="auto" w:sz="12" w:space="0"/>
                  </w:tcBorders>
                  <w:noWrap w:val="0"/>
                  <w:vAlign w:val="center"/>
                </w:tcPr>
                <w:p w14:paraId="42DAF236">
                  <w:pPr>
                    <w:pStyle w:val="69"/>
                    <w:spacing w:after="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排放特征</w:t>
                  </w:r>
                </w:p>
              </w:tc>
              <w:tc>
                <w:tcPr>
                  <w:tcW w:w="3097" w:type="dxa"/>
                  <w:tcBorders>
                    <w:bottom w:val="single" w:color="auto" w:sz="12" w:space="0"/>
                  </w:tcBorders>
                  <w:noWrap w:val="0"/>
                  <w:vAlign w:val="center"/>
                </w:tcPr>
                <w:p w14:paraId="5E0B9AB8">
                  <w:pPr>
                    <w:pStyle w:val="69"/>
                    <w:spacing w:after="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排放去向</w:t>
                  </w:r>
                </w:p>
              </w:tc>
            </w:tr>
            <w:tr w14:paraId="41263C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9" w:type="dxa"/>
                  <w:tcBorders>
                    <w:top w:val="single" w:color="auto" w:sz="12" w:space="0"/>
                    <w:tl2br w:val="nil"/>
                    <w:tr2bl w:val="nil"/>
                  </w:tcBorders>
                  <w:noWrap w:val="0"/>
                  <w:vAlign w:val="center"/>
                </w:tcPr>
                <w:p w14:paraId="67F02594">
                  <w:pPr>
                    <w:pStyle w:val="69"/>
                    <w:spacing w:after="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生活污水</w:t>
                  </w:r>
                </w:p>
              </w:tc>
              <w:tc>
                <w:tcPr>
                  <w:tcW w:w="2345" w:type="dxa"/>
                  <w:tcBorders>
                    <w:top w:val="single" w:color="auto" w:sz="12" w:space="0"/>
                    <w:tl2br w:val="nil"/>
                    <w:tr2bl w:val="nil"/>
                  </w:tcBorders>
                  <w:noWrap w:val="0"/>
                  <w:vAlign w:val="center"/>
                </w:tcPr>
                <w:p w14:paraId="5D8745C0">
                  <w:pPr>
                    <w:pStyle w:val="69"/>
                    <w:spacing w:after="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COD、BOD、SS、氨氮</w:t>
                  </w:r>
                </w:p>
              </w:tc>
              <w:tc>
                <w:tcPr>
                  <w:tcW w:w="1132" w:type="dxa"/>
                  <w:tcBorders>
                    <w:top w:val="single" w:color="auto" w:sz="12" w:space="0"/>
                    <w:tl2br w:val="nil"/>
                    <w:tr2bl w:val="nil"/>
                  </w:tcBorders>
                  <w:noWrap w:val="0"/>
                  <w:vAlign w:val="center"/>
                </w:tcPr>
                <w:p w14:paraId="312F6973">
                  <w:pPr>
                    <w:pStyle w:val="69"/>
                    <w:spacing w:after="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间断</w:t>
                  </w:r>
                </w:p>
              </w:tc>
              <w:tc>
                <w:tcPr>
                  <w:tcW w:w="3097" w:type="dxa"/>
                  <w:tcBorders>
                    <w:top w:val="single" w:color="auto" w:sz="12" w:space="0"/>
                    <w:tl2br w:val="nil"/>
                    <w:tr2bl w:val="nil"/>
                  </w:tcBorders>
                  <w:noWrap w:val="0"/>
                  <w:vAlign w:val="center"/>
                </w:tcPr>
                <w:p w14:paraId="445EA221">
                  <w:pPr>
                    <w:pStyle w:val="69"/>
                    <w:spacing w:after="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排入园区下水管网，最终进入</w:t>
                  </w:r>
                  <w:r>
                    <w:rPr>
                      <w:rFonts w:hint="default" w:ascii="Times New Roman" w:hAnsi="Times New Roman" w:cs="Times New Roman"/>
                      <w:color w:val="auto"/>
                      <w:highlight w:val="none"/>
                      <w:lang w:val="en-US" w:eastAsia="zh-CN"/>
                    </w:rPr>
                    <w:t>昌吉市第二</w:t>
                  </w:r>
                  <w:r>
                    <w:rPr>
                      <w:rFonts w:hint="default" w:ascii="Times New Roman" w:hAnsi="Times New Roman" w:eastAsia="宋体" w:cs="Times New Roman"/>
                      <w:color w:val="auto"/>
                      <w:highlight w:val="none"/>
                      <w:lang w:val="en-US" w:eastAsia="zh-CN"/>
                    </w:rPr>
                    <w:t>污水处理厂集中处理</w:t>
                  </w:r>
                </w:p>
              </w:tc>
            </w:tr>
          </w:tbl>
          <w:p w14:paraId="7B37630D">
            <w:pPr>
              <w:bidi w:val="0"/>
              <w:spacing w:line="360" w:lineRule="auto"/>
              <w:ind w:firstLine="482" w:firstLineChars="200"/>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（3）噪声</w:t>
            </w:r>
            <w:r>
              <w:rPr>
                <w:rFonts w:hint="default" w:ascii="Times New Roman" w:hAnsi="Times New Roman" w:cs="Times New Roman"/>
                <w:b/>
                <w:bCs/>
                <w:color w:val="auto"/>
                <w:sz w:val="24"/>
                <w:szCs w:val="32"/>
                <w:highlight w:val="none"/>
                <w:lang w:val="en-US" w:eastAsia="zh-CN"/>
              </w:rPr>
              <w:t>污染防治措施</w:t>
            </w:r>
          </w:p>
          <w:p w14:paraId="65076B27">
            <w:pPr>
              <w:spacing w:after="0" w:line="360" w:lineRule="auto"/>
              <w:ind w:firstLine="480"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工程运营期</w:t>
            </w:r>
            <w:r>
              <w:rPr>
                <w:rFonts w:hint="default" w:ascii="Times New Roman" w:hAnsi="Times New Roman" w:eastAsia="宋体" w:cs="Times New Roman"/>
                <w:color w:val="auto"/>
                <w:sz w:val="24"/>
                <w:szCs w:val="24"/>
                <w:highlight w:val="none"/>
              </w:rPr>
              <w:t>间噪声源主要来自</w:t>
            </w:r>
            <w:r>
              <w:rPr>
                <w:rFonts w:hint="default" w:ascii="Times New Roman" w:hAnsi="Times New Roman" w:eastAsia="宋体" w:cs="Times New Roman"/>
                <w:color w:val="auto"/>
                <w:sz w:val="24"/>
                <w:szCs w:val="24"/>
                <w:highlight w:val="none"/>
                <w:lang w:eastAsia="zh-CN"/>
              </w:rPr>
              <w:t>机械设备</w:t>
            </w:r>
            <w:r>
              <w:rPr>
                <w:rFonts w:hint="default" w:ascii="Times New Roman" w:hAnsi="Times New Roman" w:eastAsia="宋体" w:cs="Times New Roman"/>
                <w:color w:val="auto"/>
                <w:sz w:val="24"/>
                <w:szCs w:val="24"/>
                <w:highlight w:val="none"/>
              </w:rPr>
              <w:t>等噪声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运营</w:t>
            </w:r>
            <w:r>
              <w:rPr>
                <w:rFonts w:hint="default" w:ascii="Times New Roman" w:hAnsi="Times New Roman" w:cs="Times New Roman"/>
                <w:color w:val="auto"/>
                <w:sz w:val="24"/>
                <w:szCs w:val="24"/>
                <w:highlight w:val="none"/>
                <w:lang w:val="en-US" w:eastAsia="zh-CN"/>
              </w:rPr>
              <w:t>期间</w:t>
            </w:r>
            <w:r>
              <w:rPr>
                <w:rFonts w:hint="default" w:ascii="Times New Roman" w:hAnsi="Times New Roman" w:eastAsia="宋体" w:cs="Times New Roman"/>
                <w:color w:val="auto"/>
                <w:sz w:val="24"/>
                <w:szCs w:val="24"/>
                <w:highlight w:val="none"/>
                <w:lang w:val="en-US" w:eastAsia="zh-CN"/>
              </w:rPr>
              <w:t>全部机械设备均于</w:t>
            </w:r>
            <w:r>
              <w:rPr>
                <w:rFonts w:hint="default" w:ascii="Times New Roman" w:hAnsi="Times New Roman" w:eastAsia="宋体" w:cs="Times New Roman"/>
                <w:color w:val="auto"/>
                <w:sz w:val="24"/>
                <w:szCs w:val="24"/>
                <w:highlight w:val="none"/>
                <w:lang w:eastAsia="zh-CN"/>
              </w:rPr>
              <w:t>室内安装</w:t>
            </w:r>
            <w:r>
              <w:rPr>
                <w:rFonts w:hint="default" w:ascii="Times New Roman" w:hAnsi="Times New Roman" w:eastAsia="宋体" w:cs="Times New Roman"/>
                <w:color w:val="auto"/>
                <w:sz w:val="24"/>
                <w:szCs w:val="24"/>
                <w:highlight w:val="none"/>
                <w:lang w:val="en-US" w:eastAsia="zh-CN"/>
              </w:rPr>
              <w:t>并设置</w:t>
            </w:r>
            <w:r>
              <w:rPr>
                <w:rFonts w:hint="default" w:ascii="Times New Roman" w:hAnsi="Times New Roman" w:eastAsia="宋体" w:cs="Times New Roman"/>
                <w:color w:val="auto"/>
                <w:sz w:val="24"/>
                <w:szCs w:val="24"/>
                <w:highlight w:val="none"/>
                <w:lang w:eastAsia="zh-CN"/>
              </w:rPr>
              <w:t>减振垫，</w:t>
            </w:r>
            <w:r>
              <w:rPr>
                <w:rFonts w:hint="default" w:ascii="Times New Roman" w:hAnsi="Times New Roman" w:eastAsia="宋体" w:cs="Times New Roman"/>
                <w:color w:val="auto"/>
                <w:sz w:val="24"/>
                <w:szCs w:val="24"/>
                <w:highlight w:val="none"/>
                <w:lang w:val="en-US" w:eastAsia="zh-CN"/>
              </w:rPr>
              <w:t>同时通过</w:t>
            </w:r>
            <w:r>
              <w:rPr>
                <w:rFonts w:hint="default" w:ascii="Times New Roman" w:hAnsi="Times New Roman" w:eastAsia="宋体" w:cs="Times New Roman"/>
                <w:color w:val="auto"/>
                <w:sz w:val="24"/>
                <w:szCs w:val="24"/>
                <w:highlight w:val="none"/>
                <w:lang w:eastAsia="zh-CN"/>
              </w:rPr>
              <w:t>建筑隔声</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工程噪声污染防治措施见表2-11。</w:t>
            </w:r>
          </w:p>
          <w:p w14:paraId="65F5F4AE">
            <w:pPr>
              <w:spacing w:after="0"/>
              <w:jc w:val="center"/>
              <w:rPr>
                <w:rFonts w:hint="default" w:ascii="Times New Roman" w:hAnsi="Times New Roman" w:eastAsia="宋体" w:cs="Times New Roman"/>
                <w:b/>
                <w:color w:val="auto"/>
                <w:sz w:val="21"/>
                <w:szCs w:val="21"/>
                <w:highlight w:val="none"/>
              </w:rPr>
            </w:pPr>
            <w:bookmarkStart w:id="1" w:name="_Toc263806432"/>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2-11</w:t>
            </w:r>
            <w:r>
              <w:rPr>
                <w:rFonts w:hint="default" w:ascii="Times New Roman" w:hAnsi="Times New Roman" w:eastAsia="宋体" w:cs="Times New Roman"/>
                <w:b/>
                <w:color w:val="auto"/>
                <w:sz w:val="21"/>
                <w:szCs w:val="21"/>
                <w:highlight w:val="none"/>
              </w:rPr>
              <w:t xml:space="preserve">    </w:t>
            </w:r>
            <w:bookmarkEnd w:id="1"/>
            <w:r>
              <w:rPr>
                <w:rFonts w:hint="default" w:ascii="Times New Roman" w:hAnsi="Times New Roman" w:cs="Times New Roman"/>
                <w:b/>
                <w:color w:val="auto"/>
                <w:sz w:val="21"/>
                <w:szCs w:val="21"/>
                <w:highlight w:val="none"/>
                <w:lang w:val="en-US" w:eastAsia="zh-CN"/>
              </w:rPr>
              <w:t>现有</w:t>
            </w:r>
            <w:r>
              <w:rPr>
                <w:rFonts w:hint="default" w:ascii="Times New Roman" w:hAnsi="Times New Roman" w:eastAsia="宋体" w:cs="Times New Roman"/>
                <w:b/>
                <w:color w:val="auto"/>
                <w:sz w:val="21"/>
                <w:szCs w:val="21"/>
                <w:highlight w:val="none"/>
                <w:lang w:val="en-US" w:eastAsia="zh-CN"/>
              </w:rPr>
              <w:t>工程噪声污染防治措施</w:t>
            </w:r>
          </w:p>
          <w:tbl>
            <w:tblPr>
              <w:tblStyle w:val="24"/>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2923"/>
              <w:gridCol w:w="2907"/>
            </w:tblGrid>
            <w:tr w14:paraId="3FA12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911" w:type="dxa"/>
                  <w:tcBorders>
                    <w:bottom w:val="single" w:color="auto" w:sz="12" w:space="0"/>
                  </w:tcBorders>
                  <w:noWrap w:val="0"/>
                  <w:vAlign w:val="center"/>
                </w:tcPr>
                <w:p w14:paraId="3945463D">
                  <w:pPr>
                    <w:bidi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噪声来源</w:t>
                  </w:r>
                </w:p>
              </w:tc>
              <w:tc>
                <w:tcPr>
                  <w:tcW w:w="2874" w:type="dxa"/>
                  <w:tcBorders>
                    <w:bottom w:val="single" w:color="auto" w:sz="12" w:space="0"/>
                  </w:tcBorders>
                  <w:noWrap w:val="0"/>
                  <w:vAlign w:val="center"/>
                </w:tcPr>
                <w:p w14:paraId="7D6169CC">
                  <w:pPr>
                    <w:bidi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产噪设备</w:t>
                  </w:r>
                </w:p>
              </w:tc>
              <w:tc>
                <w:tcPr>
                  <w:tcW w:w="2859" w:type="dxa"/>
                  <w:tcBorders>
                    <w:bottom w:val="single" w:color="auto" w:sz="12" w:space="0"/>
                  </w:tcBorders>
                  <w:noWrap w:val="0"/>
                  <w:vAlign w:val="center"/>
                </w:tcPr>
                <w:p w14:paraId="50D9FE63">
                  <w:pPr>
                    <w:bidi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防治措施</w:t>
                  </w:r>
                </w:p>
              </w:tc>
            </w:tr>
            <w:tr w14:paraId="3F306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911" w:type="dxa"/>
                  <w:tcBorders>
                    <w:top w:val="single" w:color="auto" w:sz="12" w:space="0"/>
                    <w:tl2br w:val="nil"/>
                    <w:tr2bl w:val="nil"/>
                  </w:tcBorders>
                  <w:noWrap w:val="0"/>
                  <w:vAlign w:val="center"/>
                </w:tcPr>
                <w:p w14:paraId="4BD394F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生产设备</w:t>
                  </w:r>
                </w:p>
              </w:tc>
              <w:tc>
                <w:tcPr>
                  <w:tcW w:w="2874" w:type="dxa"/>
                  <w:tcBorders>
                    <w:top w:val="single" w:color="auto" w:sz="12" w:space="0"/>
                    <w:tl2br w:val="nil"/>
                    <w:tr2bl w:val="nil"/>
                  </w:tcBorders>
                  <w:noWrap w:val="0"/>
                  <w:vAlign w:val="center"/>
                </w:tcPr>
                <w:p w14:paraId="1561A79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生产设备</w:t>
                  </w:r>
                  <w:r>
                    <w:rPr>
                      <w:rFonts w:hint="default" w:ascii="Times New Roman" w:hAnsi="Times New Roman" w:cs="Times New Roman"/>
                      <w:color w:val="auto"/>
                      <w:sz w:val="21"/>
                      <w:szCs w:val="21"/>
                      <w:highlight w:val="none"/>
                    </w:rPr>
                    <w:t>等</w:t>
                  </w:r>
                </w:p>
              </w:tc>
              <w:tc>
                <w:tcPr>
                  <w:tcW w:w="2859" w:type="dxa"/>
                  <w:tcBorders>
                    <w:top w:val="single" w:color="auto" w:sz="12" w:space="0"/>
                    <w:tl2br w:val="nil"/>
                    <w:tr2bl w:val="nil"/>
                  </w:tcBorders>
                  <w:noWrap w:val="0"/>
                  <w:vAlign w:val="center"/>
                </w:tcPr>
                <w:p w14:paraId="13737784">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w:t>
                  </w:r>
                  <w:r>
                    <w:rPr>
                      <w:rFonts w:hint="default" w:ascii="Times New Roman" w:hAnsi="Times New Roman" w:cs="Times New Roman"/>
                      <w:color w:val="auto"/>
                      <w:sz w:val="21"/>
                      <w:szCs w:val="21"/>
                      <w:highlight w:val="none"/>
                      <w:lang w:eastAsia="zh-CN"/>
                    </w:rPr>
                    <w:t>在室内，安装减振垫</w:t>
                  </w:r>
                </w:p>
              </w:tc>
            </w:tr>
          </w:tbl>
          <w:p w14:paraId="3C812C8B">
            <w:pPr>
              <w:spacing w:after="0" w:line="360" w:lineRule="auto"/>
              <w:ind w:firstLine="482" w:firstLineChars="200"/>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（4）固体废物</w:t>
            </w:r>
            <w:r>
              <w:rPr>
                <w:rFonts w:hint="default" w:ascii="Times New Roman" w:hAnsi="Times New Roman" w:cs="Times New Roman"/>
                <w:b/>
                <w:bCs/>
                <w:color w:val="auto"/>
                <w:sz w:val="24"/>
                <w:szCs w:val="32"/>
                <w:highlight w:val="none"/>
                <w:lang w:val="en-US" w:eastAsia="zh-CN"/>
              </w:rPr>
              <w:t>污染防治措施</w:t>
            </w:r>
          </w:p>
          <w:p w14:paraId="668BEB61">
            <w:pPr>
              <w:spacing w:after="0"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工程运营期</w:t>
            </w:r>
            <w:r>
              <w:rPr>
                <w:rFonts w:hint="default" w:ascii="Times New Roman" w:hAnsi="Times New Roman" w:eastAsia="宋体" w:cs="Times New Roman"/>
                <w:color w:val="auto"/>
                <w:sz w:val="24"/>
                <w:szCs w:val="24"/>
                <w:highlight w:val="none"/>
              </w:rPr>
              <w:t>间</w:t>
            </w:r>
            <w:r>
              <w:rPr>
                <w:rFonts w:hint="default" w:ascii="Times New Roman" w:hAnsi="Times New Roman" w:eastAsia="宋体" w:cs="Times New Roman"/>
                <w:color w:val="auto"/>
                <w:sz w:val="24"/>
                <w:szCs w:val="24"/>
                <w:highlight w:val="none"/>
                <w:lang w:val="en-US" w:eastAsia="zh-CN"/>
              </w:rPr>
              <w:t>产生的</w:t>
            </w:r>
            <w:r>
              <w:rPr>
                <w:rFonts w:hint="default" w:ascii="Times New Roman" w:hAnsi="Times New Roman" w:eastAsia="宋体" w:cs="Times New Roman"/>
                <w:color w:val="auto"/>
                <w:sz w:val="24"/>
                <w:highlight w:val="none"/>
                <w:lang w:val="en-US" w:eastAsia="zh-CN"/>
              </w:rPr>
              <w:t>固废主要为员工生活垃圾及</w:t>
            </w:r>
            <w:r>
              <w:rPr>
                <w:rFonts w:hint="default" w:ascii="Times New Roman" w:hAnsi="Times New Roman" w:cs="Times New Roman"/>
                <w:color w:val="auto"/>
                <w:sz w:val="24"/>
                <w:highlight w:val="none"/>
              </w:rPr>
              <w:t>等离子光氧一体机产生</w:t>
            </w:r>
            <w:r>
              <w:rPr>
                <w:rFonts w:hint="default" w:ascii="Times New Roman" w:hAnsi="Times New Roman" w:cs="Times New Roman"/>
                <w:color w:val="auto"/>
                <w:sz w:val="24"/>
                <w:highlight w:val="none"/>
                <w:lang w:val="en-US" w:eastAsia="zh-CN"/>
              </w:rPr>
              <w:t>的</w:t>
            </w:r>
            <w:r>
              <w:rPr>
                <w:rFonts w:hint="default" w:ascii="Times New Roman" w:hAnsi="Times New Roman" w:cs="Times New Roman"/>
                <w:color w:val="auto"/>
                <w:sz w:val="24"/>
                <w:highlight w:val="none"/>
              </w:rPr>
              <w:t>废灯管</w:t>
            </w:r>
            <w:r>
              <w:rPr>
                <w:rFonts w:hint="default" w:ascii="Times New Roman" w:hAnsi="Times New Roman" w:cs="Times New Roman"/>
                <w:color w:val="auto"/>
                <w:sz w:val="24"/>
                <w:highlight w:val="none"/>
                <w:lang w:val="en-US" w:eastAsia="zh-CN"/>
              </w:rPr>
              <w:t>和</w:t>
            </w:r>
            <w:r>
              <w:rPr>
                <w:rFonts w:hint="default" w:ascii="Times New Roman" w:hAnsi="Times New Roman" w:cs="Times New Roman"/>
                <w:color w:val="auto"/>
                <w:sz w:val="24"/>
                <w:highlight w:val="none"/>
              </w:rPr>
              <w:t>机械维修时产生</w:t>
            </w:r>
            <w:r>
              <w:rPr>
                <w:rFonts w:hint="default" w:ascii="Times New Roman" w:hAnsi="Times New Roman" w:cs="Times New Roman"/>
                <w:color w:val="auto"/>
                <w:sz w:val="24"/>
                <w:highlight w:val="none"/>
                <w:lang w:val="en-US" w:eastAsia="zh-CN"/>
              </w:rPr>
              <w:t>的</w:t>
            </w:r>
            <w:r>
              <w:rPr>
                <w:rFonts w:hint="default" w:ascii="Times New Roman" w:hAnsi="Times New Roman" w:eastAsia="宋体" w:cs="Times New Roman"/>
                <w:color w:val="auto"/>
                <w:sz w:val="24"/>
                <w:highlight w:val="none"/>
                <w:lang w:val="en-US" w:eastAsia="zh-CN"/>
              </w:rPr>
              <w:t>废润滑油</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工程固废污染防治措施见表2-12</w:t>
            </w:r>
            <w:r>
              <w:rPr>
                <w:rFonts w:hint="default" w:ascii="Times New Roman" w:hAnsi="Times New Roman" w:eastAsia="宋体" w:cs="Times New Roman"/>
                <w:color w:val="auto"/>
                <w:sz w:val="24"/>
                <w:szCs w:val="24"/>
                <w:highlight w:val="none"/>
              </w:rPr>
              <w:t>。</w:t>
            </w:r>
          </w:p>
          <w:p w14:paraId="10846608">
            <w:pPr>
              <w:spacing w:after="0" w:line="24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2-12</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cs="Times New Roman"/>
                <w:b/>
                <w:color w:val="auto"/>
                <w:sz w:val="21"/>
                <w:szCs w:val="21"/>
                <w:highlight w:val="none"/>
                <w:lang w:val="en-US" w:eastAsia="zh-CN"/>
              </w:rPr>
              <w:t>现有</w:t>
            </w:r>
            <w:r>
              <w:rPr>
                <w:rFonts w:hint="default" w:ascii="Times New Roman" w:hAnsi="Times New Roman" w:eastAsia="宋体" w:cs="Times New Roman"/>
                <w:b/>
                <w:color w:val="auto"/>
                <w:sz w:val="21"/>
                <w:szCs w:val="21"/>
                <w:highlight w:val="none"/>
                <w:lang w:val="en-US" w:eastAsia="zh-CN"/>
              </w:rPr>
              <w:t>工程噪声污染防治措施见</w:t>
            </w:r>
          </w:p>
          <w:tbl>
            <w:tblPr>
              <w:tblStyle w:val="24"/>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174"/>
              <w:gridCol w:w="4681"/>
            </w:tblGrid>
            <w:tr w14:paraId="6137D7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7" w:type="dxa"/>
                  <w:tcBorders>
                    <w:bottom w:val="single" w:color="auto" w:sz="12" w:space="0"/>
                  </w:tcBorders>
                  <w:noWrap w:val="0"/>
                  <w:vAlign w:val="center"/>
                </w:tcPr>
                <w:p w14:paraId="01C9E8EF">
                  <w:pPr>
                    <w:bidi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固废</w:t>
                  </w:r>
                  <w:r>
                    <w:rPr>
                      <w:rFonts w:hint="default" w:ascii="Times New Roman" w:hAnsi="Times New Roman" w:cs="Times New Roman"/>
                      <w:b/>
                      <w:bCs/>
                      <w:color w:val="auto"/>
                      <w:sz w:val="21"/>
                      <w:szCs w:val="21"/>
                      <w:highlight w:val="none"/>
                    </w:rPr>
                    <w:t>来源</w:t>
                  </w:r>
                </w:p>
              </w:tc>
              <w:tc>
                <w:tcPr>
                  <w:tcW w:w="1174" w:type="dxa"/>
                  <w:tcBorders>
                    <w:bottom w:val="single" w:color="auto" w:sz="12" w:space="0"/>
                  </w:tcBorders>
                  <w:noWrap w:val="0"/>
                  <w:vAlign w:val="center"/>
                </w:tcPr>
                <w:p w14:paraId="4877104E">
                  <w:pPr>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污染</w:t>
                  </w:r>
                  <w:r>
                    <w:rPr>
                      <w:rFonts w:hint="default" w:ascii="Times New Roman" w:hAnsi="Times New Roman" w:eastAsia="宋体" w:cs="Times New Roman"/>
                      <w:b/>
                      <w:bCs/>
                      <w:color w:val="auto"/>
                      <w:sz w:val="21"/>
                      <w:szCs w:val="21"/>
                      <w:highlight w:val="none"/>
                      <w:lang w:val="en-US" w:eastAsia="zh-CN"/>
                    </w:rPr>
                    <w:t>物</w:t>
                  </w:r>
                </w:p>
              </w:tc>
              <w:tc>
                <w:tcPr>
                  <w:tcW w:w="4681" w:type="dxa"/>
                  <w:tcBorders>
                    <w:bottom w:val="single" w:color="auto" w:sz="12" w:space="0"/>
                  </w:tcBorders>
                  <w:noWrap w:val="0"/>
                  <w:vAlign w:val="center"/>
                </w:tcPr>
                <w:p w14:paraId="674216A0">
                  <w:pPr>
                    <w:bidi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防治措施</w:t>
                  </w:r>
                </w:p>
              </w:tc>
            </w:tr>
            <w:tr w14:paraId="17DF0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7" w:type="dxa"/>
                  <w:tcBorders>
                    <w:top w:val="single" w:color="auto" w:sz="12" w:space="0"/>
                    <w:tl2br w:val="nil"/>
                    <w:tr2bl w:val="nil"/>
                  </w:tcBorders>
                  <w:noWrap w:val="0"/>
                  <w:vAlign w:val="center"/>
                </w:tcPr>
                <w:p w14:paraId="7B521F29">
                  <w:pPr>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生活办公</w:t>
                  </w:r>
                </w:p>
              </w:tc>
              <w:tc>
                <w:tcPr>
                  <w:tcW w:w="1174" w:type="dxa"/>
                  <w:tcBorders>
                    <w:top w:val="single" w:color="auto" w:sz="12" w:space="0"/>
                    <w:tl2br w:val="nil"/>
                    <w:tr2bl w:val="nil"/>
                  </w:tcBorders>
                  <w:noWrap w:val="0"/>
                  <w:vAlign w:val="center"/>
                </w:tcPr>
                <w:p w14:paraId="28F96AA4">
                  <w:pPr>
                    <w:bidi w:val="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生活垃圾</w:t>
                  </w:r>
                </w:p>
              </w:tc>
              <w:tc>
                <w:tcPr>
                  <w:tcW w:w="4681" w:type="dxa"/>
                  <w:tcBorders>
                    <w:top w:val="single" w:color="auto" w:sz="12" w:space="0"/>
                    <w:tl2br w:val="nil"/>
                    <w:tr2bl w:val="nil"/>
                  </w:tcBorders>
                  <w:noWrap w:val="0"/>
                  <w:vAlign w:val="center"/>
                </w:tcPr>
                <w:p w14:paraId="06793374">
                  <w:pPr>
                    <w:bidi w:val="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集中收集后，由园区环卫部门统一清运</w:t>
                  </w:r>
                </w:p>
              </w:tc>
            </w:tr>
            <w:tr w14:paraId="7CC9AD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7" w:type="dxa"/>
                  <w:tcBorders>
                    <w:top w:val="single" w:color="auto" w:sz="12" w:space="0"/>
                    <w:tl2br w:val="nil"/>
                    <w:tr2bl w:val="nil"/>
                  </w:tcBorders>
                  <w:noWrap w:val="0"/>
                  <w:vAlign w:val="center"/>
                </w:tcPr>
                <w:p w14:paraId="3B6F334F">
                  <w:pPr>
                    <w:bidi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沉淀池</w:t>
                  </w:r>
                </w:p>
              </w:tc>
              <w:tc>
                <w:tcPr>
                  <w:tcW w:w="1174" w:type="dxa"/>
                  <w:tcBorders>
                    <w:top w:val="single" w:color="auto" w:sz="12" w:space="0"/>
                    <w:tl2br w:val="nil"/>
                    <w:tr2bl w:val="nil"/>
                  </w:tcBorders>
                  <w:noWrap w:val="0"/>
                  <w:vAlign w:val="center"/>
                </w:tcPr>
                <w:p w14:paraId="37334BE8">
                  <w:pPr>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底泥</w:t>
                  </w:r>
                </w:p>
              </w:tc>
              <w:tc>
                <w:tcPr>
                  <w:tcW w:w="4681" w:type="dxa"/>
                  <w:tcBorders>
                    <w:top w:val="single" w:color="auto" w:sz="12" w:space="0"/>
                    <w:tl2br w:val="nil"/>
                    <w:tr2bl w:val="nil"/>
                  </w:tcBorders>
                  <w:noWrap w:val="0"/>
                  <w:vAlign w:val="center"/>
                </w:tcPr>
                <w:p w14:paraId="2411BDC8">
                  <w:pPr>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沉淀池产生的污染物为泥沙，生产季结束后清掏，自然干化，干化后用于项目区周边农田配土</w:t>
                  </w:r>
                </w:p>
              </w:tc>
            </w:tr>
            <w:tr w14:paraId="6300D3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7" w:type="dxa"/>
                  <w:tcBorders>
                    <w:tl2br w:val="nil"/>
                    <w:tr2bl w:val="nil"/>
                  </w:tcBorders>
                  <w:noWrap w:val="0"/>
                  <w:vAlign w:val="center"/>
                </w:tcPr>
                <w:p w14:paraId="11AF25A4">
                  <w:pPr>
                    <w:bidi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等离子光氧一体机</w:t>
                  </w:r>
                </w:p>
              </w:tc>
              <w:tc>
                <w:tcPr>
                  <w:tcW w:w="1174" w:type="dxa"/>
                  <w:tcBorders>
                    <w:tl2br w:val="nil"/>
                    <w:tr2bl w:val="nil"/>
                  </w:tcBorders>
                  <w:noWrap w:val="0"/>
                  <w:vAlign w:val="center"/>
                </w:tcPr>
                <w:p w14:paraId="71E1C92E">
                  <w:pPr>
                    <w:bidi w:val="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废灯管</w:t>
                  </w:r>
                </w:p>
              </w:tc>
              <w:tc>
                <w:tcPr>
                  <w:tcW w:w="4681" w:type="dxa"/>
                  <w:vMerge w:val="restart"/>
                  <w:tcBorders>
                    <w:tl2br w:val="nil"/>
                    <w:tr2bl w:val="nil"/>
                  </w:tcBorders>
                  <w:noWrap w:val="0"/>
                  <w:vAlign w:val="center"/>
                </w:tcPr>
                <w:p w14:paraId="68002759">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收集暂存于</w:t>
                  </w:r>
                  <w:r>
                    <w:rPr>
                      <w:rFonts w:hint="eastAsia" w:ascii="Times New Roman" w:hAnsi="Times New Roman" w:cs="Times New Roman"/>
                      <w:color w:val="auto"/>
                      <w:sz w:val="21"/>
                      <w:szCs w:val="21"/>
                      <w:highlight w:val="none"/>
                      <w:lang w:eastAsia="zh-CN"/>
                    </w:rPr>
                    <w:t>危废贮存点</w:t>
                  </w:r>
                  <w:r>
                    <w:rPr>
                      <w:rFonts w:hint="default" w:ascii="Times New Roman" w:hAnsi="Times New Roman" w:cs="Times New Roman"/>
                      <w:color w:val="auto"/>
                      <w:sz w:val="21"/>
                      <w:szCs w:val="21"/>
                      <w:highlight w:val="none"/>
                    </w:rPr>
                    <w:t>，委托有资质的单位定期处理</w:t>
                  </w:r>
                </w:p>
              </w:tc>
            </w:tr>
            <w:tr w14:paraId="209CB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7" w:type="dxa"/>
                  <w:tcBorders>
                    <w:tl2br w:val="nil"/>
                    <w:tr2bl w:val="nil"/>
                  </w:tcBorders>
                  <w:noWrap w:val="0"/>
                  <w:vAlign w:val="center"/>
                </w:tcPr>
                <w:p w14:paraId="729C9EA1">
                  <w:pPr>
                    <w:bidi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机械保养</w:t>
                  </w:r>
                </w:p>
              </w:tc>
              <w:tc>
                <w:tcPr>
                  <w:tcW w:w="1174" w:type="dxa"/>
                  <w:tcBorders>
                    <w:tl2br w:val="nil"/>
                    <w:tr2bl w:val="nil"/>
                  </w:tcBorders>
                  <w:noWrap w:val="0"/>
                  <w:vAlign w:val="center"/>
                </w:tcPr>
                <w:p w14:paraId="06FA0CDD">
                  <w:pPr>
                    <w:bidi w:val="0"/>
                    <w:jc w:val="center"/>
                    <w:rPr>
                      <w:rFonts w:hint="default" w:ascii="Times New Roman" w:hAnsi="Times New Roman"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废润滑油</w:t>
                  </w:r>
                </w:p>
              </w:tc>
              <w:tc>
                <w:tcPr>
                  <w:tcW w:w="4681" w:type="dxa"/>
                  <w:vMerge w:val="continue"/>
                  <w:tcBorders>
                    <w:tl2br w:val="nil"/>
                    <w:tr2bl w:val="nil"/>
                  </w:tcBorders>
                  <w:noWrap w:val="0"/>
                  <w:vAlign w:val="center"/>
                </w:tcPr>
                <w:p w14:paraId="5FE259D5">
                  <w:pPr>
                    <w:bidi w:val="0"/>
                    <w:jc w:val="center"/>
                    <w:rPr>
                      <w:rFonts w:hint="default" w:ascii="Times New Roman" w:hAnsi="Times New Roman" w:cs="Times New Roman"/>
                      <w:color w:val="auto"/>
                      <w:sz w:val="21"/>
                      <w:szCs w:val="21"/>
                      <w:highlight w:val="none"/>
                    </w:rPr>
                  </w:pPr>
                </w:p>
              </w:tc>
            </w:tr>
          </w:tbl>
          <w:p w14:paraId="38845058">
            <w:pPr>
              <w:spacing w:line="360" w:lineRule="auto"/>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2.2.6</w:t>
            </w:r>
            <w:r>
              <w:rPr>
                <w:rFonts w:hint="default" w:ascii="Times New Roman" w:hAnsi="Times New Roman" w:cs="Times New Roman"/>
                <w:b/>
                <w:color w:val="auto"/>
                <w:sz w:val="24"/>
                <w:highlight w:val="none"/>
                <w:lang w:eastAsia="zh-CN"/>
              </w:rPr>
              <w:t>现有</w:t>
            </w:r>
            <w:r>
              <w:rPr>
                <w:rFonts w:hint="default" w:ascii="Times New Roman" w:hAnsi="Times New Roman" w:cs="Times New Roman"/>
                <w:b/>
                <w:color w:val="auto"/>
                <w:sz w:val="24"/>
                <w:highlight w:val="none"/>
              </w:rPr>
              <w:t>工程污染物排放情况</w:t>
            </w:r>
          </w:p>
          <w:p w14:paraId="27DD767A">
            <w:pPr>
              <w:spacing w:line="360" w:lineRule="auto"/>
              <w:ind w:firstLine="480" w:firstLineChars="200"/>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本次评价</w:t>
            </w:r>
            <w:r>
              <w:rPr>
                <w:rFonts w:hint="default" w:ascii="Times New Roman" w:hAnsi="Times New Roman" w:cs="Times New Roman"/>
                <w:color w:val="auto"/>
                <w:sz w:val="24"/>
                <w:szCs w:val="32"/>
                <w:highlight w:val="none"/>
                <w:lang w:eastAsia="zh-CN"/>
              </w:rPr>
              <w:t>现有</w:t>
            </w:r>
            <w:r>
              <w:rPr>
                <w:rFonts w:hint="default" w:ascii="Times New Roman" w:hAnsi="Times New Roman" w:eastAsia="宋体" w:cs="Times New Roman"/>
                <w:color w:val="auto"/>
                <w:sz w:val="24"/>
                <w:szCs w:val="32"/>
                <w:highlight w:val="none"/>
              </w:rPr>
              <w:t>工程污染物排放情况采用</w:t>
            </w:r>
            <w:r>
              <w:rPr>
                <w:rFonts w:hint="default" w:ascii="Times New Roman" w:hAnsi="Times New Roman" w:eastAsia="宋体" w:cs="Times New Roman"/>
                <w:color w:val="auto"/>
                <w:sz w:val="24"/>
                <w:szCs w:val="32"/>
                <w:highlight w:val="none"/>
                <w:lang w:val="en-US" w:eastAsia="zh-CN"/>
              </w:rPr>
              <w:t>原环评数据对</w:t>
            </w:r>
            <w:r>
              <w:rPr>
                <w:rFonts w:hint="default" w:ascii="Times New Roman" w:hAnsi="Times New Roman" w:cs="Times New Roman"/>
                <w:color w:val="auto"/>
                <w:sz w:val="24"/>
                <w:szCs w:val="32"/>
                <w:highlight w:val="none"/>
                <w:lang w:eastAsia="zh-CN"/>
              </w:rPr>
              <w:t>现有</w:t>
            </w:r>
            <w:r>
              <w:rPr>
                <w:rFonts w:hint="default" w:ascii="Times New Roman" w:hAnsi="Times New Roman" w:eastAsia="宋体" w:cs="Times New Roman"/>
                <w:color w:val="auto"/>
                <w:sz w:val="24"/>
                <w:szCs w:val="32"/>
                <w:highlight w:val="none"/>
              </w:rPr>
              <w:t>工程污染物排放情况进行</w:t>
            </w:r>
            <w:r>
              <w:rPr>
                <w:rFonts w:hint="default" w:ascii="Times New Roman" w:hAnsi="Times New Roman" w:eastAsia="宋体" w:cs="Times New Roman"/>
                <w:color w:val="auto"/>
                <w:sz w:val="24"/>
                <w:szCs w:val="32"/>
                <w:highlight w:val="none"/>
                <w:lang w:val="en-US" w:eastAsia="zh-CN"/>
              </w:rPr>
              <w:t>核算</w:t>
            </w:r>
            <w:r>
              <w:rPr>
                <w:rFonts w:hint="default" w:ascii="Times New Roman" w:hAnsi="Times New Roman" w:eastAsia="宋体" w:cs="Times New Roman"/>
                <w:color w:val="auto"/>
                <w:sz w:val="24"/>
                <w:szCs w:val="32"/>
                <w:highlight w:val="none"/>
              </w:rPr>
              <w:t>。</w:t>
            </w:r>
          </w:p>
          <w:p w14:paraId="3B3D0FE7">
            <w:pPr>
              <w:spacing w:line="360" w:lineRule="auto"/>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2.2.6.1</w:t>
            </w:r>
            <w:r>
              <w:rPr>
                <w:rFonts w:hint="default" w:ascii="Times New Roman" w:hAnsi="Times New Roman" w:cs="Times New Roman"/>
                <w:b/>
                <w:color w:val="auto"/>
                <w:sz w:val="24"/>
                <w:highlight w:val="none"/>
              </w:rPr>
              <w:t>废气污染物</w:t>
            </w:r>
          </w:p>
          <w:p w14:paraId="42C482AB">
            <w:pPr>
              <w:topLinePunct/>
              <w:adjustRightInd w:val="0"/>
              <w:snapToGrid w:val="0"/>
              <w:spacing w:line="360" w:lineRule="auto"/>
              <w:ind w:firstLine="480" w:firstLineChars="200"/>
              <w:jc w:val="left"/>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val="en-US" w:eastAsia="zh-CN"/>
              </w:rPr>
              <w:t>现有项目</w:t>
            </w:r>
            <w:r>
              <w:rPr>
                <w:rFonts w:hint="default" w:ascii="Times New Roman" w:hAnsi="Times New Roman" w:cs="Times New Roman"/>
                <w:color w:val="auto"/>
                <w:sz w:val="24"/>
                <w:highlight w:val="none"/>
                <w:lang w:eastAsia="zh-CN"/>
              </w:rPr>
              <w:t>造粒、制管生产采用电加热方式对料筒进行加热。造粒工序不添加任何阻燃剂、增塑剂等添加剂，采用直接再生方式，挤出造粒过程为单纯物理熔融变化过程，聚乙烯加热温度控制在200~250℃左右，聚乙烯裂解温度为≥380℃，因加热温度控制在不发生裂解的温度条件下，故无裂解废气产生，但在实际操作过程中，因料筒局部过热等其它原因，会有少量单体产生，主要为乙烯单体，同时还有颗粒物产生。根据《空气污染物排放和控制手册工业污染源调查与研究第二辑》（美国环境保护局编），该手册认为在无控制措施时，非甲烷总烃的排放系数为0.35kgt</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树脂原料。本项目造粒加工规模取值为5000</w:t>
            </w:r>
            <w:r>
              <w:rPr>
                <w:rFonts w:hint="default" w:ascii="Times New Roman" w:hAnsi="Times New Roman" w:cs="Times New Roman"/>
                <w:color w:val="auto"/>
                <w:sz w:val="24"/>
                <w:highlight w:val="none"/>
                <w:lang w:val="en-US" w:eastAsia="zh-CN"/>
              </w:rPr>
              <w:t>t</w:t>
            </w:r>
            <w:r>
              <w:rPr>
                <w:rFonts w:hint="default" w:ascii="Times New Roman" w:hAnsi="Times New Roman" w:cs="Times New Roman"/>
                <w:color w:val="auto"/>
                <w:sz w:val="24"/>
                <w:highlight w:val="none"/>
                <w:lang w:eastAsia="zh-CN"/>
              </w:rPr>
              <w:t>/a，项目年工作时长为2400h。</w:t>
            </w:r>
          </w:p>
          <w:p w14:paraId="2BF7743F">
            <w:pPr>
              <w:topLinePunct/>
              <w:adjustRightInd w:val="0"/>
              <w:snapToGrid w:val="0"/>
              <w:spacing w:line="360" w:lineRule="auto"/>
              <w:ind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为此，项目在造粒车间、制管车间中PE熔融、挤出位置上方设置集气罩，集气罩收集效率&gt;90%，废气经车间集气罩收集后送至</w:t>
            </w:r>
            <w:r>
              <w:rPr>
                <w:rFonts w:hint="default" w:ascii="Times New Roman" w:hAnsi="Times New Roman" w:cs="Times New Roman"/>
                <w:color w:val="auto"/>
                <w:sz w:val="24"/>
                <w:highlight w:val="none"/>
                <w:lang w:val="en-US" w:eastAsia="zh-CN"/>
              </w:rPr>
              <w:t>处理装置</w:t>
            </w:r>
            <w:r>
              <w:rPr>
                <w:rFonts w:hint="default" w:ascii="Times New Roman" w:hAnsi="Times New Roman" w:cs="Times New Roman"/>
                <w:color w:val="auto"/>
                <w:sz w:val="24"/>
                <w:highlight w:val="none"/>
                <w:lang w:eastAsia="zh-CN"/>
              </w:rPr>
              <w:t>，最终废气经分解净化后处理效率&gt;85%，经过15m高排气筒排放。造粒车间、制管车间中PE熔融、挤出产生的废气分别在各自车间收集、处理最终排放，排放口分别为G2、G4、Gs。根据《空气污染物排放和控制手册工业污染源调查与研究第二辑》（美国环境保护局编），该手册认为在无控制措施时，非甲烷总烃的排放系数为0.35kg</w:t>
            </w:r>
            <w:r>
              <w:rPr>
                <w:rFonts w:hint="default" w:ascii="Times New Roman" w:hAnsi="Times New Roman" w:cs="Times New Roman"/>
                <w:color w:val="auto"/>
                <w:sz w:val="24"/>
                <w:highlight w:val="none"/>
                <w:lang w:val="en-US" w:eastAsia="zh-CN"/>
              </w:rPr>
              <w:t>/L</w:t>
            </w:r>
            <w:r>
              <w:rPr>
                <w:rFonts w:hint="default" w:ascii="Times New Roman" w:hAnsi="Times New Roman" w:cs="Times New Roman"/>
                <w:color w:val="auto"/>
                <w:sz w:val="24"/>
                <w:highlight w:val="none"/>
                <w:lang w:eastAsia="zh-CN"/>
              </w:rPr>
              <w:t>原料，</w:t>
            </w:r>
            <w:r>
              <w:rPr>
                <w:rFonts w:hint="default" w:ascii="Times New Roman" w:hAnsi="Times New Roman" w:cs="Times New Roman"/>
                <w:color w:val="auto"/>
                <w:sz w:val="24"/>
                <w:highlight w:val="none"/>
                <w:lang w:val="en-US" w:eastAsia="zh-CN"/>
              </w:rPr>
              <w:t>现有项目废塑料再生造粒生产线挥发性有机物排放量：0.34t/a。</w:t>
            </w:r>
          </w:p>
          <w:p w14:paraId="58C92BD4">
            <w:pPr>
              <w:topLinePunct/>
              <w:adjustRightInd w:val="0"/>
              <w:snapToGrid w:val="0"/>
              <w:spacing w:line="360" w:lineRule="auto"/>
              <w:ind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综上，现有项目挥发性有机</w:t>
            </w:r>
            <w:r>
              <w:rPr>
                <w:rFonts w:hint="default" w:ascii="Times New Roman" w:hAnsi="Times New Roman" w:cs="Times New Roman"/>
                <w:b w:val="0"/>
                <w:bCs w:val="0"/>
                <w:color w:val="auto"/>
                <w:sz w:val="24"/>
                <w:highlight w:val="none"/>
                <w:lang w:val="en-US" w:eastAsia="zh-CN"/>
              </w:rPr>
              <w:t>物总排放量为：</w:t>
            </w:r>
            <w:r>
              <w:rPr>
                <w:rFonts w:hint="default" w:ascii="Times New Roman" w:hAnsi="Times New Roman" w:eastAsia="宋体" w:cs="Times New Roman"/>
                <w:bCs/>
                <w:color w:val="auto"/>
                <w:sz w:val="24"/>
                <w:szCs w:val="24"/>
                <w:highlight w:val="none"/>
                <w:lang w:val="en-US" w:eastAsia="zh-CN"/>
              </w:rPr>
              <w:t>1.251</w:t>
            </w:r>
            <w:r>
              <w:rPr>
                <w:rFonts w:hint="default" w:ascii="Times New Roman" w:hAnsi="Times New Roman" w:cs="Times New Roman"/>
                <w:b w:val="0"/>
                <w:bCs w:val="0"/>
                <w:color w:val="auto"/>
                <w:sz w:val="24"/>
                <w:highlight w:val="none"/>
                <w:lang w:val="en-US" w:eastAsia="zh-CN"/>
              </w:rPr>
              <w:t>t/a。</w:t>
            </w:r>
          </w:p>
          <w:p w14:paraId="29194D50">
            <w:pPr>
              <w:pStyle w:val="6"/>
              <w:numPr>
                <w:ilvl w:val="0"/>
                <w:numId w:val="0"/>
              </w:numPr>
              <w:spacing w:before="0" w:after="0" w:line="360" w:lineRule="auto"/>
              <w:ind w:leftChars="0"/>
              <w:jc w:val="left"/>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2</w:t>
            </w:r>
            <w:r>
              <w:rPr>
                <w:rFonts w:hint="default" w:ascii="Times New Roman" w:hAnsi="Times New Roman" w:cs="Times New Roman"/>
                <w:b/>
                <w:bCs w:val="0"/>
                <w:color w:val="auto"/>
                <w:sz w:val="24"/>
                <w:szCs w:val="24"/>
                <w:highlight w:val="none"/>
              </w:rPr>
              <w:t>.</w:t>
            </w:r>
            <w:r>
              <w:rPr>
                <w:rFonts w:hint="default" w:ascii="Times New Roman" w:hAnsi="Times New Roman" w:eastAsia="宋体" w:cs="Times New Roman"/>
                <w:b/>
                <w:bCs w:val="0"/>
                <w:color w:val="auto"/>
                <w:sz w:val="24"/>
                <w:szCs w:val="24"/>
                <w:highlight w:val="none"/>
              </w:rPr>
              <w:t>2</w:t>
            </w:r>
            <w:r>
              <w:rPr>
                <w:rFonts w:hint="default" w:ascii="Times New Roman" w:hAnsi="Times New Roman" w:eastAsia="宋体" w:cs="Times New Roman"/>
                <w:b/>
                <w:bCs w:val="0"/>
                <w:color w:val="auto"/>
                <w:sz w:val="24"/>
                <w:szCs w:val="24"/>
                <w:highlight w:val="none"/>
                <w:lang w:val="en-US" w:eastAsia="zh-CN"/>
              </w:rPr>
              <w:t>.6.2</w:t>
            </w:r>
            <w:r>
              <w:rPr>
                <w:rFonts w:hint="default" w:ascii="Times New Roman" w:hAnsi="Times New Roman" w:eastAsia="宋体" w:cs="Times New Roman"/>
                <w:b/>
                <w:bCs w:val="0"/>
                <w:color w:val="auto"/>
                <w:sz w:val="24"/>
                <w:szCs w:val="24"/>
                <w:highlight w:val="none"/>
              </w:rPr>
              <w:t>废水污染物</w:t>
            </w:r>
          </w:p>
          <w:p w14:paraId="6289225D">
            <w:pPr>
              <w:pStyle w:val="70"/>
              <w:spacing w:line="360" w:lineRule="auto"/>
              <w:ind w:firstLine="480" w:firstLineChars="200"/>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lang w:eastAsia="zh-CN"/>
              </w:rPr>
              <w:t>现有</w:t>
            </w:r>
            <w:r>
              <w:rPr>
                <w:rFonts w:hint="default" w:ascii="Times New Roman" w:hAnsi="Times New Roman" w:cs="Times New Roman"/>
                <w:b w:val="0"/>
                <w:bCs/>
                <w:color w:val="auto"/>
                <w:sz w:val="24"/>
                <w:highlight w:val="none"/>
                <w:lang w:val="en-US" w:eastAsia="zh-CN"/>
              </w:rPr>
              <w:t>工程</w:t>
            </w:r>
            <w:r>
              <w:rPr>
                <w:rFonts w:hint="default" w:ascii="Times New Roman" w:hAnsi="Times New Roman" w:cs="Times New Roman"/>
                <w:b w:val="0"/>
                <w:bCs/>
                <w:color w:val="auto"/>
                <w:sz w:val="24"/>
                <w:highlight w:val="none"/>
              </w:rPr>
              <w:t>运营期间无生产废水</w:t>
            </w:r>
            <w:r>
              <w:rPr>
                <w:rFonts w:hint="default" w:ascii="Times New Roman" w:hAnsi="Times New Roman" w:cs="Times New Roman"/>
                <w:b w:val="0"/>
                <w:bCs/>
                <w:color w:val="auto"/>
                <w:sz w:val="24"/>
                <w:highlight w:val="none"/>
                <w:lang w:val="en-US" w:eastAsia="zh-CN"/>
              </w:rPr>
              <w:t>主要为循环冷却水池，循环冷却水池废水不排放</w:t>
            </w:r>
            <w:r>
              <w:rPr>
                <w:rFonts w:hint="default" w:ascii="Times New Roman" w:hAnsi="Times New Roman" w:cs="Times New Roman"/>
                <w:b w:val="0"/>
                <w:bCs/>
                <w:color w:val="auto"/>
                <w:sz w:val="24"/>
                <w:highlight w:val="none"/>
              </w:rPr>
              <w:t>，</w:t>
            </w:r>
            <w:r>
              <w:rPr>
                <w:rFonts w:hint="default" w:ascii="Times New Roman" w:hAnsi="Times New Roman" w:cs="Times New Roman"/>
                <w:b w:val="0"/>
                <w:bCs/>
                <w:color w:val="auto"/>
                <w:sz w:val="24"/>
                <w:highlight w:val="none"/>
                <w:lang w:val="en-US" w:eastAsia="zh-CN"/>
              </w:rPr>
              <w:t>排放</w:t>
            </w:r>
            <w:r>
              <w:rPr>
                <w:rFonts w:hint="default" w:ascii="Times New Roman" w:hAnsi="Times New Roman" w:cs="Times New Roman"/>
                <w:b w:val="0"/>
                <w:bCs/>
                <w:color w:val="auto"/>
                <w:sz w:val="24"/>
                <w:highlight w:val="none"/>
              </w:rPr>
              <w:t>的废水主要为员工生活污水。生活污水直接排入园区污水管网</w:t>
            </w:r>
            <w:r>
              <w:rPr>
                <w:rFonts w:hint="default" w:ascii="Times New Roman" w:hAnsi="Times New Roman" w:cs="Times New Roman"/>
                <w:b w:val="0"/>
                <w:bCs/>
                <w:color w:val="auto"/>
                <w:sz w:val="24"/>
                <w:highlight w:val="none"/>
                <w:lang w:eastAsia="zh-CN"/>
              </w:rPr>
              <w:t>。现有</w:t>
            </w:r>
            <w:r>
              <w:rPr>
                <w:rFonts w:hint="default" w:ascii="Times New Roman" w:hAnsi="Times New Roman" w:cs="Times New Roman"/>
                <w:b w:val="0"/>
                <w:bCs/>
                <w:color w:val="auto"/>
                <w:sz w:val="24"/>
                <w:highlight w:val="none"/>
                <w:lang w:val="en-US" w:eastAsia="zh-CN"/>
              </w:rPr>
              <w:t>工程废水</w:t>
            </w:r>
            <w:r>
              <w:rPr>
                <w:rFonts w:hint="default" w:ascii="Times New Roman" w:hAnsi="Times New Roman" w:cs="Times New Roman"/>
                <w:b w:val="0"/>
                <w:bCs/>
                <w:color w:val="auto"/>
                <w:sz w:val="24"/>
                <w:highlight w:val="none"/>
              </w:rPr>
              <w:t>污染物</w:t>
            </w:r>
            <w:r>
              <w:rPr>
                <w:rFonts w:hint="default" w:ascii="Times New Roman" w:hAnsi="Times New Roman" w:cs="Times New Roman"/>
                <w:b w:val="0"/>
                <w:bCs/>
                <w:color w:val="auto"/>
                <w:sz w:val="24"/>
                <w:highlight w:val="none"/>
                <w:lang w:val="en-US" w:eastAsia="zh-CN"/>
              </w:rPr>
              <w:t>产生及</w:t>
            </w:r>
            <w:r>
              <w:rPr>
                <w:rFonts w:hint="default" w:ascii="Times New Roman" w:hAnsi="Times New Roman" w:cs="Times New Roman"/>
                <w:b w:val="0"/>
                <w:bCs/>
                <w:color w:val="auto"/>
                <w:sz w:val="24"/>
                <w:highlight w:val="none"/>
              </w:rPr>
              <w:t>排放情况</w:t>
            </w:r>
            <w:r>
              <w:rPr>
                <w:rFonts w:hint="default" w:ascii="Times New Roman" w:hAnsi="Times New Roman" w:cs="Times New Roman"/>
                <w:b w:val="0"/>
                <w:bCs/>
                <w:color w:val="auto"/>
                <w:sz w:val="24"/>
                <w:highlight w:val="none"/>
                <w:lang w:eastAsia="zh-CN"/>
              </w:rPr>
              <w:t>，</w:t>
            </w:r>
            <w:r>
              <w:rPr>
                <w:rFonts w:hint="default" w:ascii="Times New Roman" w:hAnsi="Times New Roman" w:cs="Times New Roman"/>
                <w:b w:val="0"/>
                <w:bCs/>
                <w:color w:val="auto"/>
                <w:sz w:val="24"/>
                <w:highlight w:val="none"/>
              </w:rPr>
              <w:t>见表2-</w:t>
            </w:r>
            <w:r>
              <w:rPr>
                <w:rFonts w:hint="default" w:ascii="Times New Roman" w:hAnsi="Times New Roman" w:cs="Times New Roman"/>
                <w:b w:val="0"/>
                <w:bCs/>
                <w:color w:val="auto"/>
                <w:sz w:val="24"/>
                <w:highlight w:val="none"/>
                <w:lang w:val="en-US" w:eastAsia="zh-CN"/>
              </w:rPr>
              <w:t>1</w:t>
            </w:r>
            <w:r>
              <w:rPr>
                <w:rFonts w:hint="eastAsia" w:ascii="Times New Roman" w:hAnsi="Times New Roman" w:cs="Times New Roman"/>
                <w:b w:val="0"/>
                <w:bCs/>
                <w:color w:val="auto"/>
                <w:sz w:val="24"/>
                <w:highlight w:val="none"/>
                <w:lang w:val="en-US" w:eastAsia="zh-CN"/>
              </w:rPr>
              <w:t>3</w:t>
            </w:r>
            <w:r>
              <w:rPr>
                <w:rFonts w:hint="default" w:ascii="Times New Roman" w:hAnsi="Times New Roman" w:cs="Times New Roman"/>
                <w:b w:val="0"/>
                <w:bCs/>
                <w:color w:val="auto"/>
                <w:sz w:val="24"/>
                <w:highlight w:val="none"/>
              </w:rPr>
              <w:t>。</w:t>
            </w:r>
          </w:p>
          <w:p w14:paraId="684CD5A2">
            <w:pPr>
              <w:pStyle w:val="70"/>
              <w:ind w:firstLine="422" w:firstLineChars="20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表2-</w:t>
            </w:r>
            <w:r>
              <w:rPr>
                <w:rFonts w:hint="default"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现有</w:t>
            </w:r>
            <w:r>
              <w:rPr>
                <w:rFonts w:hint="default" w:ascii="Times New Roman" w:hAnsi="Times New Roman" w:cs="Times New Roman"/>
                <w:color w:val="auto"/>
                <w:szCs w:val="21"/>
                <w:highlight w:val="none"/>
                <w:lang w:val="en-US" w:eastAsia="zh-CN"/>
              </w:rPr>
              <w:t>工程</w:t>
            </w:r>
            <w:r>
              <w:rPr>
                <w:rFonts w:hint="default" w:ascii="Times New Roman" w:hAnsi="Times New Roman" w:cs="Times New Roman"/>
                <w:color w:val="auto"/>
                <w:szCs w:val="21"/>
                <w:highlight w:val="none"/>
              </w:rPr>
              <w:t>废水</w:t>
            </w:r>
            <w:r>
              <w:rPr>
                <w:rFonts w:hint="default" w:ascii="Times New Roman" w:hAnsi="Times New Roman" w:cs="Times New Roman"/>
                <w:color w:val="auto"/>
                <w:szCs w:val="21"/>
                <w:highlight w:val="none"/>
                <w:lang w:val="en-US" w:eastAsia="zh-CN"/>
              </w:rPr>
              <w:t>产生及</w:t>
            </w:r>
            <w:r>
              <w:rPr>
                <w:rFonts w:hint="default" w:ascii="Times New Roman" w:hAnsi="Times New Roman" w:cs="Times New Roman"/>
                <w:color w:val="auto"/>
                <w:szCs w:val="21"/>
                <w:highlight w:val="none"/>
              </w:rPr>
              <w:t>排放情况一览表</w:t>
            </w:r>
          </w:p>
          <w:tbl>
            <w:tblPr>
              <w:tblStyle w:val="24"/>
              <w:tblW w:w="4996"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1256"/>
              <w:gridCol w:w="1452"/>
              <w:gridCol w:w="1690"/>
              <w:gridCol w:w="1934"/>
            </w:tblGrid>
            <w:tr w14:paraId="355884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64" w:type="pct"/>
                  <w:vMerge w:val="restart"/>
                  <w:noWrap w:val="0"/>
                  <w:vAlign w:val="center"/>
                </w:tcPr>
                <w:p w14:paraId="546677AB">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产生量</w:t>
                  </w:r>
                </w:p>
              </w:tc>
              <w:tc>
                <w:tcPr>
                  <w:tcW w:w="800" w:type="pct"/>
                  <w:vMerge w:val="restart"/>
                  <w:noWrap w:val="0"/>
                  <w:vAlign w:val="center"/>
                </w:tcPr>
                <w:p w14:paraId="6E3E2C4D">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污染因子</w:t>
                  </w:r>
                </w:p>
              </w:tc>
              <w:tc>
                <w:tcPr>
                  <w:tcW w:w="2002" w:type="pct"/>
                  <w:gridSpan w:val="2"/>
                  <w:noWrap w:val="0"/>
                  <w:vAlign w:val="center"/>
                </w:tcPr>
                <w:p w14:paraId="2F239B83">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排放情况</w:t>
                  </w:r>
                </w:p>
              </w:tc>
              <w:tc>
                <w:tcPr>
                  <w:tcW w:w="1232" w:type="pct"/>
                  <w:vMerge w:val="restart"/>
                  <w:noWrap w:val="0"/>
                  <w:vAlign w:val="center"/>
                </w:tcPr>
                <w:p w14:paraId="3C621FF2">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治理措施及排放去向</w:t>
                  </w:r>
                </w:p>
              </w:tc>
            </w:tr>
            <w:tr w14:paraId="26D97F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64" w:type="pct"/>
                  <w:vMerge w:val="continue"/>
                  <w:noWrap w:val="0"/>
                  <w:vAlign w:val="center"/>
                </w:tcPr>
                <w:p w14:paraId="3EA2AEF4">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800" w:type="pct"/>
                  <w:vMerge w:val="continue"/>
                  <w:noWrap w:val="0"/>
                  <w:vAlign w:val="center"/>
                </w:tcPr>
                <w:p w14:paraId="4C4392BC">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925" w:type="pct"/>
                  <w:noWrap w:val="0"/>
                  <w:vAlign w:val="center"/>
                </w:tcPr>
                <w:p w14:paraId="02F9F314">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浓度（</w:t>
                  </w:r>
                  <w:r>
                    <w:rPr>
                      <w:rFonts w:hint="default" w:ascii="Times New Roman" w:hAnsi="Times New Roman" w:eastAsia="Times New Roman" w:cs="Times New Roman"/>
                      <w:b/>
                      <w:bCs/>
                      <w:color w:val="auto"/>
                      <w:szCs w:val="21"/>
                      <w:highlight w:val="none"/>
                    </w:rPr>
                    <w:t>mg/L</w:t>
                  </w:r>
                  <w:r>
                    <w:rPr>
                      <w:rFonts w:hint="default" w:ascii="Times New Roman" w:hAnsi="Times New Roman" w:cs="Times New Roman"/>
                      <w:b/>
                      <w:bCs/>
                      <w:color w:val="auto"/>
                      <w:szCs w:val="21"/>
                      <w:highlight w:val="none"/>
                    </w:rPr>
                    <w:t>）</w:t>
                  </w:r>
                </w:p>
              </w:tc>
              <w:tc>
                <w:tcPr>
                  <w:tcW w:w="1077" w:type="pct"/>
                  <w:noWrap w:val="0"/>
                  <w:vAlign w:val="center"/>
                </w:tcPr>
                <w:p w14:paraId="4B43174F">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排放量（</w:t>
                  </w:r>
                  <w:r>
                    <w:rPr>
                      <w:rFonts w:hint="default" w:ascii="Times New Roman" w:hAnsi="Times New Roman" w:eastAsia="Times New Roman" w:cs="Times New Roman"/>
                      <w:b/>
                      <w:bCs/>
                      <w:color w:val="auto"/>
                      <w:szCs w:val="21"/>
                      <w:highlight w:val="none"/>
                    </w:rPr>
                    <w:t>t/a</w:t>
                  </w:r>
                  <w:r>
                    <w:rPr>
                      <w:rFonts w:hint="default" w:ascii="Times New Roman" w:hAnsi="Times New Roman" w:cs="Times New Roman"/>
                      <w:b/>
                      <w:bCs/>
                      <w:color w:val="auto"/>
                      <w:szCs w:val="21"/>
                      <w:highlight w:val="none"/>
                    </w:rPr>
                    <w:t>）</w:t>
                  </w:r>
                </w:p>
              </w:tc>
              <w:tc>
                <w:tcPr>
                  <w:tcW w:w="1232" w:type="pct"/>
                  <w:vMerge w:val="continue"/>
                  <w:noWrap w:val="0"/>
                  <w:vAlign w:val="center"/>
                </w:tcPr>
                <w:p w14:paraId="306A54AC">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p>
              </w:tc>
            </w:tr>
            <w:tr w14:paraId="0F470C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964" w:type="pct"/>
                  <w:vMerge w:val="restart"/>
                  <w:noWrap w:val="0"/>
                  <w:vAlign w:val="center"/>
                </w:tcPr>
                <w:p w14:paraId="6794E7D3">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生活污水</w:t>
                  </w:r>
                </w:p>
                <w:p w14:paraId="65BB50B1">
                  <w:pPr>
                    <w:widowControl/>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r>
                    <w:rPr>
                      <w:rFonts w:hint="default" w:ascii="Times New Roman" w:hAnsi="Times New Roman" w:eastAsia="宋体" w:cs="Times New Roman"/>
                      <w:color w:val="auto"/>
                      <w:kern w:val="2"/>
                      <w:sz w:val="21"/>
                      <w:szCs w:val="21"/>
                      <w:highlight w:val="none"/>
                      <w:lang w:val="en-US" w:eastAsia="zh-CN" w:bidi="ar-SA"/>
                    </w:rPr>
                    <w:t>342</w:t>
                  </w:r>
                  <w:r>
                    <w:rPr>
                      <w:rFonts w:hint="default" w:ascii="Times New Roman" w:hAnsi="Times New Roman" w:cs="Times New Roman"/>
                      <w:color w:val="auto"/>
                      <w:sz w:val="21"/>
                      <w:szCs w:val="21"/>
                      <w:highlight w:val="none"/>
                    </w:rPr>
                    <w:t>t/a）</w:t>
                  </w:r>
                </w:p>
              </w:tc>
              <w:tc>
                <w:tcPr>
                  <w:tcW w:w="800" w:type="pct"/>
                  <w:noWrap w:val="0"/>
                  <w:vAlign w:val="center"/>
                </w:tcPr>
                <w:p w14:paraId="1E788A3C">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COD</w:t>
                  </w:r>
                </w:p>
              </w:tc>
              <w:tc>
                <w:tcPr>
                  <w:tcW w:w="925" w:type="pct"/>
                  <w:noWrap w:val="0"/>
                  <w:vAlign w:val="center"/>
                </w:tcPr>
                <w:p w14:paraId="471DD0F7">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400</w:t>
                  </w:r>
                </w:p>
              </w:tc>
              <w:tc>
                <w:tcPr>
                  <w:tcW w:w="1662" w:type="dxa"/>
                  <w:noWrap w:val="0"/>
                  <w:vAlign w:val="center"/>
                </w:tcPr>
                <w:p w14:paraId="33AF5EA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0.050</w:t>
                  </w:r>
                </w:p>
              </w:tc>
              <w:tc>
                <w:tcPr>
                  <w:tcW w:w="1232" w:type="pct"/>
                  <w:vMerge w:val="restart"/>
                  <w:noWrap w:val="0"/>
                  <w:vAlign w:val="center"/>
                </w:tcPr>
                <w:p w14:paraId="612CF1B4">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排入园区污水管网，最终排至园区污水处理厂集中处理</w:t>
                  </w:r>
                </w:p>
              </w:tc>
            </w:tr>
            <w:tr w14:paraId="6C28BB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964" w:type="pct"/>
                  <w:vMerge w:val="continue"/>
                  <w:noWrap w:val="0"/>
                  <w:vAlign w:val="center"/>
                </w:tcPr>
                <w:p w14:paraId="4DA56D40">
                  <w:pPr>
                    <w:widowControl/>
                    <w:kinsoku w:val="0"/>
                    <w:autoSpaceDE w:val="0"/>
                    <w:autoSpaceDN w:val="0"/>
                    <w:adjustRightInd w:val="0"/>
                    <w:snapToGrid w:val="0"/>
                    <w:jc w:val="center"/>
                    <w:textAlignment w:val="baseline"/>
                    <w:rPr>
                      <w:rFonts w:hint="default" w:ascii="Times New Roman" w:hAnsi="Times New Roman" w:cs="Times New Roman"/>
                      <w:color w:val="auto"/>
                      <w:sz w:val="21"/>
                      <w:szCs w:val="21"/>
                      <w:highlight w:val="none"/>
                    </w:rPr>
                  </w:pPr>
                </w:p>
              </w:tc>
              <w:tc>
                <w:tcPr>
                  <w:tcW w:w="800" w:type="pct"/>
                  <w:noWrap w:val="0"/>
                  <w:vAlign w:val="center"/>
                </w:tcPr>
                <w:p w14:paraId="00AB74AB">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BOD</w:t>
                  </w:r>
                </w:p>
              </w:tc>
              <w:tc>
                <w:tcPr>
                  <w:tcW w:w="925" w:type="pct"/>
                  <w:noWrap w:val="0"/>
                  <w:vAlign w:val="center"/>
                </w:tcPr>
                <w:p w14:paraId="743B1D19">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300</w:t>
                  </w:r>
                </w:p>
              </w:tc>
              <w:tc>
                <w:tcPr>
                  <w:tcW w:w="1662" w:type="dxa"/>
                  <w:noWrap w:val="0"/>
                  <w:vAlign w:val="center"/>
                </w:tcPr>
                <w:p w14:paraId="68DC3079">
                  <w:pPr>
                    <w:keepNext w:val="0"/>
                    <w:keepLines w:val="0"/>
                    <w:widowControl/>
                    <w:suppressLineNumbers w:val="0"/>
                    <w:jc w:val="center"/>
                    <w:textAlignment w:val="center"/>
                    <w:rPr>
                      <w:rFonts w:hint="default" w:ascii="Times New Roman" w:hAnsi="Times New Roman" w:cs="Times New Roman"/>
                      <w:color w:val="auto"/>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0.03</w:t>
                  </w:r>
                  <w:r>
                    <w:rPr>
                      <w:rFonts w:hint="default" w:ascii="Times New Roman" w:hAnsi="Times New Roman" w:cs="Times New Roman"/>
                      <w:i w:val="0"/>
                      <w:iCs w:val="0"/>
                      <w:color w:val="auto"/>
                      <w:kern w:val="0"/>
                      <w:sz w:val="21"/>
                      <w:szCs w:val="21"/>
                      <w:highlight w:val="none"/>
                      <w:u w:val="none"/>
                      <w:lang w:val="en-US" w:eastAsia="zh-CN" w:bidi="ar"/>
                    </w:rPr>
                    <w:t>8</w:t>
                  </w:r>
                </w:p>
              </w:tc>
              <w:tc>
                <w:tcPr>
                  <w:tcW w:w="1232" w:type="pct"/>
                  <w:vMerge w:val="continue"/>
                  <w:noWrap w:val="0"/>
                  <w:vAlign w:val="center"/>
                </w:tcPr>
                <w:p w14:paraId="4587FEEA">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r>
            <w:tr w14:paraId="72E97B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64" w:type="pct"/>
                  <w:vMerge w:val="continue"/>
                  <w:noWrap w:val="0"/>
                  <w:vAlign w:val="center"/>
                </w:tcPr>
                <w:p w14:paraId="399B7097">
                  <w:pPr>
                    <w:widowControl/>
                    <w:kinsoku w:val="0"/>
                    <w:autoSpaceDE w:val="0"/>
                    <w:autoSpaceDN w:val="0"/>
                    <w:adjustRightInd w:val="0"/>
                    <w:snapToGrid w:val="0"/>
                    <w:jc w:val="center"/>
                    <w:textAlignment w:val="baseline"/>
                    <w:rPr>
                      <w:rFonts w:hint="default" w:ascii="Times New Roman" w:hAnsi="Times New Roman" w:cs="Times New Roman"/>
                      <w:color w:val="auto"/>
                      <w:sz w:val="21"/>
                      <w:szCs w:val="21"/>
                      <w:highlight w:val="none"/>
                    </w:rPr>
                  </w:pPr>
                </w:p>
              </w:tc>
              <w:tc>
                <w:tcPr>
                  <w:tcW w:w="800" w:type="pct"/>
                  <w:noWrap w:val="0"/>
                  <w:vAlign w:val="center"/>
                </w:tcPr>
                <w:p w14:paraId="08E06956">
                  <w:pPr>
                    <w:widowControl/>
                    <w:kinsoku w:val="0"/>
                    <w:autoSpaceDE w:val="0"/>
                    <w:autoSpaceDN w:val="0"/>
                    <w:adjustRightInd w:val="0"/>
                    <w:snapToGrid w:val="0"/>
                    <w:jc w:val="center"/>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SS</w:t>
                  </w:r>
                </w:p>
              </w:tc>
              <w:tc>
                <w:tcPr>
                  <w:tcW w:w="925" w:type="pct"/>
                  <w:noWrap w:val="0"/>
                  <w:vAlign w:val="center"/>
                </w:tcPr>
                <w:p w14:paraId="15D2041F">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eastAsia="Times New Roman" w:cs="Times New Roman"/>
                      <w:color w:val="auto"/>
                      <w:szCs w:val="21"/>
                      <w:highlight w:val="none"/>
                    </w:rPr>
                    <w:t>00</w:t>
                  </w:r>
                </w:p>
              </w:tc>
              <w:tc>
                <w:tcPr>
                  <w:tcW w:w="1662" w:type="dxa"/>
                  <w:noWrap w:val="0"/>
                  <w:vAlign w:val="center"/>
                </w:tcPr>
                <w:p w14:paraId="41E4EBF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0.025</w:t>
                  </w:r>
                </w:p>
              </w:tc>
              <w:tc>
                <w:tcPr>
                  <w:tcW w:w="1232" w:type="pct"/>
                  <w:vMerge w:val="continue"/>
                  <w:noWrap w:val="0"/>
                  <w:vAlign w:val="center"/>
                </w:tcPr>
                <w:p w14:paraId="363923D9">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r>
            <w:tr w14:paraId="06F460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4" w:type="pct"/>
                  <w:vMerge w:val="continue"/>
                  <w:noWrap w:val="0"/>
                  <w:vAlign w:val="center"/>
                </w:tcPr>
                <w:p w14:paraId="6F9CEE94">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800" w:type="pct"/>
                  <w:noWrap w:val="0"/>
                  <w:vAlign w:val="center"/>
                </w:tcPr>
                <w:p w14:paraId="0EB2A01B">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eastAsia="Times New Roman" w:cs="Times New Roman"/>
                      <w:color w:val="auto"/>
                      <w:szCs w:val="21"/>
                      <w:highlight w:val="none"/>
                    </w:rPr>
                    <w:t>NH</w:t>
                  </w:r>
                  <w:r>
                    <w:rPr>
                      <w:rFonts w:hint="default" w:ascii="Times New Roman" w:hAnsi="Times New Roman" w:eastAsia="Times New Roman" w:cs="Times New Roman"/>
                      <w:color w:val="auto"/>
                      <w:szCs w:val="21"/>
                      <w:highlight w:val="none"/>
                      <w:vertAlign w:val="subscript"/>
                    </w:rPr>
                    <w:t>3</w:t>
                  </w:r>
                  <w:r>
                    <w:rPr>
                      <w:rFonts w:hint="default" w:ascii="Times New Roman" w:hAnsi="Times New Roman" w:eastAsia="Times New Roman" w:cs="Times New Roman"/>
                      <w:color w:val="auto"/>
                      <w:szCs w:val="21"/>
                      <w:highlight w:val="none"/>
                    </w:rPr>
                    <w:t>-N</w:t>
                  </w:r>
                </w:p>
              </w:tc>
              <w:tc>
                <w:tcPr>
                  <w:tcW w:w="925" w:type="pct"/>
                  <w:noWrap w:val="0"/>
                  <w:vAlign w:val="center"/>
                </w:tcPr>
                <w:p w14:paraId="071F38D6">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45</w:t>
                  </w:r>
                </w:p>
              </w:tc>
              <w:tc>
                <w:tcPr>
                  <w:tcW w:w="1662" w:type="dxa"/>
                  <w:noWrap w:val="0"/>
                  <w:vAlign w:val="center"/>
                </w:tcPr>
                <w:p w14:paraId="1217FA44">
                  <w:pPr>
                    <w:keepNext w:val="0"/>
                    <w:keepLines w:val="0"/>
                    <w:widowControl/>
                    <w:suppressLineNumbers w:val="0"/>
                    <w:jc w:val="center"/>
                    <w:textAlignment w:val="center"/>
                    <w:rPr>
                      <w:rFonts w:hint="default" w:ascii="Times New Roman" w:hAnsi="Times New Roman" w:cs="Times New Roman"/>
                      <w:color w:val="auto"/>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0.00</w:t>
                  </w:r>
                  <w:r>
                    <w:rPr>
                      <w:rFonts w:hint="default" w:ascii="Times New Roman" w:hAnsi="Times New Roman" w:cs="Times New Roman"/>
                      <w:i w:val="0"/>
                      <w:iCs w:val="0"/>
                      <w:color w:val="auto"/>
                      <w:kern w:val="0"/>
                      <w:sz w:val="21"/>
                      <w:szCs w:val="21"/>
                      <w:highlight w:val="none"/>
                      <w:u w:val="none"/>
                      <w:lang w:val="en-US" w:eastAsia="zh-CN" w:bidi="ar"/>
                    </w:rPr>
                    <w:t>6</w:t>
                  </w:r>
                </w:p>
              </w:tc>
              <w:tc>
                <w:tcPr>
                  <w:tcW w:w="1232" w:type="pct"/>
                  <w:vMerge w:val="continue"/>
                  <w:noWrap w:val="0"/>
                  <w:vAlign w:val="center"/>
                </w:tcPr>
                <w:p w14:paraId="5A66521E">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r>
          </w:tbl>
          <w:p w14:paraId="611D9584">
            <w:pPr>
              <w:pStyle w:val="36"/>
              <w:spacing w:before="24" w:after="24"/>
              <w:ind w:left="0" w:firstLine="0" w:firstLineChars="0"/>
              <w:jc w:val="left"/>
              <w:textAlignment w:val="auto"/>
              <w:rPr>
                <w:rFonts w:hint="default" w:ascii="Times New Roman" w:hAnsi="Times New Roman" w:cs="Times New Roman"/>
                <w:b/>
                <w:bCs/>
                <w:color w:val="auto"/>
                <w:spacing w:val="0"/>
                <w:sz w:val="24"/>
                <w:szCs w:val="24"/>
                <w:highlight w:val="none"/>
              </w:rPr>
            </w:pPr>
            <w:r>
              <w:rPr>
                <w:rFonts w:hint="default" w:ascii="Times New Roman" w:hAnsi="Times New Roman" w:cs="Times New Roman"/>
                <w:b/>
                <w:bCs/>
                <w:color w:val="auto"/>
                <w:spacing w:val="0"/>
                <w:sz w:val="24"/>
                <w:szCs w:val="24"/>
                <w:highlight w:val="none"/>
              </w:rPr>
              <w:t>2.</w:t>
            </w:r>
            <w:r>
              <w:rPr>
                <w:rFonts w:hint="default" w:ascii="Times New Roman" w:hAnsi="Times New Roman" w:cs="Times New Roman"/>
                <w:b/>
                <w:bCs/>
                <w:color w:val="auto"/>
                <w:spacing w:val="0"/>
                <w:sz w:val="24"/>
                <w:szCs w:val="24"/>
                <w:highlight w:val="none"/>
                <w:lang w:val="en-US" w:eastAsia="zh-CN"/>
              </w:rPr>
              <w:t>2.6.3</w:t>
            </w:r>
            <w:r>
              <w:rPr>
                <w:rFonts w:hint="default" w:ascii="Times New Roman" w:hAnsi="Times New Roman" w:cs="Times New Roman"/>
                <w:b/>
                <w:bCs/>
                <w:color w:val="auto"/>
                <w:spacing w:val="0"/>
                <w:sz w:val="24"/>
                <w:szCs w:val="24"/>
                <w:highlight w:val="none"/>
              </w:rPr>
              <w:t>噪声</w:t>
            </w:r>
          </w:p>
          <w:p w14:paraId="64ED9554">
            <w:pPr>
              <w:pStyle w:val="12"/>
              <w:widowControl/>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lang w:val="en-US" w:eastAsia="zh-CN" w:bidi="ar-SA"/>
              </w:rPr>
              <w:t>现有</w:t>
            </w:r>
            <w:r>
              <w:rPr>
                <w:rFonts w:hint="default" w:ascii="Times New Roman" w:hAnsi="Times New Roman" w:eastAsia="宋体" w:cs="Times New Roman"/>
                <w:color w:val="auto"/>
                <w:kern w:val="0"/>
                <w:sz w:val="24"/>
                <w:szCs w:val="24"/>
                <w:highlight w:val="none"/>
                <w:lang w:val="en-US" w:eastAsia="zh-CN" w:bidi="ar-SA"/>
              </w:rPr>
              <w:t>工程噪声源主要为各类机械设备，设备运行噪声在80-90dB（A）。运营期通过对设备加设减震垫、建筑物屏蔽隔声等降噪措施处理后，厂界噪声满足</w:t>
            </w:r>
            <w:r>
              <w:rPr>
                <w:rFonts w:hint="default" w:ascii="Times New Roman" w:hAnsi="Times New Roman" w:cs="Times New Roman"/>
                <w:color w:val="auto"/>
                <w:sz w:val="24"/>
                <w:szCs w:val="24"/>
                <w:highlight w:val="none"/>
              </w:rPr>
              <w:t>《工业企业厂界环境噪声排放标准》（GB12348-2008）中的3类声环境功能区标准要求。</w:t>
            </w:r>
          </w:p>
          <w:p w14:paraId="7377A57E">
            <w:pPr>
              <w:spacing w:line="360" w:lineRule="auto"/>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2.6.4</w:t>
            </w:r>
            <w:r>
              <w:rPr>
                <w:rFonts w:hint="default" w:ascii="Times New Roman" w:hAnsi="Times New Roman" w:cs="Times New Roman"/>
                <w:b/>
                <w:color w:val="auto"/>
                <w:sz w:val="24"/>
                <w:highlight w:val="none"/>
              </w:rPr>
              <w:t>固体废物</w:t>
            </w:r>
          </w:p>
          <w:p w14:paraId="617C4CC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现有</w:t>
            </w:r>
            <w:r>
              <w:rPr>
                <w:rFonts w:hint="default" w:ascii="Times New Roman" w:hAnsi="Times New Roman" w:eastAsia="宋体" w:cs="Times New Roman"/>
                <w:color w:val="auto"/>
                <w:sz w:val="24"/>
                <w:highlight w:val="none"/>
                <w:lang w:val="en-US" w:eastAsia="zh-CN"/>
              </w:rPr>
              <w:t>工程运营期</w:t>
            </w:r>
            <w:r>
              <w:rPr>
                <w:rFonts w:hint="default" w:ascii="Times New Roman" w:hAnsi="Times New Roman" w:eastAsia="宋体" w:cs="Times New Roman"/>
                <w:color w:val="auto"/>
                <w:sz w:val="24"/>
                <w:szCs w:val="24"/>
                <w:highlight w:val="none"/>
              </w:rPr>
              <w:t>间</w:t>
            </w:r>
            <w:r>
              <w:rPr>
                <w:rFonts w:hint="default" w:ascii="Times New Roman" w:hAnsi="Times New Roman" w:eastAsia="宋体" w:cs="Times New Roman"/>
                <w:color w:val="auto"/>
                <w:sz w:val="24"/>
                <w:szCs w:val="24"/>
                <w:highlight w:val="none"/>
                <w:lang w:val="en-US" w:eastAsia="zh-CN"/>
              </w:rPr>
              <w:t>产生的</w:t>
            </w:r>
            <w:r>
              <w:rPr>
                <w:rFonts w:hint="default" w:ascii="Times New Roman" w:hAnsi="Times New Roman" w:eastAsia="宋体" w:cs="Times New Roman"/>
                <w:color w:val="auto"/>
                <w:sz w:val="24"/>
                <w:highlight w:val="none"/>
                <w:lang w:val="en-US" w:eastAsia="zh-CN"/>
              </w:rPr>
              <w:t>固废主要为员工生活垃圾、</w:t>
            </w:r>
            <w:r>
              <w:rPr>
                <w:rFonts w:hint="default" w:ascii="Times New Roman" w:hAnsi="Times New Roman" w:cs="Times New Roman"/>
                <w:color w:val="auto"/>
                <w:sz w:val="24"/>
                <w:highlight w:val="none"/>
                <w:lang w:val="en-US" w:eastAsia="zh-CN"/>
              </w:rPr>
              <w:t>不合格产品、</w:t>
            </w:r>
            <w:r>
              <w:rPr>
                <w:rFonts w:hint="default" w:ascii="Times New Roman" w:hAnsi="Times New Roman" w:cs="Times New Roman"/>
                <w:color w:val="auto"/>
                <w:sz w:val="24"/>
                <w:highlight w:val="none"/>
              </w:rPr>
              <w:t>废灯管</w:t>
            </w:r>
            <w:r>
              <w:rPr>
                <w:rFonts w:hint="default" w:ascii="Times New Roman" w:hAnsi="Times New Roman" w:cs="Times New Roman"/>
                <w:color w:val="auto"/>
                <w:sz w:val="24"/>
                <w:highlight w:val="none"/>
                <w:lang w:val="en-US" w:eastAsia="zh-CN"/>
              </w:rPr>
              <w:t>和</w:t>
            </w:r>
            <w:r>
              <w:rPr>
                <w:rFonts w:hint="default" w:ascii="Times New Roman" w:hAnsi="Times New Roman" w:cs="Times New Roman"/>
                <w:color w:val="auto"/>
                <w:sz w:val="24"/>
                <w:highlight w:val="none"/>
              </w:rPr>
              <w:t>机械维修时产生</w:t>
            </w:r>
            <w:r>
              <w:rPr>
                <w:rFonts w:hint="default" w:ascii="Times New Roman" w:hAnsi="Times New Roman" w:cs="Times New Roman"/>
                <w:color w:val="auto"/>
                <w:sz w:val="24"/>
                <w:highlight w:val="none"/>
                <w:lang w:val="en-US" w:eastAsia="zh-CN"/>
              </w:rPr>
              <w:t>的</w:t>
            </w:r>
            <w:r>
              <w:rPr>
                <w:rFonts w:hint="default" w:ascii="Times New Roman" w:hAnsi="Times New Roman" w:eastAsia="宋体" w:cs="Times New Roman"/>
                <w:color w:val="auto"/>
                <w:sz w:val="24"/>
                <w:highlight w:val="none"/>
                <w:lang w:val="en-US" w:eastAsia="zh-CN"/>
              </w:rPr>
              <w:t>废润滑油</w:t>
            </w:r>
            <w:r>
              <w:rPr>
                <w:rFonts w:hint="default" w:ascii="Times New Roman" w:hAnsi="Times New Roman" w:cs="Times New Roman"/>
                <w:color w:val="auto"/>
                <w:sz w:val="24"/>
                <w:highlight w:val="none"/>
              </w:rPr>
              <w:t>。</w:t>
            </w:r>
          </w:p>
          <w:p w14:paraId="7CD25FC3">
            <w:pPr>
              <w:spacing w:line="360" w:lineRule="auto"/>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eastAsia="zh-CN"/>
              </w:rPr>
              <w:t>现有</w:t>
            </w:r>
            <w:r>
              <w:rPr>
                <w:rFonts w:hint="default" w:ascii="Times New Roman" w:hAnsi="Times New Roman" w:cs="Times New Roman"/>
                <w:color w:val="auto"/>
                <w:sz w:val="24"/>
                <w:szCs w:val="32"/>
                <w:highlight w:val="none"/>
              </w:rPr>
              <w:t>项目固体废物产生及处置情况见表2-1</w:t>
            </w:r>
            <w:r>
              <w:rPr>
                <w:rFonts w:hint="eastAsia" w:ascii="Times New Roman" w:hAnsi="Times New Roman" w:cs="Times New Roman"/>
                <w:color w:val="auto"/>
                <w:sz w:val="24"/>
                <w:szCs w:val="32"/>
                <w:highlight w:val="none"/>
                <w:lang w:val="en-US" w:eastAsia="zh-CN"/>
              </w:rPr>
              <w:t>4</w:t>
            </w:r>
            <w:r>
              <w:rPr>
                <w:rFonts w:hint="default" w:ascii="Times New Roman" w:hAnsi="Times New Roman" w:cs="Times New Roman"/>
                <w:color w:val="auto"/>
                <w:sz w:val="24"/>
                <w:szCs w:val="32"/>
                <w:highlight w:val="none"/>
              </w:rPr>
              <w:t>。</w:t>
            </w:r>
          </w:p>
          <w:p w14:paraId="21E6D1A4">
            <w:pPr>
              <w:pStyle w:val="5"/>
              <w:spacing w:before="0" w:after="0" w:line="260" w:lineRule="auto"/>
              <w:ind w:right="0"/>
              <w:jc w:val="center"/>
              <w:rPr>
                <w:rFonts w:hint="default" w:ascii="Times New Roman" w:hAnsi="Times New Roman" w:cs="Times New Roman"/>
                <w:b/>
                <w:bCs/>
                <w:color w:val="auto"/>
                <w:sz w:val="21"/>
                <w:szCs w:val="22"/>
                <w:highlight w:val="none"/>
              </w:rPr>
            </w:pPr>
            <w:r>
              <w:rPr>
                <w:rFonts w:hint="default" w:ascii="Times New Roman" w:hAnsi="Times New Roman" w:cs="Times New Roman"/>
                <w:b/>
                <w:bCs/>
                <w:color w:val="auto"/>
                <w:sz w:val="21"/>
                <w:szCs w:val="22"/>
                <w:highlight w:val="none"/>
              </w:rPr>
              <w:t>表2-1</w:t>
            </w:r>
            <w:r>
              <w:rPr>
                <w:rFonts w:hint="eastAsia" w:ascii="Times New Roman" w:hAnsi="Times New Roman" w:cs="Times New Roman"/>
                <w:b/>
                <w:bCs/>
                <w:color w:val="auto"/>
                <w:sz w:val="21"/>
                <w:szCs w:val="22"/>
                <w:highlight w:val="none"/>
                <w:lang w:val="en-US" w:eastAsia="zh-CN"/>
              </w:rPr>
              <w:t>4</w:t>
            </w:r>
            <w:r>
              <w:rPr>
                <w:rFonts w:hint="default" w:ascii="Times New Roman" w:hAnsi="Times New Roman" w:cs="Times New Roman"/>
                <w:b/>
                <w:bCs/>
                <w:color w:val="auto"/>
                <w:sz w:val="21"/>
                <w:szCs w:val="22"/>
                <w:highlight w:val="none"/>
              </w:rPr>
              <w:t xml:space="preserve">   </w:t>
            </w:r>
            <w:r>
              <w:rPr>
                <w:rFonts w:hint="default" w:ascii="Times New Roman" w:hAnsi="Times New Roman" w:cs="Times New Roman"/>
                <w:b/>
                <w:bCs/>
                <w:color w:val="auto"/>
                <w:sz w:val="21"/>
                <w:szCs w:val="22"/>
                <w:highlight w:val="none"/>
                <w:lang w:eastAsia="zh-CN"/>
              </w:rPr>
              <w:t>现有</w:t>
            </w:r>
            <w:r>
              <w:rPr>
                <w:rFonts w:hint="default" w:ascii="Times New Roman" w:hAnsi="Times New Roman" w:cs="Times New Roman"/>
                <w:b/>
                <w:bCs/>
                <w:color w:val="auto"/>
                <w:sz w:val="21"/>
                <w:szCs w:val="22"/>
                <w:highlight w:val="none"/>
              </w:rPr>
              <w:t>项目固体废物产生及处置情况一览表</w:t>
            </w:r>
          </w:p>
          <w:tbl>
            <w:tblPr>
              <w:tblStyle w:val="24"/>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692"/>
              <w:gridCol w:w="1223"/>
              <w:gridCol w:w="1492"/>
              <w:gridCol w:w="3441"/>
            </w:tblGrid>
            <w:tr w14:paraId="6A0AB1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857" w:type="pct"/>
                  <w:gridSpan w:val="2"/>
                  <w:tcBorders>
                    <w:bottom w:val="single" w:color="000000" w:sz="12" w:space="0"/>
                  </w:tcBorders>
                  <w:noWrap w:val="0"/>
                  <w:vAlign w:val="center"/>
                </w:tcPr>
                <w:p w14:paraId="70E54D34">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类别</w:t>
                  </w:r>
                </w:p>
              </w:tc>
              <w:tc>
                <w:tcPr>
                  <w:tcW w:w="950" w:type="pct"/>
                  <w:tcBorders>
                    <w:bottom w:val="single" w:color="000000" w:sz="12" w:space="0"/>
                  </w:tcBorders>
                  <w:noWrap w:val="0"/>
                  <w:vAlign w:val="center"/>
                </w:tcPr>
                <w:p w14:paraId="7B8CE60A">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产生量（</w:t>
                  </w:r>
                  <w:r>
                    <w:rPr>
                      <w:rFonts w:hint="default" w:ascii="Times New Roman" w:hAnsi="Times New Roman" w:eastAsia="Times New Roman" w:cs="Times New Roman"/>
                      <w:b/>
                      <w:bCs/>
                      <w:color w:val="auto"/>
                      <w:szCs w:val="21"/>
                      <w:highlight w:val="none"/>
                    </w:rPr>
                    <w:t>t/a</w:t>
                  </w:r>
                  <w:r>
                    <w:rPr>
                      <w:rFonts w:hint="default" w:ascii="Times New Roman" w:hAnsi="Times New Roman" w:cs="Times New Roman"/>
                      <w:b/>
                      <w:bCs/>
                      <w:color w:val="auto"/>
                      <w:szCs w:val="21"/>
                      <w:highlight w:val="none"/>
                    </w:rPr>
                    <w:t>）</w:t>
                  </w:r>
                </w:p>
              </w:tc>
              <w:tc>
                <w:tcPr>
                  <w:tcW w:w="2192" w:type="pct"/>
                  <w:tcBorders>
                    <w:bottom w:val="single" w:color="000000" w:sz="12" w:space="0"/>
                  </w:tcBorders>
                  <w:noWrap w:val="0"/>
                  <w:vAlign w:val="center"/>
                </w:tcPr>
                <w:p w14:paraId="65C2CA82">
                  <w:pPr>
                    <w:widowControl/>
                    <w:kinsoku w:val="0"/>
                    <w:autoSpaceDE w:val="0"/>
                    <w:autoSpaceDN w:val="0"/>
                    <w:adjustRightInd w:val="0"/>
                    <w:snapToGrid w:val="0"/>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去向</w:t>
                  </w:r>
                </w:p>
              </w:tc>
            </w:tr>
            <w:tr w14:paraId="5B12DF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tcBorders>
                    <w:top w:val="single" w:color="000000" w:sz="12" w:space="0"/>
                  </w:tcBorders>
                  <w:noWrap w:val="0"/>
                  <w:vAlign w:val="center"/>
                </w:tcPr>
                <w:p w14:paraId="572EC3B7">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生活垃圾</w:t>
                  </w:r>
                </w:p>
              </w:tc>
              <w:tc>
                <w:tcPr>
                  <w:tcW w:w="779" w:type="pct"/>
                  <w:tcBorders>
                    <w:top w:val="single" w:color="000000" w:sz="12" w:space="0"/>
                  </w:tcBorders>
                  <w:noWrap w:val="0"/>
                  <w:vAlign w:val="center"/>
                </w:tcPr>
                <w:p w14:paraId="2768AD30">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生活垃圾</w:t>
                  </w:r>
                </w:p>
              </w:tc>
              <w:tc>
                <w:tcPr>
                  <w:tcW w:w="950" w:type="pct"/>
                  <w:tcBorders>
                    <w:top w:val="single" w:color="000000" w:sz="12" w:space="0"/>
                  </w:tcBorders>
                  <w:noWrap w:val="0"/>
                  <w:vAlign w:val="center"/>
                </w:tcPr>
                <w:p w14:paraId="2366EE87">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5.25</w:t>
                  </w:r>
                </w:p>
              </w:tc>
              <w:tc>
                <w:tcPr>
                  <w:tcW w:w="2192" w:type="pct"/>
                  <w:tcBorders>
                    <w:top w:val="single" w:color="000000" w:sz="12" w:space="0"/>
                  </w:tcBorders>
                  <w:noWrap w:val="0"/>
                  <w:vAlign w:val="center"/>
                </w:tcPr>
                <w:p w14:paraId="124B896C">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集中收集后由园区环卫部门统一清运处置</w:t>
                  </w:r>
                </w:p>
              </w:tc>
            </w:tr>
            <w:tr w14:paraId="78282B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vMerge w:val="restart"/>
                  <w:noWrap w:val="0"/>
                  <w:vAlign w:val="center"/>
                </w:tcPr>
                <w:p w14:paraId="168B27A2">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一般工业固废</w:t>
                  </w:r>
                </w:p>
              </w:tc>
              <w:tc>
                <w:tcPr>
                  <w:tcW w:w="779" w:type="pct"/>
                  <w:noWrap w:val="0"/>
                  <w:vAlign w:val="center"/>
                </w:tcPr>
                <w:p w14:paraId="0BEE8EDA">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不合格产品</w:t>
                  </w:r>
                </w:p>
              </w:tc>
              <w:tc>
                <w:tcPr>
                  <w:tcW w:w="950" w:type="pct"/>
                  <w:noWrap w:val="0"/>
                  <w:vAlign w:val="center"/>
                </w:tcPr>
                <w:p w14:paraId="46AB6FF7">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8.4</w:t>
                  </w:r>
                </w:p>
              </w:tc>
              <w:tc>
                <w:tcPr>
                  <w:tcW w:w="2192" w:type="pct"/>
                  <w:noWrap w:val="0"/>
                  <w:vAlign w:val="center"/>
                </w:tcPr>
                <w:p w14:paraId="10D4DFF1">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eastAsia="宋体" w:cs="Times New Roman"/>
                      <w:color w:val="auto"/>
                      <w:sz w:val="21"/>
                      <w:szCs w:val="21"/>
                      <w:highlight w:val="none"/>
                      <w:lang w:val="en-US" w:eastAsia="zh-CN"/>
                    </w:rPr>
                    <w:t>回收破碎后重新利用</w:t>
                  </w:r>
                </w:p>
              </w:tc>
            </w:tr>
            <w:tr w14:paraId="5ED390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vMerge w:val="continue"/>
                  <w:noWrap w:val="0"/>
                  <w:vAlign w:val="center"/>
                </w:tcPr>
                <w:p w14:paraId="2F5DFE7E">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779" w:type="pct"/>
                  <w:noWrap w:val="0"/>
                  <w:vAlign w:val="center"/>
                </w:tcPr>
                <w:p w14:paraId="42467C59">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废包装袋</w:t>
                  </w:r>
                </w:p>
              </w:tc>
              <w:tc>
                <w:tcPr>
                  <w:tcW w:w="950" w:type="pct"/>
                  <w:noWrap w:val="0"/>
                  <w:vAlign w:val="center"/>
                </w:tcPr>
                <w:p w14:paraId="6C5D356A">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w:t>
                  </w:r>
                </w:p>
              </w:tc>
              <w:tc>
                <w:tcPr>
                  <w:tcW w:w="2192" w:type="pct"/>
                  <w:noWrap w:val="0"/>
                  <w:vAlign w:val="center"/>
                </w:tcPr>
                <w:p w14:paraId="66C9E8C9">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定期回收交由物资回收单位进行处置</w:t>
                  </w:r>
                </w:p>
              </w:tc>
            </w:tr>
            <w:tr w14:paraId="36AC69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vMerge w:val="continue"/>
                  <w:noWrap w:val="0"/>
                  <w:vAlign w:val="center"/>
                </w:tcPr>
                <w:p w14:paraId="62DEDB14">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779" w:type="pct"/>
                  <w:shd w:val="clear" w:color="auto" w:fill="auto"/>
                  <w:noWrap w:val="0"/>
                  <w:vAlign w:val="center"/>
                </w:tcPr>
                <w:p w14:paraId="77D04631">
                  <w:pPr>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沉淀池底泥</w:t>
                  </w:r>
                </w:p>
              </w:tc>
              <w:tc>
                <w:tcPr>
                  <w:tcW w:w="950" w:type="pct"/>
                  <w:shd w:val="clear" w:color="auto" w:fill="auto"/>
                  <w:noWrap w:val="0"/>
                  <w:vAlign w:val="center"/>
                </w:tcPr>
                <w:p w14:paraId="326DED25">
                  <w:pPr>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w:t>
                  </w:r>
                </w:p>
              </w:tc>
              <w:tc>
                <w:tcPr>
                  <w:tcW w:w="2192" w:type="pct"/>
                  <w:shd w:val="clear" w:color="auto" w:fill="auto"/>
                  <w:noWrap w:val="0"/>
                  <w:vAlign w:val="center"/>
                </w:tcPr>
                <w:p w14:paraId="101D9ECF">
                  <w:pPr>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沉淀池产生的污染物为泥沙，生产季结束后清掏，自然干化，干化后用于项目区周边农田配土</w:t>
                  </w:r>
                </w:p>
              </w:tc>
            </w:tr>
            <w:tr w14:paraId="2EEEAD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vMerge w:val="restart"/>
                  <w:noWrap w:val="0"/>
                  <w:vAlign w:val="center"/>
                </w:tcPr>
                <w:p w14:paraId="4DE07EFB">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危险废物</w:t>
                  </w:r>
                </w:p>
              </w:tc>
              <w:tc>
                <w:tcPr>
                  <w:tcW w:w="779" w:type="pct"/>
                  <w:noWrap w:val="0"/>
                  <w:vAlign w:val="center"/>
                </w:tcPr>
                <w:p w14:paraId="7A7C2A4F">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废润滑油</w:t>
                  </w:r>
                </w:p>
              </w:tc>
              <w:tc>
                <w:tcPr>
                  <w:tcW w:w="950" w:type="pct"/>
                  <w:noWrap w:val="0"/>
                  <w:vAlign w:val="center"/>
                </w:tcPr>
                <w:p w14:paraId="1EDF2FB4">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Cs w:val="21"/>
                      <w:highlight w:val="none"/>
                      <w:lang w:eastAsia="zh-CN"/>
                    </w:rPr>
                  </w:pPr>
                  <w:r>
                    <w:rPr>
                      <w:rFonts w:hint="default" w:ascii="Times New Roman" w:hAnsi="Times New Roman" w:eastAsia="Times New Roman" w:cs="Times New Roman"/>
                      <w:color w:val="auto"/>
                      <w:szCs w:val="21"/>
                      <w:highlight w:val="none"/>
                    </w:rPr>
                    <w:t>0.0</w:t>
                  </w:r>
                  <w:r>
                    <w:rPr>
                      <w:rFonts w:hint="default" w:ascii="Times New Roman" w:hAnsi="Times New Roman" w:eastAsia="宋体" w:cs="Times New Roman"/>
                      <w:color w:val="auto"/>
                      <w:szCs w:val="21"/>
                      <w:highlight w:val="none"/>
                      <w:lang w:val="en-US" w:eastAsia="zh-CN"/>
                    </w:rPr>
                    <w:t>2</w:t>
                  </w:r>
                </w:p>
              </w:tc>
              <w:tc>
                <w:tcPr>
                  <w:tcW w:w="2192" w:type="pct"/>
                  <w:vMerge w:val="restart"/>
                  <w:noWrap w:val="0"/>
                  <w:vAlign w:val="center"/>
                </w:tcPr>
                <w:p w14:paraId="50523EAF">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暂存于</w:t>
                  </w:r>
                  <w:r>
                    <w:rPr>
                      <w:rFonts w:hint="eastAsia" w:ascii="Times New Roman" w:hAnsi="Times New Roman" w:cs="Times New Roman"/>
                      <w:color w:val="auto"/>
                      <w:szCs w:val="21"/>
                      <w:highlight w:val="none"/>
                      <w:lang w:eastAsia="zh-CN"/>
                    </w:rPr>
                    <w:t>危废贮存点</w:t>
                  </w:r>
                  <w:r>
                    <w:rPr>
                      <w:rFonts w:hint="default" w:ascii="Times New Roman" w:hAnsi="Times New Roman" w:cs="Times New Roman"/>
                      <w:color w:val="auto"/>
                      <w:szCs w:val="21"/>
                      <w:highlight w:val="none"/>
                    </w:rPr>
                    <w:t>，定期交由有资质单位统一处置</w:t>
                  </w:r>
                </w:p>
              </w:tc>
            </w:tr>
            <w:tr w14:paraId="6B2986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77" w:type="pct"/>
                  <w:vMerge w:val="continue"/>
                  <w:noWrap w:val="0"/>
                  <w:vAlign w:val="center"/>
                </w:tcPr>
                <w:p w14:paraId="56BC3AF9">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779" w:type="pct"/>
                  <w:noWrap w:val="0"/>
                  <w:vAlign w:val="center"/>
                </w:tcPr>
                <w:p w14:paraId="234911AE">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废灯管</w:t>
                  </w:r>
                </w:p>
              </w:tc>
              <w:tc>
                <w:tcPr>
                  <w:tcW w:w="950" w:type="pct"/>
                  <w:noWrap w:val="0"/>
                  <w:vAlign w:val="center"/>
                </w:tcPr>
                <w:p w14:paraId="0EFD52BE">
                  <w:pPr>
                    <w:widowControl/>
                    <w:kinsoku w:val="0"/>
                    <w:autoSpaceDE w:val="0"/>
                    <w:autoSpaceDN w:val="0"/>
                    <w:adjustRightInd w:val="0"/>
                    <w:snapToGrid w:val="0"/>
                    <w:jc w:val="center"/>
                    <w:textAlignment w:val="baseline"/>
                    <w:rPr>
                      <w:rFonts w:hint="default" w:ascii="Times New Roman" w:hAnsi="Times New Roman" w:eastAsia="Times New Roman" w:cs="Times New Roman"/>
                      <w:color w:val="auto"/>
                      <w:szCs w:val="21"/>
                      <w:highlight w:val="none"/>
                    </w:rPr>
                  </w:pPr>
                  <w:r>
                    <w:rPr>
                      <w:rFonts w:hint="default" w:ascii="Times New Roman" w:hAnsi="Times New Roman" w:eastAsia="Times New Roman" w:cs="Times New Roman"/>
                      <w:color w:val="auto"/>
                      <w:szCs w:val="21"/>
                      <w:highlight w:val="none"/>
                    </w:rPr>
                    <w:t>0.02</w:t>
                  </w:r>
                </w:p>
              </w:tc>
              <w:tc>
                <w:tcPr>
                  <w:tcW w:w="2192" w:type="pct"/>
                  <w:vMerge w:val="continue"/>
                  <w:noWrap w:val="0"/>
                  <w:vAlign w:val="center"/>
                </w:tcPr>
                <w:p w14:paraId="45702915">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r>
            <w:tr w14:paraId="51981F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3" w:hRule="atLeast"/>
                <w:jc w:val="center"/>
              </w:trPr>
              <w:tc>
                <w:tcPr>
                  <w:tcW w:w="1077" w:type="pct"/>
                  <w:vMerge w:val="continue"/>
                  <w:noWrap w:val="0"/>
                  <w:vAlign w:val="center"/>
                </w:tcPr>
                <w:p w14:paraId="5E440442">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c>
                <w:tcPr>
                  <w:tcW w:w="779" w:type="pct"/>
                  <w:noWrap w:val="0"/>
                  <w:vAlign w:val="center"/>
                </w:tcPr>
                <w:p w14:paraId="447DAEC7">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废活性炭</w:t>
                  </w:r>
                </w:p>
              </w:tc>
              <w:tc>
                <w:tcPr>
                  <w:tcW w:w="950" w:type="pct"/>
                  <w:noWrap w:val="0"/>
                  <w:vAlign w:val="center"/>
                </w:tcPr>
                <w:p w14:paraId="3BD12180">
                  <w:pPr>
                    <w:widowControl/>
                    <w:kinsoku w:val="0"/>
                    <w:autoSpaceDE w:val="0"/>
                    <w:autoSpaceDN w:val="0"/>
                    <w:adjustRightInd w:val="0"/>
                    <w:snapToGrid w:val="0"/>
                    <w:jc w:val="center"/>
                    <w:textAlignment w:val="baseline"/>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2.5</w:t>
                  </w:r>
                </w:p>
              </w:tc>
              <w:tc>
                <w:tcPr>
                  <w:tcW w:w="2192" w:type="pct"/>
                  <w:vMerge w:val="continue"/>
                  <w:noWrap w:val="0"/>
                  <w:vAlign w:val="center"/>
                </w:tcPr>
                <w:p w14:paraId="2DB1D30A">
                  <w:pPr>
                    <w:widowControl/>
                    <w:kinsoku w:val="0"/>
                    <w:autoSpaceDE w:val="0"/>
                    <w:autoSpaceDN w:val="0"/>
                    <w:adjustRightInd w:val="0"/>
                    <w:snapToGrid w:val="0"/>
                    <w:jc w:val="center"/>
                    <w:textAlignment w:val="baseline"/>
                    <w:rPr>
                      <w:rFonts w:hint="default" w:ascii="Times New Roman" w:hAnsi="Times New Roman" w:cs="Times New Roman"/>
                      <w:color w:val="auto"/>
                      <w:szCs w:val="21"/>
                      <w:highlight w:val="none"/>
                    </w:rPr>
                  </w:pPr>
                </w:p>
              </w:tc>
            </w:tr>
          </w:tbl>
          <w:p w14:paraId="4BF8E01F">
            <w:pPr>
              <w:widowControl/>
              <w:spacing w:line="360" w:lineRule="auto"/>
              <w:jc w:val="left"/>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2.2.7现有项目污染物排放汇总</w:t>
            </w:r>
          </w:p>
          <w:p w14:paraId="628B1B9E">
            <w:pPr>
              <w:pStyle w:val="8"/>
              <w:keepNext/>
              <w:keepLines/>
              <w:pageBreakBefore w:val="0"/>
              <w:widowControl w:val="0"/>
              <w:tabs>
                <w:tab w:val="left" w:pos="1080"/>
              </w:tabs>
              <w:kinsoku/>
              <w:wordWrap/>
              <w:overflowPunct/>
              <w:topLinePunct w:val="0"/>
              <w:autoSpaceDE/>
              <w:autoSpaceDN/>
              <w:bidi w:val="0"/>
              <w:adjustRightInd/>
              <w:snapToGrid/>
              <w:spacing w:before="0" w:beforeLines="0" w:after="0" w:afterLines="0"/>
              <w:ind w:left="48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现有项目污染物排放量详见表2-1</w:t>
            </w:r>
            <w:r>
              <w:rPr>
                <w:rFonts w:hint="eastAsia" w:ascii="Times New Roman" w:hAnsi="Times New Roman" w:cs="Times New Roman"/>
                <w:b w:val="0"/>
                <w:bCs w:val="0"/>
                <w:color w:val="auto"/>
                <w:kern w:val="0"/>
                <w:sz w:val="24"/>
                <w:szCs w:val="24"/>
                <w:highlight w:val="none"/>
                <w:lang w:val="en-US" w:eastAsia="zh-CN" w:bidi="ar-SA"/>
              </w:rPr>
              <w:t>5</w:t>
            </w:r>
          </w:p>
          <w:p w14:paraId="3513D64B">
            <w:pPr>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bidi="ar-SA"/>
              </w:rPr>
              <w:t>表2-1</w:t>
            </w:r>
            <w:r>
              <w:rPr>
                <w:rFonts w:hint="eastAsia" w:ascii="Times New Roman" w:hAnsi="Times New Roman" w:cs="Times New Roman"/>
                <w:b/>
                <w:bCs/>
                <w:color w:val="auto"/>
                <w:kern w:val="0"/>
                <w:sz w:val="21"/>
                <w:szCs w:val="21"/>
                <w:highlight w:val="none"/>
                <w:lang w:val="en-US" w:eastAsia="zh-CN" w:bidi="ar-SA"/>
              </w:rPr>
              <w:t>5</w:t>
            </w:r>
            <w:r>
              <w:rPr>
                <w:rFonts w:hint="default" w:ascii="Times New Roman" w:hAnsi="Times New Roman" w:cs="Times New Roman"/>
                <w:b/>
                <w:bCs/>
                <w:color w:val="auto"/>
                <w:kern w:val="0"/>
                <w:sz w:val="21"/>
                <w:szCs w:val="21"/>
                <w:highlight w:val="none"/>
                <w:lang w:val="en-US" w:eastAsia="zh-CN" w:bidi="ar-SA"/>
              </w:rPr>
              <w:t xml:space="preserve">   </w:t>
            </w:r>
            <w:r>
              <w:rPr>
                <w:rFonts w:hint="default" w:ascii="Times New Roman" w:hAnsi="Times New Roman" w:eastAsia="宋体" w:cs="Times New Roman"/>
                <w:b/>
                <w:bCs/>
                <w:color w:val="auto"/>
                <w:kern w:val="0"/>
                <w:sz w:val="21"/>
                <w:szCs w:val="21"/>
                <w:highlight w:val="none"/>
                <w:lang w:val="en-US" w:eastAsia="zh-CN" w:bidi="ar-SA"/>
              </w:rPr>
              <w:t>现有项目污染物排放量</w:t>
            </w:r>
            <w:r>
              <w:rPr>
                <w:rFonts w:hint="default" w:ascii="Times New Roman" w:hAnsi="Times New Roman" w:cs="Times New Roman"/>
                <w:b/>
                <w:bCs/>
                <w:color w:val="auto"/>
                <w:kern w:val="0"/>
                <w:sz w:val="21"/>
                <w:szCs w:val="21"/>
                <w:highlight w:val="none"/>
                <w:lang w:val="en-US" w:eastAsia="zh-CN" w:bidi="ar-SA"/>
              </w:rPr>
              <w:t>一览表</w:t>
            </w:r>
          </w:p>
          <w:tbl>
            <w:tblPr>
              <w:tblStyle w:val="54"/>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136"/>
              <w:gridCol w:w="2271"/>
              <w:gridCol w:w="3366"/>
            </w:tblGrid>
            <w:tr w14:paraId="0BB8B2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tcBorders>
                    <w:bottom w:val="single" w:color="000000" w:sz="12" w:space="0"/>
                  </w:tcBorders>
                  <w:vAlign w:val="center"/>
                </w:tcPr>
                <w:p w14:paraId="31B011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Arial" w:cs="Times New Roman"/>
                      <w:b/>
                      <w:bCs/>
                      <w:color w:val="auto"/>
                      <w:spacing w:val="0"/>
                      <w:w w:val="100"/>
                      <w:kern w:val="2"/>
                      <w:position w:val="0"/>
                      <w:sz w:val="21"/>
                      <w:szCs w:val="21"/>
                      <w:highlight w:val="none"/>
                      <w:lang w:val="en-US" w:eastAsia="en-US" w:bidi="ar-SA"/>
                    </w:rPr>
                  </w:pPr>
                  <w:r>
                    <w:rPr>
                      <w:rFonts w:hint="default" w:ascii="Times New Roman" w:hAnsi="Times New Roman" w:eastAsia="Arial" w:cs="Times New Roman"/>
                      <w:b/>
                      <w:bCs/>
                      <w:color w:val="auto"/>
                      <w:spacing w:val="0"/>
                      <w:w w:val="100"/>
                      <w:kern w:val="2"/>
                      <w:position w:val="0"/>
                      <w:sz w:val="21"/>
                      <w:szCs w:val="21"/>
                      <w:highlight w:val="none"/>
                      <w:lang w:val="en-US" w:eastAsia="en-US" w:bidi="ar-SA"/>
                    </w:rPr>
                    <w:t>项目分类</w:t>
                  </w:r>
                </w:p>
              </w:tc>
              <w:tc>
                <w:tcPr>
                  <w:tcW w:w="2271" w:type="dxa"/>
                  <w:tcBorders>
                    <w:bottom w:val="single" w:color="000000" w:sz="12" w:space="0"/>
                  </w:tcBorders>
                  <w:vAlign w:val="center"/>
                </w:tcPr>
                <w:p w14:paraId="37BCC7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Arial" w:cs="Times New Roman"/>
                      <w:b/>
                      <w:bCs/>
                      <w:color w:val="auto"/>
                      <w:spacing w:val="0"/>
                      <w:w w:val="100"/>
                      <w:kern w:val="2"/>
                      <w:position w:val="0"/>
                      <w:sz w:val="21"/>
                      <w:szCs w:val="21"/>
                      <w:highlight w:val="none"/>
                      <w:lang w:val="en-US" w:eastAsia="en-US" w:bidi="ar-SA"/>
                    </w:rPr>
                  </w:pPr>
                  <w:r>
                    <w:rPr>
                      <w:rFonts w:hint="default" w:ascii="Times New Roman" w:hAnsi="Times New Roman" w:eastAsia="Arial" w:cs="Times New Roman"/>
                      <w:b/>
                      <w:bCs/>
                      <w:color w:val="auto"/>
                      <w:spacing w:val="0"/>
                      <w:w w:val="100"/>
                      <w:kern w:val="2"/>
                      <w:position w:val="0"/>
                      <w:sz w:val="21"/>
                      <w:szCs w:val="21"/>
                      <w:highlight w:val="none"/>
                      <w:lang w:val="en-US" w:eastAsia="en-US" w:bidi="ar-SA"/>
                    </w:rPr>
                    <w:t>污染物名称</w:t>
                  </w:r>
                </w:p>
              </w:tc>
              <w:tc>
                <w:tcPr>
                  <w:tcW w:w="3366" w:type="dxa"/>
                  <w:tcBorders>
                    <w:bottom w:val="single" w:color="000000" w:sz="12" w:space="0"/>
                  </w:tcBorders>
                  <w:vAlign w:val="center"/>
                </w:tcPr>
                <w:p w14:paraId="0D4BFB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Arial" w:cs="Times New Roman"/>
                      <w:b/>
                      <w:bCs/>
                      <w:color w:val="auto"/>
                      <w:spacing w:val="0"/>
                      <w:w w:val="100"/>
                      <w:kern w:val="2"/>
                      <w:position w:val="0"/>
                      <w:sz w:val="21"/>
                      <w:szCs w:val="21"/>
                      <w:highlight w:val="none"/>
                      <w:lang w:val="en-US" w:eastAsia="en-US" w:bidi="ar-SA"/>
                    </w:rPr>
                  </w:pPr>
                  <w:r>
                    <w:rPr>
                      <w:rFonts w:hint="default" w:ascii="Times New Roman" w:hAnsi="Times New Roman" w:eastAsia="Arial" w:cs="Times New Roman"/>
                      <w:b/>
                      <w:bCs/>
                      <w:color w:val="auto"/>
                      <w:spacing w:val="0"/>
                      <w:w w:val="100"/>
                      <w:kern w:val="2"/>
                      <w:position w:val="0"/>
                      <w:sz w:val="21"/>
                      <w:szCs w:val="21"/>
                      <w:highlight w:val="none"/>
                      <w:lang w:val="en-US" w:eastAsia="en-US" w:bidi="ar-SA"/>
                    </w:rPr>
                    <w:t>现有工程排放量</w:t>
                  </w:r>
                </w:p>
              </w:tc>
            </w:tr>
            <w:tr w14:paraId="092BDC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tcBorders>
                    <w:top w:val="single" w:color="000000" w:sz="12" w:space="0"/>
                    <w:tl2br w:val="nil"/>
                    <w:tr2bl w:val="nil"/>
                  </w:tcBorders>
                  <w:vAlign w:val="center"/>
                </w:tcPr>
                <w:p w14:paraId="78AB898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废气</w:t>
                  </w:r>
                </w:p>
              </w:tc>
              <w:tc>
                <w:tcPr>
                  <w:tcW w:w="2271" w:type="dxa"/>
                  <w:tcBorders>
                    <w:top w:val="single" w:color="000000" w:sz="12" w:space="0"/>
                    <w:tl2br w:val="nil"/>
                    <w:tr2bl w:val="nil"/>
                  </w:tcBorders>
                  <w:vAlign w:val="center"/>
                </w:tcPr>
                <w:p w14:paraId="74D70AA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非甲烷总烃</w:t>
                  </w:r>
                </w:p>
              </w:tc>
              <w:tc>
                <w:tcPr>
                  <w:tcW w:w="3366" w:type="dxa"/>
                  <w:tcBorders>
                    <w:top w:val="single" w:color="000000" w:sz="12" w:space="0"/>
                    <w:tl2br w:val="nil"/>
                    <w:tr2bl w:val="nil"/>
                  </w:tcBorders>
                  <w:vAlign w:val="center"/>
                </w:tcPr>
                <w:p w14:paraId="113E0B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lang w:val="en-US" w:eastAsia="zh-CN"/>
                    </w:rPr>
                    <w:t>1.251t/a</w:t>
                  </w:r>
                </w:p>
              </w:tc>
            </w:tr>
            <w:tr w14:paraId="13B062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restart"/>
                  <w:tcBorders>
                    <w:tl2br w:val="nil"/>
                    <w:tr2bl w:val="nil"/>
                  </w:tcBorders>
                  <w:vAlign w:val="center"/>
                </w:tcPr>
                <w:p w14:paraId="54B8AF4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废水</w:t>
                  </w:r>
                </w:p>
              </w:tc>
              <w:tc>
                <w:tcPr>
                  <w:tcW w:w="2271" w:type="dxa"/>
                  <w:tcBorders>
                    <w:tl2br w:val="nil"/>
                    <w:tr2bl w:val="nil"/>
                  </w:tcBorders>
                  <w:vAlign w:val="center"/>
                </w:tcPr>
                <w:p w14:paraId="3DAE5F1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生活污水</w:t>
                  </w:r>
                </w:p>
              </w:tc>
              <w:tc>
                <w:tcPr>
                  <w:tcW w:w="3366" w:type="dxa"/>
                  <w:tcBorders>
                    <w:tl2br w:val="nil"/>
                    <w:tr2bl w:val="nil"/>
                  </w:tcBorders>
                  <w:vAlign w:val="center"/>
                </w:tcPr>
                <w:p w14:paraId="465A37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lang w:val="en-US" w:eastAsia="zh-CN"/>
                    </w:rPr>
                    <w:t>126</w:t>
                  </w:r>
                  <w:r>
                    <w:rPr>
                      <w:rFonts w:hint="default" w:ascii="Times New Roman" w:hAnsi="Times New Roman" w:eastAsia="Times New Roman" w:cs="Times New Roman"/>
                      <w:color w:val="auto"/>
                      <w:spacing w:val="0"/>
                      <w:w w:val="100"/>
                      <w:position w:val="0"/>
                      <w:sz w:val="21"/>
                      <w:szCs w:val="21"/>
                      <w:highlight w:val="none"/>
                    </w:rPr>
                    <w:t>m</w:t>
                  </w:r>
                  <w:r>
                    <w:rPr>
                      <w:rFonts w:hint="default" w:ascii="Times New Roman" w:hAnsi="Times New Roman" w:eastAsia="Times New Roman" w:cs="Times New Roman"/>
                      <w:color w:val="auto"/>
                      <w:spacing w:val="0"/>
                      <w:w w:val="100"/>
                      <w:position w:val="0"/>
                      <w:sz w:val="21"/>
                      <w:szCs w:val="21"/>
                      <w:highlight w:val="none"/>
                      <w:vertAlign w:val="superscript"/>
                    </w:rPr>
                    <w:t>3</w:t>
                  </w:r>
                  <w:r>
                    <w:rPr>
                      <w:rFonts w:hint="default" w:ascii="Times New Roman" w:hAnsi="Times New Roman" w:eastAsia="Times New Roman" w:cs="Times New Roman"/>
                      <w:color w:val="auto"/>
                      <w:spacing w:val="0"/>
                      <w:w w:val="100"/>
                      <w:position w:val="0"/>
                      <w:sz w:val="21"/>
                      <w:szCs w:val="21"/>
                      <w:highlight w:val="none"/>
                    </w:rPr>
                    <w:t>/a</w:t>
                  </w:r>
                </w:p>
              </w:tc>
            </w:tr>
            <w:tr w14:paraId="4D3409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767014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2C84E7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Times New Roman" w:cs="Times New Roman"/>
                      <w:color w:val="auto"/>
                      <w:spacing w:val="0"/>
                      <w:w w:val="100"/>
                      <w:position w:val="0"/>
                      <w:sz w:val="21"/>
                      <w:szCs w:val="21"/>
                      <w:highlight w:val="none"/>
                    </w:rPr>
                    <w:t>COD</w:t>
                  </w:r>
                  <w:r>
                    <w:rPr>
                      <w:rFonts w:hint="default" w:ascii="Times New Roman" w:hAnsi="Times New Roman" w:eastAsia="宋体" w:cs="Times New Roman"/>
                      <w:color w:val="auto"/>
                      <w:spacing w:val="0"/>
                      <w:w w:val="100"/>
                      <w:position w:val="0"/>
                      <w:sz w:val="21"/>
                      <w:szCs w:val="21"/>
                      <w:highlight w:val="none"/>
                      <w:lang w:val="en-US" w:eastAsia="zh-CN"/>
                    </w:rPr>
                    <w:t>cr</w:t>
                  </w:r>
                </w:p>
              </w:tc>
              <w:tc>
                <w:tcPr>
                  <w:tcW w:w="3366" w:type="dxa"/>
                  <w:tcBorders>
                    <w:tl2br w:val="nil"/>
                    <w:tr2bl w:val="nil"/>
                  </w:tcBorders>
                  <w:vAlign w:val="center"/>
                </w:tcPr>
                <w:p w14:paraId="795A5F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0.</w:t>
                  </w:r>
                  <w:r>
                    <w:rPr>
                      <w:rFonts w:hint="default" w:ascii="Times New Roman" w:hAnsi="Times New Roman" w:eastAsia="宋体" w:cs="Times New Roman"/>
                      <w:color w:val="auto"/>
                      <w:spacing w:val="0"/>
                      <w:w w:val="100"/>
                      <w:position w:val="0"/>
                      <w:sz w:val="21"/>
                      <w:szCs w:val="21"/>
                      <w:highlight w:val="none"/>
                      <w:lang w:val="en-US" w:eastAsia="zh-CN"/>
                    </w:rPr>
                    <w:t>0</w:t>
                  </w:r>
                  <w:r>
                    <w:rPr>
                      <w:rFonts w:hint="default" w:ascii="Times New Roman" w:hAnsi="Times New Roman" w:eastAsia="Times New Roman" w:cs="Times New Roman"/>
                      <w:color w:val="auto"/>
                      <w:spacing w:val="0"/>
                      <w:w w:val="100"/>
                      <w:position w:val="0"/>
                      <w:sz w:val="21"/>
                      <w:szCs w:val="21"/>
                      <w:highlight w:val="none"/>
                    </w:rPr>
                    <w:t>4</w:t>
                  </w:r>
                  <w:r>
                    <w:rPr>
                      <w:rFonts w:hint="default" w:ascii="Times New Roman" w:hAnsi="Times New Roman" w:eastAsia="宋体" w:cs="Times New Roman"/>
                      <w:color w:val="auto"/>
                      <w:spacing w:val="0"/>
                      <w:w w:val="100"/>
                      <w:position w:val="0"/>
                      <w:sz w:val="21"/>
                      <w:szCs w:val="21"/>
                      <w:highlight w:val="none"/>
                      <w:lang w:val="en-US" w:eastAsia="zh-CN"/>
                    </w:rPr>
                    <w:t>4</w:t>
                  </w:r>
                  <w:r>
                    <w:rPr>
                      <w:rFonts w:hint="default" w:ascii="Times New Roman" w:hAnsi="Times New Roman" w:eastAsia="Times New Roman" w:cs="Times New Roman"/>
                      <w:color w:val="auto"/>
                      <w:spacing w:val="0"/>
                      <w:w w:val="100"/>
                      <w:position w:val="0"/>
                      <w:sz w:val="21"/>
                      <w:szCs w:val="21"/>
                      <w:highlight w:val="none"/>
                    </w:rPr>
                    <w:t>t/a</w:t>
                  </w:r>
                </w:p>
              </w:tc>
            </w:tr>
            <w:tr w14:paraId="1C8FC1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4C3F22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0191CD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BOD</w:t>
                  </w:r>
                  <w:r>
                    <w:rPr>
                      <w:rFonts w:hint="default" w:ascii="Times New Roman" w:hAnsi="Times New Roman" w:eastAsia="Times New Roman" w:cs="Times New Roman"/>
                      <w:color w:val="auto"/>
                      <w:spacing w:val="0"/>
                      <w:w w:val="100"/>
                      <w:position w:val="0"/>
                      <w:sz w:val="21"/>
                      <w:szCs w:val="21"/>
                      <w:highlight w:val="none"/>
                      <w:vertAlign w:val="subscript"/>
                    </w:rPr>
                    <w:t>5</w:t>
                  </w:r>
                </w:p>
              </w:tc>
              <w:tc>
                <w:tcPr>
                  <w:tcW w:w="3366" w:type="dxa"/>
                  <w:tcBorders>
                    <w:tl2br w:val="nil"/>
                    <w:tr2bl w:val="nil"/>
                  </w:tcBorders>
                  <w:vAlign w:val="center"/>
                </w:tcPr>
                <w:p w14:paraId="028612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0.</w:t>
                  </w:r>
                  <w:r>
                    <w:rPr>
                      <w:rFonts w:hint="default" w:ascii="Times New Roman" w:hAnsi="Times New Roman" w:eastAsia="宋体" w:cs="Times New Roman"/>
                      <w:color w:val="auto"/>
                      <w:spacing w:val="0"/>
                      <w:w w:val="100"/>
                      <w:position w:val="0"/>
                      <w:sz w:val="21"/>
                      <w:szCs w:val="21"/>
                      <w:highlight w:val="none"/>
                      <w:lang w:val="en-US" w:eastAsia="zh-CN"/>
                    </w:rPr>
                    <w:t>028</w:t>
                  </w:r>
                  <w:r>
                    <w:rPr>
                      <w:rFonts w:hint="default" w:ascii="Times New Roman" w:hAnsi="Times New Roman" w:eastAsia="Times New Roman" w:cs="Times New Roman"/>
                      <w:color w:val="auto"/>
                      <w:spacing w:val="0"/>
                      <w:w w:val="100"/>
                      <w:position w:val="0"/>
                      <w:sz w:val="21"/>
                      <w:szCs w:val="21"/>
                      <w:highlight w:val="none"/>
                    </w:rPr>
                    <w:t>t/a</w:t>
                  </w:r>
                </w:p>
              </w:tc>
            </w:tr>
            <w:tr w14:paraId="77A60D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435FC9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63AFD3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NH</w:t>
                  </w:r>
                  <w:r>
                    <w:rPr>
                      <w:rFonts w:hint="default" w:ascii="Times New Roman" w:hAnsi="Times New Roman" w:eastAsia="Times New Roman" w:cs="Times New Roman"/>
                      <w:color w:val="auto"/>
                      <w:spacing w:val="0"/>
                      <w:w w:val="100"/>
                      <w:position w:val="0"/>
                      <w:sz w:val="21"/>
                      <w:szCs w:val="21"/>
                      <w:highlight w:val="none"/>
                      <w:vertAlign w:val="subscript"/>
                    </w:rPr>
                    <w:t>3</w:t>
                  </w:r>
                  <w:r>
                    <w:rPr>
                      <w:rFonts w:hint="default" w:ascii="Times New Roman" w:hAnsi="Times New Roman" w:eastAsia="Times New Roman" w:cs="Times New Roman"/>
                      <w:color w:val="auto"/>
                      <w:spacing w:val="0"/>
                      <w:w w:val="100"/>
                      <w:position w:val="0"/>
                      <w:sz w:val="21"/>
                      <w:szCs w:val="21"/>
                      <w:highlight w:val="none"/>
                    </w:rPr>
                    <w:t>-N</w:t>
                  </w:r>
                </w:p>
              </w:tc>
              <w:tc>
                <w:tcPr>
                  <w:tcW w:w="3366" w:type="dxa"/>
                  <w:tcBorders>
                    <w:tl2br w:val="nil"/>
                    <w:tr2bl w:val="nil"/>
                  </w:tcBorders>
                  <w:vAlign w:val="center"/>
                </w:tcPr>
                <w:p w14:paraId="67C4B1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0.028t/a</w:t>
                  </w:r>
                </w:p>
              </w:tc>
            </w:tr>
            <w:tr w14:paraId="273A0B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2AD5DC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3C38661B">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动植物油</w:t>
                  </w:r>
                </w:p>
              </w:tc>
              <w:tc>
                <w:tcPr>
                  <w:tcW w:w="3366" w:type="dxa"/>
                  <w:tcBorders>
                    <w:tl2br w:val="nil"/>
                    <w:tr2bl w:val="nil"/>
                  </w:tcBorders>
                  <w:vAlign w:val="center"/>
                </w:tcPr>
                <w:p w14:paraId="2599A5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Times New Roman" w:cs="Times New Roman"/>
                      <w:color w:val="auto"/>
                      <w:spacing w:val="0"/>
                      <w:w w:val="100"/>
                      <w:position w:val="0"/>
                      <w:sz w:val="21"/>
                      <w:szCs w:val="21"/>
                      <w:highlight w:val="none"/>
                    </w:rPr>
                    <w:t>0</w:t>
                  </w:r>
                  <w:r>
                    <w:rPr>
                      <w:rFonts w:hint="default" w:ascii="Times New Roman" w:hAnsi="Times New Roman" w:eastAsia="宋体" w:cs="Times New Roman"/>
                      <w:color w:val="auto"/>
                      <w:spacing w:val="0"/>
                      <w:w w:val="100"/>
                      <w:position w:val="0"/>
                      <w:sz w:val="21"/>
                      <w:szCs w:val="21"/>
                      <w:highlight w:val="none"/>
                      <w:lang w:val="en-US" w:eastAsia="zh-CN"/>
                    </w:rPr>
                    <w:t>.013</w:t>
                  </w:r>
                </w:p>
              </w:tc>
            </w:tr>
            <w:tr w14:paraId="42FFBC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restart"/>
                  <w:tcBorders>
                    <w:tl2br w:val="nil"/>
                    <w:tr2bl w:val="nil"/>
                  </w:tcBorders>
                  <w:vAlign w:val="center"/>
                </w:tcPr>
                <w:p w14:paraId="173798C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一般工业固体废物</w:t>
                  </w:r>
                </w:p>
              </w:tc>
              <w:tc>
                <w:tcPr>
                  <w:tcW w:w="2271" w:type="dxa"/>
                  <w:tcBorders>
                    <w:tl2br w:val="nil"/>
                    <w:tr2bl w:val="nil"/>
                  </w:tcBorders>
                  <w:vAlign w:val="center"/>
                </w:tcPr>
                <w:p w14:paraId="5DCEE93C">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cs="Times New Roman"/>
                      <w:color w:val="auto"/>
                      <w:spacing w:val="0"/>
                      <w:w w:val="100"/>
                      <w:position w:val="0"/>
                      <w:sz w:val="21"/>
                      <w:szCs w:val="21"/>
                      <w:highlight w:val="none"/>
                      <w:lang w:eastAsia="zh-CN"/>
                    </w:rPr>
                    <w:t>废包装袋</w:t>
                  </w:r>
                </w:p>
              </w:tc>
              <w:tc>
                <w:tcPr>
                  <w:tcW w:w="3366" w:type="dxa"/>
                  <w:tcBorders>
                    <w:tl2br w:val="nil"/>
                    <w:tr2bl w:val="nil"/>
                  </w:tcBorders>
                  <w:vAlign w:val="center"/>
                </w:tcPr>
                <w:p w14:paraId="595C1A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lang w:val="en-US"/>
                    </w:rPr>
                  </w:pPr>
                  <w:r>
                    <w:rPr>
                      <w:rFonts w:hint="default" w:ascii="Times New Roman" w:hAnsi="Times New Roman" w:cs="Times New Roman"/>
                      <w:color w:val="auto"/>
                      <w:spacing w:val="0"/>
                      <w:w w:val="100"/>
                      <w:position w:val="0"/>
                      <w:sz w:val="21"/>
                      <w:szCs w:val="21"/>
                      <w:highlight w:val="none"/>
                      <w:lang w:val="en-US" w:eastAsia="zh-CN"/>
                    </w:rPr>
                    <w:t>1.5</w:t>
                  </w:r>
                </w:p>
              </w:tc>
            </w:tr>
            <w:tr w14:paraId="0BB9B7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136" w:type="dxa"/>
                  <w:vMerge w:val="continue"/>
                  <w:tcBorders>
                    <w:tl2br w:val="nil"/>
                    <w:tr2bl w:val="nil"/>
                  </w:tcBorders>
                  <w:vAlign w:val="center"/>
                </w:tcPr>
                <w:p w14:paraId="3686C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7441FB08">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不合格品</w:t>
                  </w:r>
                </w:p>
              </w:tc>
              <w:tc>
                <w:tcPr>
                  <w:tcW w:w="3366" w:type="dxa"/>
                  <w:tcBorders>
                    <w:tl2br w:val="nil"/>
                    <w:tr2bl w:val="nil"/>
                  </w:tcBorders>
                  <w:vAlign w:val="center"/>
                </w:tcPr>
                <w:p w14:paraId="3A2464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8.4</w:t>
                  </w:r>
                </w:p>
              </w:tc>
            </w:tr>
            <w:tr w14:paraId="33B63D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6049F1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6801D8A0">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z w:val="21"/>
                      <w:szCs w:val="21"/>
                      <w:highlight w:val="none"/>
                      <w:lang w:val="en-US" w:eastAsia="zh-CN"/>
                    </w:rPr>
                    <w:t>沉淀池底泥</w:t>
                  </w:r>
                </w:p>
              </w:tc>
              <w:tc>
                <w:tcPr>
                  <w:tcW w:w="3366" w:type="dxa"/>
                  <w:tcBorders>
                    <w:tl2br w:val="nil"/>
                    <w:tr2bl w:val="nil"/>
                  </w:tcBorders>
                  <w:vAlign w:val="center"/>
                </w:tcPr>
                <w:p w14:paraId="161D24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10</w:t>
                  </w:r>
                </w:p>
              </w:tc>
            </w:tr>
            <w:tr w14:paraId="3CA8E3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tcBorders>
                    <w:tl2br w:val="nil"/>
                    <w:tr2bl w:val="nil"/>
                  </w:tcBorders>
                  <w:vAlign w:val="center"/>
                </w:tcPr>
                <w:p w14:paraId="1ED8A3C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生活垃圾</w:t>
                  </w:r>
                </w:p>
              </w:tc>
              <w:tc>
                <w:tcPr>
                  <w:tcW w:w="2271" w:type="dxa"/>
                  <w:tcBorders>
                    <w:tl2br w:val="nil"/>
                    <w:tr2bl w:val="nil"/>
                  </w:tcBorders>
                  <w:vAlign w:val="center"/>
                </w:tcPr>
                <w:p w14:paraId="326841C2">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生活垃圾</w:t>
                  </w:r>
                </w:p>
              </w:tc>
              <w:tc>
                <w:tcPr>
                  <w:tcW w:w="3366" w:type="dxa"/>
                  <w:tcBorders>
                    <w:tl2br w:val="nil"/>
                    <w:tr2bl w:val="nil"/>
                  </w:tcBorders>
                  <w:vAlign w:val="center"/>
                </w:tcPr>
                <w:p w14:paraId="6D2E97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lang w:val="en-US" w:eastAsia="zh-CN"/>
                    </w:rPr>
                    <w:t>5.25</w:t>
                  </w:r>
                  <w:r>
                    <w:rPr>
                      <w:rFonts w:hint="default" w:ascii="Times New Roman" w:hAnsi="Times New Roman" w:eastAsia="Times New Roman" w:cs="Times New Roman"/>
                      <w:color w:val="auto"/>
                      <w:spacing w:val="0"/>
                      <w:w w:val="100"/>
                      <w:position w:val="0"/>
                      <w:sz w:val="21"/>
                      <w:szCs w:val="21"/>
                      <w:highlight w:val="none"/>
                    </w:rPr>
                    <w:t>t/a</w:t>
                  </w:r>
                </w:p>
              </w:tc>
            </w:tr>
            <w:tr w14:paraId="467A3E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restart"/>
                  <w:tcBorders>
                    <w:tl2br w:val="nil"/>
                    <w:tr2bl w:val="nil"/>
                  </w:tcBorders>
                  <w:vAlign w:val="center"/>
                </w:tcPr>
                <w:p w14:paraId="53FB7A70">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危险废物</w:t>
                  </w:r>
                </w:p>
              </w:tc>
              <w:tc>
                <w:tcPr>
                  <w:tcW w:w="2271" w:type="dxa"/>
                  <w:tcBorders>
                    <w:tl2br w:val="nil"/>
                    <w:tr2bl w:val="nil"/>
                  </w:tcBorders>
                  <w:vAlign w:val="center"/>
                </w:tcPr>
                <w:p w14:paraId="3342C6C6">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废润滑油</w:t>
                  </w:r>
                </w:p>
              </w:tc>
              <w:tc>
                <w:tcPr>
                  <w:tcW w:w="3366" w:type="dxa"/>
                  <w:tcBorders>
                    <w:tl2br w:val="nil"/>
                    <w:tr2bl w:val="nil"/>
                  </w:tcBorders>
                  <w:vAlign w:val="center"/>
                </w:tcPr>
                <w:p w14:paraId="549FB4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0.0</w:t>
                  </w:r>
                  <w:r>
                    <w:rPr>
                      <w:rFonts w:hint="default" w:ascii="Times New Roman" w:hAnsi="Times New Roman" w:eastAsia="宋体" w:cs="Times New Roman"/>
                      <w:color w:val="auto"/>
                      <w:spacing w:val="0"/>
                      <w:w w:val="100"/>
                      <w:position w:val="0"/>
                      <w:sz w:val="21"/>
                      <w:szCs w:val="21"/>
                      <w:highlight w:val="none"/>
                      <w:lang w:val="en-US" w:eastAsia="zh-CN"/>
                    </w:rPr>
                    <w:t>2</w:t>
                  </w:r>
                  <w:r>
                    <w:rPr>
                      <w:rFonts w:hint="default" w:ascii="Times New Roman" w:hAnsi="Times New Roman" w:eastAsia="Times New Roman" w:cs="Times New Roman"/>
                      <w:color w:val="auto"/>
                      <w:spacing w:val="0"/>
                      <w:w w:val="100"/>
                      <w:position w:val="0"/>
                      <w:sz w:val="21"/>
                      <w:szCs w:val="21"/>
                      <w:highlight w:val="none"/>
                    </w:rPr>
                    <w:t>t/a</w:t>
                  </w:r>
                </w:p>
              </w:tc>
            </w:tr>
            <w:tr w14:paraId="216938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12577F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544291A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废灯管</w:t>
                  </w:r>
                </w:p>
              </w:tc>
              <w:tc>
                <w:tcPr>
                  <w:tcW w:w="3366" w:type="dxa"/>
                  <w:tcBorders>
                    <w:tl2br w:val="nil"/>
                    <w:tr2bl w:val="nil"/>
                  </w:tcBorders>
                  <w:vAlign w:val="center"/>
                </w:tcPr>
                <w:p w14:paraId="36A129E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0.02</w:t>
                  </w:r>
                </w:p>
              </w:tc>
            </w:tr>
            <w:tr w14:paraId="40EF5E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36" w:type="dxa"/>
                  <w:vMerge w:val="continue"/>
                  <w:tcBorders>
                    <w:tl2br w:val="nil"/>
                    <w:tr2bl w:val="nil"/>
                  </w:tcBorders>
                  <w:vAlign w:val="center"/>
                </w:tcPr>
                <w:p w14:paraId="315B39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rPr>
                  </w:pPr>
                </w:p>
              </w:tc>
              <w:tc>
                <w:tcPr>
                  <w:tcW w:w="2271" w:type="dxa"/>
                  <w:tcBorders>
                    <w:tl2br w:val="nil"/>
                    <w:tr2bl w:val="nil"/>
                  </w:tcBorders>
                  <w:vAlign w:val="center"/>
                </w:tcPr>
                <w:p w14:paraId="5420407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废活性炭</w:t>
                  </w:r>
                </w:p>
              </w:tc>
              <w:tc>
                <w:tcPr>
                  <w:tcW w:w="3366" w:type="dxa"/>
                  <w:tcBorders>
                    <w:tl2br w:val="nil"/>
                    <w:tr2bl w:val="nil"/>
                  </w:tcBorders>
                  <w:vAlign w:val="center"/>
                </w:tcPr>
                <w:p w14:paraId="46AE82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cs="Times New Roman"/>
                      <w:color w:val="auto"/>
                      <w:spacing w:val="0"/>
                      <w:w w:val="100"/>
                      <w:position w:val="0"/>
                      <w:sz w:val="21"/>
                      <w:szCs w:val="21"/>
                      <w:highlight w:val="none"/>
                      <w:lang w:val="en-US" w:eastAsia="zh-CN"/>
                    </w:rPr>
                    <w:t>2.5</w:t>
                  </w:r>
                </w:p>
              </w:tc>
            </w:tr>
          </w:tbl>
          <w:p w14:paraId="5DA98375">
            <w:pPr>
              <w:rPr>
                <w:rFonts w:hint="default" w:ascii="Times New Roman" w:hAnsi="Times New Roman" w:cs="Times New Roman"/>
                <w:color w:val="auto"/>
                <w:highlight w:val="none"/>
                <w:lang w:val="en-US" w:eastAsia="zh-CN"/>
              </w:rPr>
            </w:pPr>
          </w:p>
          <w:p w14:paraId="2A409A0F">
            <w:pPr>
              <w:widowControl/>
              <w:spacing w:line="360" w:lineRule="auto"/>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3.排污许可执行及自行监测实施情况</w:t>
            </w:r>
          </w:p>
          <w:p w14:paraId="6C4F33A4">
            <w:pPr>
              <w:pStyle w:val="31"/>
              <w:keepNext w:val="0"/>
              <w:keepLines w:val="0"/>
              <w:pageBreakBefore w:val="0"/>
              <w:widowControl w:val="0"/>
              <w:kinsoku/>
              <w:wordWrap/>
              <w:overflowPunct/>
              <w:bidi w:val="0"/>
              <w:adjustRightInd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新疆凯狮威塑业有限责任公司于2020年6月8日在全国排污许可证管理信息平台进行登记，2023年10月27日进行变更，最终取得登记回执，登记编号为92652301556466017A001X。</w:t>
            </w:r>
          </w:p>
          <w:p w14:paraId="7189F590">
            <w:pPr>
              <w:keepNext w:val="0"/>
              <w:keepLines w:val="0"/>
              <w:pageBreakBefore w:val="0"/>
              <w:widowControl w:val="0"/>
              <w:kinsoku/>
              <w:wordWrap/>
              <w:overflowPunct/>
              <w:topLinePunct/>
              <w:bidi w:val="0"/>
              <w:adjustRightInd w:val="0"/>
              <w:snapToGrid w:val="0"/>
              <w:spacing w:line="360" w:lineRule="auto"/>
              <w:ind w:firstLine="480" w:firstLineChars="200"/>
              <w:jc w:val="left"/>
              <w:textAlignment w:val="auto"/>
              <w:rPr>
                <w:rFonts w:hint="default" w:ascii="Times New Roman" w:hAnsi="Times New Roman" w:cs="Times New Roman"/>
                <w:bCs/>
                <w:color w:val="auto"/>
                <w:sz w:val="32"/>
                <w:szCs w:val="32"/>
                <w:highlight w:val="none"/>
              </w:rPr>
            </w:pPr>
            <w:r>
              <w:rPr>
                <w:rFonts w:hint="default" w:ascii="Times New Roman" w:hAnsi="Times New Roman" w:eastAsia="宋体" w:cs="Times New Roman"/>
                <w:color w:val="auto"/>
                <w:kern w:val="2"/>
                <w:sz w:val="24"/>
                <w:szCs w:val="24"/>
                <w:highlight w:val="none"/>
                <w:lang w:val="en-US" w:eastAsia="zh-CN" w:bidi="ar-SA"/>
              </w:rPr>
              <w:t>根据查阅企业排污许可公示公开信息，企业执行年报已填报并建立相关台账，缺失</w:t>
            </w:r>
            <w:r>
              <w:rPr>
                <w:rFonts w:hint="default" w:ascii="Times New Roman" w:hAnsi="Times New Roman" w:cs="Times New Roman"/>
                <w:color w:val="auto"/>
                <w:sz w:val="24"/>
                <w:highlight w:val="none"/>
              </w:rPr>
              <w:t>企业自行监测信息资料，未按要求开展自行监测。</w:t>
            </w:r>
          </w:p>
          <w:p w14:paraId="22AAE9DE">
            <w:pPr>
              <w:widowControl/>
              <w:spacing w:line="360" w:lineRule="auto"/>
              <w:jc w:val="left"/>
              <w:rPr>
                <w:rFonts w:hint="default" w:ascii="Times New Roman" w:hAnsi="Times New Roman" w:cs="Times New Roman"/>
                <w:b/>
                <w:bCs/>
                <w:color w:val="auto"/>
                <w:sz w:val="24"/>
                <w:szCs w:val="32"/>
                <w:highlight w:val="none"/>
              </w:rPr>
            </w:pPr>
            <w:r>
              <w:rPr>
                <w:rFonts w:hint="default" w:ascii="Times New Roman" w:hAnsi="Times New Roman" w:cs="Times New Roman"/>
                <w:b/>
                <w:color w:val="auto"/>
                <w:kern w:val="0"/>
                <w:sz w:val="24"/>
                <w:szCs w:val="32"/>
                <w:highlight w:val="none"/>
                <w:lang w:val="en-US" w:eastAsia="zh-CN" w:bidi="ar"/>
              </w:rPr>
              <w:t>4</w:t>
            </w:r>
            <w:r>
              <w:rPr>
                <w:rFonts w:hint="default" w:ascii="Times New Roman" w:hAnsi="Times New Roman" w:cs="Times New Roman"/>
                <w:b/>
                <w:color w:val="auto"/>
                <w:kern w:val="0"/>
                <w:sz w:val="24"/>
                <w:szCs w:val="32"/>
                <w:highlight w:val="none"/>
                <w:lang w:bidi="ar"/>
              </w:rPr>
              <w:t>.</w:t>
            </w:r>
            <w:r>
              <w:rPr>
                <w:rFonts w:hint="default" w:ascii="Times New Roman" w:hAnsi="Times New Roman" w:cs="Times New Roman"/>
                <w:b/>
                <w:bCs/>
                <w:color w:val="auto"/>
                <w:sz w:val="24"/>
                <w:highlight w:val="none"/>
              </w:rPr>
              <w:t>存在的主要环境问题</w:t>
            </w:r>
          </w:p>
          <w:p w14:paraId="76EF3E73">
            <w:pPr>
              <w:spacing w:line="360" w:lineRule="auto"/>
              <w:ind w:firstLine="480" w:firstLineChars="200"/>
              <w:textAlignment w:val="baseline"/>
              <w:rPr>
                <w:rFonts w:hint="default"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w:t>
            </w:r>
            <w:r>
              <w:rPr>
                <w:rFonts w:hint="default" w:ascii="Times New Roman" w:hAnsi="Times New Roman" w:cs="Times New Roman"/>
                <w:color w:val="auto"/>
                <w:kern w:val="0"/>
                <w:sz w:val="24"/>
                <w:highlight w:val="none"/>
              </w:rPr>
              <w:t>《危险废物贮存污染控制标准》（GB18597-2023）</w:t>
            </w:r>
            <w:r>
              <w:rPr>
                <w:rFonts w:hint="default" w:ascii="Times New Roman" w:hAnsi="Times New Roman" w:cs="Times New Roman"/>
                <w:color w:val="auto"/>
                <w:kern w:val="0"/>
                <w:sz w:val="24"/>
                <w:highlight w:val="none"/>
                <w:lang w:val="en-US" w:eastAsia="zh-CN"/>
              </w:rPr>
              <w:t>要求，</w:t>
            </w:r>
            <w:r>
              <w:rPr>
                <w:rFonts w:hint="default" w:ascii="Times New Roman" w:hAnsi="Times New Roman" w:eastAsia="宋体" w:cs="Times New Roman"/>
                <w:color w:val="auto"/>
                <w:sz w:val="24"/>
                <w:szCs w:val="24"/>
                <w:highlight w:val="none"/>
              </w:rPr>
              <w:t>在贮存库内或通过贮存分区方式贮存液态危险废物的，应具有液体泄漏堵截设施，堵截设施最小容积不应低于对应贮存区域最大液态废物容器容积或液态废物总储量1/10（二者取较大者）</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根据</w:t>
            </w:r>
            <w:r>
              <w:rPr>
                <w:rFonts w:hint="default" w:ascii="Times New Roman" w:hAnsi="Times New Roman" w:cs="Times New Roman"/>
                <w:color w:val="auto"/>
                <w:sz w:val="24"/>
                <w:szCs w:val="24"/>
                <w:highlight w:val="none"/>
                <w:lang w:val="en-US" w:eastAsia="zh-CN"/>
              </w:rPr>
              <w:t>现场勘查</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kern w:val="0"/>
                <w:sz w:val="24"/>
                <w:highlight w:val="none"/>
                <w:lang w:eastAsia="zh-CN"/>
              </w:rPr>
              <w:t>现有</w:t>
            </w:r>
            <w:r>
              <w:rPr>
                <w:rFonts w:hint="default" w:ascii="Times New Roman" w:hAnsi="Times New Roman" w:cs="Times New Roman"/>
                <w:color w:val="auto"/>
                <w:kern w:val="0"/>
                <w:sz w:val="24"/>
                <w:highlight w:val="none"/>
              </w:rPr>
              <w:t>工程</w:t>
            </w:r>
            <w:r>
              <w:rPr>
                <w:rFonts w:hint="eastAsia" w:ascii="Times New Roman" w:hAnsi="Times New Roman" w:cs="Times New Roman"/>
                <w:color w:val="auto"/>
                <w:kern w:val="0"/>
                <w:sz w:val="24"/>
                <w:highlight w:val="none"/>
                <w:lang w:eastAsia="zh-CN"/>
              </w:rPr>
              <w:t>危废贮存点</w:t>
            </w:r>
            <w:r>
              <w:rPr>
                <w:rFonts w:hint="default" w:ascii="Times New Roman" w:hAnsi="Times New Roman" w:eastAsia="宋体" w:cs="Times New Roman"/>
                <w:color w:val="auto"/>
                <w:kern w:val="0"/>
                <w:sz w:val="24"/>
                <w:highlight w:val="none"/>
                <w:lang w:val="en-US" w:eastAsia="zh-CN"/>
              </w:rPr>
              <w:t>内废矿物油贮存区域无液体导流和收集设施。</w:t>
            </w:r>
          </w:p>
          <w:p w14:paraId="381E2BC1">
            <w:pPr>
              <w:topLinePunct/>
              <w:adjustRightInd w:val="0"/>
              <w:snapToGrid w:val="0"/>
              <w:spacing w:line="360" w:lineRule="auto"/>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5</w:t>
            </w:r>
            <w:r>
              <w:rPr>
                <w:rFonts w:hint="default" w:ascii="Times New Roman" w:hAnsi="Times New Roman" w:cs="Times New Roman"/>
                <w:b/>
                <w:bCs/>
                <w:color w:val="auto"/>
                <w:sz w:val="24"/>
                <w:highlight w:val="none"/>
              </w:rPr>
              <w:t>.整改措施</w:t>
            </w:r>
          </w:p>
          <w:p w14:paraId="22C8CB91">
            <w:pPr>
              <w:spacing w:line="360" w:lineRule="auto"/>
              <w:ind w:firstLine="480" w:firstLineChars="20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cs="Times New Roman"/>
                <w:color w:val="auto"/>
                <w:kern w:val="0"/>
                <w:sz w:val="24"/>
                <w:highlight w:val="none"/>
                <w:lang w:val="en-US" w:eastAsia="zh-CN"/>
              </w:rPr>
              <w:t>根据</w:t>
            </w:r>
            <w:r>
              <w:rPr>
                <w:rFonts w:hint="default" w:ascii="Times New Roman" w:hAnsi="Times New Roman" w:cs="Times New Roman"/>
                <w:color w:val="auto"/>
                <w:kern w:val="0"/>
                <w:sz w:val="24"/>
                <w:highlight w:val="none"/>
              </w:rPr>
              <w:t>《危险废物贮存污染控制标准》（GB18597-2023）</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要求建设单位对</w:t>
            </w:r>
            <w:r>
              <w:rPr>
                <w:rFonts w:hint="eastAsia" w:ascii="Times New Roman" w:hAnsi="Times New Roman" w:cs="Times New Roman"/>
                <w:color w:val="auto"/>
                <w:kern w:val="0"/>
                <w:sz w:val="24"/>
                <w:highlight w:val="none"/>
                <w:lang w:val="en-US" w:eastAsia="zh-CN"/>
              </w:rPr>
              <w:t>危废贮存点</w:t>
            </w:r>
            <w:r>
              <w:rPr>
                <w:rFonts w:hint="default" w:ascii="Times New Roman" w:hAnsi="Times New Roman" w:eastAsia="宋体" w:cs="Times New Roman"/>
                <w:color w:val="auto"/>
                <w:kern w:val="0"/>
                <w:sz w:val="24"/>
                <w:highlight w:val="none"/>
                <w:lang w:val="en-US" w:eastAsia="zh-CN"/>
              </w:rPr>
              <w:t>进行改造，在</w:t>
            </w:r>
            <w:r>
              <w:rPr>
                <w:rFonts w:hint="eastAsia" w:ascii="Times New Roman" w:hAnsi="Times New Roman" w:cs="Times New Roman"/>
                <w:color w:val="auto"/>
                <w:kern w:val="0"/>
                <w:sz w:val="24"/>
                <w:highlight w:val="none"/>
                <w:lang w:val="en-US" w:eastAsia="zh-CN"/>
              </w:rPr>
              <w:t>危废贮存点</w:t>
            </w:r>
            <w:r>
              <w:rPr>
                <w:rFonts w:hint="default" w:ascii="Times New Roman" w:hAnsi="Times New Roman" w:eastAsia="宋体" w:cs="Times New Roman"/>
                <w:color w:val="auto"/>
                <w:kern w:val="0"/>
                <w:sz w:val="24"/>
                <w:highlight w:val="none"/>
                <w:lang w:val="en-US" w:eastAsia="zh-CN"/>
              </w:rPr>
              <w:t>内</w:t>
            </w:r>
            <w:r>
              <w:rPr>
                <w:rFonts w:hint="default" w:ascii="Times New Roman" w:hAnsi="Times New Roman" w:cs="Times New Roman"/>
                <w:color w:val="auto"/>
                <w:kern w:val="0"/>
                <w:sz w:val="24"/>
                <w:highlight w:val="none"/>
                <w:lang w:bidi="ar"/>
              </w:rPr>
              <w:t>废矿物油</w:t>
            </w:r>
            <w:r>
              <w:rPr>
                <w:rFonts w:hint="default" w:ascii="Times New Roman" w:hAnsi="Times New Roman" w:cs="Times New Roman"/>
                <w:color w:val="auto"/>
                <w:kern w:val="0"/>
                <w:sz w:val="24"/>
                <w:highlight w:val="none"/>
                <w:lang w:val="en-US" w:eastAsia="zh-CN" w:bidi="ar"/>
              </w:rPr>
              <w:t>贮存区域设置导流沟并建设收集池，收集池</w:t>
            </w:r>
            <w:r>
              <w:rPr>
                <w:rFonts w:hint="default" w:ascii="Times New Roman" w:hAnsi="Times New Roman" w:eastAsia="宋体" w:cs="Times New Roman"/>
                <w:color w:val="auto"/>
                <w:sz w:val="24"/>
                <w:szCs w:val="24"/>
                <w:highlight w:val="none"/>
              </w:rPr>
              <w:t>最小容积不应低于对应贮存区域最大液态废物容器容积或液态废物总储量1/10（二者取较大者）</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kern w:val="0"/>
                <w:sz w:val="24"/>
                <w:highlight w:val="none"/>
                <w:lang w:val="en-US" w:eastAsia="zh-CN" w:bidi="ar"/>
              </w:rPr>
              <w:t>用于防止废矿物油贮存期间因事故泄漏导致环境污染。</w:t>
            </w:r>
          </w:p>
          <w:p w14:paraId="02B168BB">
            <w:pPr>
              <w:pStyle w:val="31"/>
              <w:rPr>
                <w:rFonts w:hint="default" w:ascii="Times New Roman" w:hAnsi="Times New Roman" w:eastAsia="宋体" w:cs="Times New Roman"/>
                <w:color w:val="auto"/>
                <w:highlight w:val="none"/>
                <w:lang w:val="en-US" w:eastAsia="zh-CN"/>
              </w:rPr>
            </w:pPr>
          </w:p>
          <w:p w14:paraId="18E5EA19">
            <w:pPr>
              <w:rPr>
                <w:rFonts w:hint="default" w:ascii="Times New Roman" w:hAnsi="Times New Roman" w:eastAsia="宋体" w:cs="Times New Roman"/>
                <w:color w:val="auto"/>
                <w:highlight w:val="none"/>
                <w:lang w:val="en-US" w:eastAsia="zh-CN"/>
              </w:rPr>
            </w:pPr>
          </w:p>
          <w:p w14:paraId="0687E2E6">
            <w:pPr>
              <w:rPr>
                <w:rFonts w:hint="default" w:ascii="Times New Roman" w:hAnsi="Times New Roman" w:eastAsia="宋体" w:cs="Times New Roman"/>
                <w:color w:val="auto"/>
                <w:highlight w:val="none"/>
                <w:lang w:val="en-US" w:eastAsia="zh-CN"/>
              </w:rPr>
            </w:pPr>
          </w:p>
          <w:p w14:paraId="12E07EB1">
            <w:pPr>
              <w:pStyle w:val="8"/>
              <w:rPr>
                <w:rFonts w:hint="default" w:ascii="Times New Roman" w:hAnsi="Times New Roman" w:eastAsia="宋体" w:cs="Times New Roman"/>
                <w:color w:val="auto"/>
                <w:highlight w:val="none"/>
                <w:lang w:val="en-US" w:eastAsia="zh-CN"/>
              </w:rPr>
            </w:pPr>
          </w:p>
          <w:p w14:paraId="2A3D1BF2">
            <w:pPr>
              <w:rPr>
                <w:rFonts w:hint="default" w:ascii="Times New Roman" w:hAnsi="Times New Roman" w:eastAsia="宋体" w:cs="Times New Roman"/>
                <w:color w:val="auto"/>
                <w:highlight w:val="none"/>
                <w:lang w:val="en-US" w:eastAsia="zh-CN"/>
              </w:rPr>
            </w:pPr>
          </w:p>
          <w:p w14:paraId="52E06FF7">
            <w:pPr>
              <w:pStyle w:val="8"/>
              <w:rPr>
                <w:rFonts w:hint="default" w:ascii="Times New Roman" w:hAnsi="Times New Roman" w:eastAsia="宋体" w:cs="Times New Roman"/>
                <w:color w:val="auto"/>
                <w:highlight w:val="none"/>
                <w:lang w:val="en-US" w:eastAsia="zh-CN"/>
              </w:rPr>
            </w:pPr>
          </w:p>
          <w:p w14:paraId="1AE6B2A5">
            <w:pPr>
              <w:rPr>
                <w:rFonts w:hint="default" w:ascii="Times New Roman" w:hAnsi="Times New Roman" w:eastAsia="宋体" w:cs="Times New Roman"/>
                <w:color w:val="auto"/>
                <w:highlight w:val="none"/>
                <w:lang w:val="en-US" w:eastAsia="zh-CN"/>
              </w:rPr>
            </w:pPr>
          </w:p>
          <w:p w14:paraId="02FB111C">
            <w:pPr>
              <w:pStyle w:val="8"/>
              <w:rPr>
                <w:rFonts w:hint="default" w:ascii="Times New Roman" w:hAnsi="Times New Roman" w:eastAsia="宋体" w:cs="Times New Roman"/>
                <w:color w:val="auto"/>
                <w:highlight w:val="none"/>
                <w:lang w:val="en-US" w:eastAsia="zh-CN"/>
              </w:rPr>
            </w:pPr>
          </w:p>
          <w:p w14:paraId="1C8C2982">
            <w:pPr>
              <w:rPr>
                <w:rFonts w:hint="default" w:ascii="Times New Roman" w:hAnsi="Times New Roman" w:eastAsia="宋体" w:cs="Times New Roman"/>
                <w:color w:val="auto"/>
                <w:highlight w:val="none"/>
                <w:lang w:val="en-US" w:eastAsia="zh-CN"/>
              </w:rPr>
            </w:pPr>
          </w:p>
          <w:p w14:paraId="4B96EB07">
            <w:pPr>
              <w:rPr>
                <w:rFonts w:hint="default" w:ascii="Times New Roman" w:hAnsi="Times New Roman" w:eastAsia="宋体" w:cs="Times New Roman"/>
                <w:color w:val="auto"/>
                <w:highlight w:val="none"/>
                <w:lang w:val="en-US" w:eastAsia="zh-CN"/>
              </w:rPr>
            </w:pPr>
          </w:p>
          <w:p w14:paraId="4022FE5C">
            <w:pPr>
              <w:rPr>
                <w:rFonts w:hint="default" w:ascii="Times New Roman" w:hAnsi="Times New Roman" w:eastAsia="宋体" w:cs="Times New Roman"/>
                <w:color w:val="auto"/>
                <w:highlight w:val="none"/>
                <w:lang w:val="en-US" w:eastAsia="zh-CN"/>
              </w:rPr>
            </w:pPr>
          </w:p>
          <w:p w14:paraId="70F69D03">
            <w:pPr>
              <w:rPr>
                <w:rFonts w:hint="default" w:ascii="Times New Roman" w:hAnsi="Times New Roman" w:eastAsia="宋体" w:cs="Times New Roman"/>
                <w:color w:val="auto"/>
                <w:highlight w:val="none"/>
                <w:lang w:val="en-US" w:eastAsia="zh-CN"/>
              </w:rPr>
            </w:pPr>
          </w:p>
          <w:p w14:paraId="525596FA">
            <w:pPr>
              <w:rPr>
                <w:rFonts w:hint="default" w:ascii="Times New Roman" w:hAnsi="Times New Roman" w:eastAsia="宋体" w:cs="Times New Roman"/>
                <w:color w:val="auto"/>
                <w:highlight w:val="none"/>
                <w:lang w:val="en-US" w:eastAsia="zh-CN"/>
              </w:rPr>
            </w:pPr>
          </w:p>
        </w:tc>
      </w:tr>
    </w:tbl>
    <w:p w14:paraId="7EB84BB9">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1B51CE93">
      <w:pPr>
        <w:pStyle w:val="22"/>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center"/>
        <w:textAlignment w:val="auto"/>
        <w:outlineLvl w:val="0"/>
        <w:rPr>
          <w:rFonts w:hint="default" w:ascii="Times New Roman" w:hAnsi="Times New Roman" w:eastAsia="黑体" w:cs="Times New Roman"/>
          <w:b w:val="0"/>
          <w:bCs w:val="0"/>
          <w:snapToGrid w:val="0"/>
          <w:color w:val="auto"/>
          <w:sz w:val="30"/>
          <w:szCs w:val="30"/>
          <w:highlight w:val="none"/>
        </w:rPr>
      </w:pPr>
      <w:r>
        <w:rPr>
          <w:rFonts w:hint="default" w:ascii="Times New Roman" w:hAnsi="Times New Roman" w:eastAsia="黑体" w:cs="Times New Roman"/>
          <w:b w:val="0"/>
          <w:bCs w:val="0"/>
          <w:snapToGrid w:val="0"/>
          <w:color w:val="auto"/>
          <w:sz w:val="30"/>
          <w:szCs w:val="30"/>
          <w:highlight w:val="none"/>
        </w:rPr>
        <w:t>三、区域环境质量现状、环境保护目标及评价标准</w:t>
      </w:r>
    </w:p>
    <w:tbl>
      <w:tblPr>
        <w:tblStyle w:val="24"/>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986"/>
      </w:tblGrid>
      <w:tr w14:paraId="42A1E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800" w:type="dxa"/>
            <w:tcBorders>
              <w:tl2br w:val="nil"/>
              <w:tr2bl w:val="nil"/>
            </w:tcBorders>
            <w:noWrap w:val="0"/>
            <w:vAlign w:val="center"/>
          </w:tcPr>
          <w:p w14:paraId="40DFB86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65D755A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4A61EB5B">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0E07F68E">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8190" w:type="dxa"/>
            <w:tcBorders>
              <w:tl2br w:val="nil"/>
              <w:tr2bl w:val="nil"/>
            </w:tcBorders>
            <w:noWrap w:val="0"/>
            <w:vAlign w:val="center"/>
          </w:tcPr>
          <w:p w14:paraId="07BB5E1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环境</w:t>
            </w:r>
            <w:r>
              <w:rPr>
                <w:rFonts w:hint="default" w:ascii="Times New Roman" w:hAnsi="Times New Roman" w:cs="Times New Roman"/>
                <w:b/>
                <w:bCs/>
                <w:color w:val="auto"/>
                <w:sz w:val="24"/>
                <w:szCs w:val="24"/>
                <w:highlight w:val="none"/>
                <w:lang w:eastAsia="zh-CN"/>
              </w:rPr>
              <w:t>空气</w:t>
            </w:r>
            <w:r>
              <w:rPr>
                <w:rFonts w:hint="default" w:ascii="Times New Roman" w:hAnsi="Times New Roman" w:cs="Times New Roman"/>
                <w:b/>
                <w:bCs/>
                <w:color w:val="auto"/>
                <w:sz w:val="24"/>
                <w:szCs w:val="24"/>
                <w:highlight w:val="none"/>
              </w:rPr>
              <w:t>质量现状</w:t>
            </w:r>
            <w:r>
              <w:rPr>
                <w:rFonts w:hint="default" w:ascii="Times New Roman" w:hAnsi="Times New Roman" w:cs="Times New Roman"/>
                <w:b/>
                <w:bCs/>
                <w:color w:val="auto"/>
                <w:sz w:val="24"/>
                <w:szCs w:val="24"/>
                <w:highlight w:val="none"/>
                <w:lang w:eastAsia="zh-CN"/>
              </w:rPr>
              <w:t>调查与评价</w:t>
            </w:r>
          </w:p>
          <w:p w14:paraId="2AAD6C86">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b/>
                <w:bCs/>
                <w:color w:val="auto"/>
                <w:sz w:val="24"/>
                <w:highlight w:val="none"/>
              </w:rPr>
            </w:pPr>
            <w:bookmarkStart w:id="2" w:name="_Toc31443"/>
            <w:r>
              <w:rPr>
                <w:rFonts w:hint="default" w:ascii="Times New Roman" w:hAnsi="Times New Roman" w:cs="Times New Roman"/>
                <w:b/>
                <w:bCs/>
                <w:color w:val="auto"/>
                <w:sz w:val="24"/>
                <w:highlight w:val="none"/>
              </w:rPr>
              <w:t>1.1项目所在区域达标判定</w:t>
            </w:r>
          </w:p>
          <w:bookmarkEnd w:id="2"/>
          <w:p w14:paraId="6D818C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根据《环境影响评价技术导则大气环境》（HJ2.2-2018），大气基本因子可直接采用国家或地方</w:t>
            </w:r>
            <w:r>
              <w:rPr>
                <w:rFonts w:hint="default" w:ascii="Times New Roman" w:hAnsi="Times New Roman" w:cs="Times New Roman"/>
                <w:color w:val="auto"/>
                <w:kern w:val="0"/>
                <w:sz w:val="24"/>
                <w:szCs w:val="20"/>
                <w:highlight w:val="none"/>
                <w:lang w:eastAsia="zh-CN"/>
              </w:rPr>
              <w:t>生态环境</w:t>
            </w:r>
            <w:r>
              <w:rPr>
                <w:rFonts w:hint="default" w:ascii="Times New Roman" w:hAnsi="Times New Roman" w:eastAsia="宋体" w:cs="Times New Roman"/>
                <w:color w:val="auto"/>
                <w:kern w:val="0"/>
                <w:sz w:val="24"/>
                <w:szCs w:val="20"/>
                <w:highlight w:val="none"/>
              </w:rPr>
              <w:t>主管部门公开发布的评价基准年环境质量公告或环境质量报告中的数据或结论。本环评根据导则要求，选取202</w:t>
            </w:r>
            <w:r>
              <w:rPr>
                <w:rFonts w:hint="default" w:ascii="Times New Roman" w:hAnsi="Times New Roman" w:cs="Times New Roman"/>
                <w:color w:val="auto"/>
                <w:kern w:val="0"/>
                <w:sz w:val="24"/>
                <w:szCs w:val="20"/>
                <w:highlight w:val="none"/>
                <w:lang w:val="en-US" w:eastAsia="zh-CN"/>
              </w:rPr>
              <w:t>3</w:t>
            </w:r>
            <w:r>
              <w:rPr>
                <w:rFonts w:hint="default" w:ascii="Times New Roman" w:hAnsi="Times New Roman" w:eastAsia="宋体" w:cs="Times New Roman"/>
                <w:color w:val="auto"/>
                <w:kern w:val="0"/>
                <w:sz w:val="24"/>
                <w:szCs w:val="20"/>
                <w:highlight w:val="none"/>
              </w:rPr>
              <w:t>年，选取位于昌吉市的昌吉州环境空气自动监测站，202</w:t>
            </w:r>
            <w:r>
              <w:rPr>
                <w:rFonts w:hint="default" w:ascii="Times New Roman" w:hAnsi="Times New Roman" w:cs="Times New Roman"/>
                <w:color w:val="auto"/>
                <w:kern w:val="0"/>
                <w:sz w:val="24"/>
                <w:szCs w:val="20"/>
                <w:highlight w:val="none"/>
                <w:lang w:val="en-US" w:eastAsia="zh-CN"/>
              </w:rPr>
              <w:t>3</w:t>
            </w:r>
            <w:r>
              <w:rPr>
                <w:rFonts w:hint="default" w:ascii="Times New Roman" w:hAnsi="Times New Roman" w:eastAsia="宋体" w:cs="Times New Roman"/>
                <w:color w:val="auto"/>
                <w:kern w:val="0"/>
                <w:sz w:val="24"/>
                <w:szCs w:val="20"/>
                <w:highlight w:val="none"/>
              </w:rPr>
              <w:t>年的监测数据，作为本项目环境空气现状评价基本污染物SO</w:t>
            </w:r>
            <w:r>
              <w:rPr>
                <w:rFonts w:hint="default" w:ascii="Times New Roman" w:hAnsi="Times New Roman" w:eastAsia="宋体" w:cs="Times New Roman"/>
                <w:color w:val="auto"/>
                <w:kern w:val="0"/>
                <w:sz w:val="24"/>
                <w:szCs w:val="20"/>
                <w:highlight w:val="none"/>
                <w:vertAlign w:val="subscript"/>
              </w:rPr>
              <w:t>2</w:t>
            </w:r>
            <w:r>
              <w:rPr>
                <w:rFonts w:hint="default" w:ascii="Times New Roman" w:hAnsi="Times New Roman" w:eastAsia="宋体" w:cs="Times New Roman"/>
                <w:color w:val="auto"/>
                <w:kern w:val="0"/>
                <w:sz w:val="24"/>
                <w:szCs w:val="20"/>
                <w:highlight w:val="none"/>
              </w:rPr>
              <w:t>、NO</w:t>
            </w:r>
            <w:r>
              <w:rPr>
                <w:rFonts w:hint="default" w:ascii="Times New Roman" w:hAnsi="Times New Roman" w:eastAsia="宋体" w:cs="Times New Roman"/>
                <w:color w:val="auto"/>
                <w:kern w:val="0"/>
                <w:sz w:val="24"/>
                <w:szCs w:val="20"/>
                <w:highlight w:val="none"/>
                <w:vertAlign w:val="subscript"/>
              </w:rPr>
              <w:t>2</w:t>
            </w:r>
            <w:r>
              <w:rPr>
                <w:rFonts w:hint="default" w:ascii="Times New Roman" w:hAnsi="Times New Roman" w:eastAsia="宋体" w:cs="Times New Roman"/>
                <w:color w:val="auto"/>
                <w:kern w:val="0"/>
                <w:sz w:val="24"/>
                <w:szCs w:val="20"/>
                <w:highlight w:val="none"/>
              </w:rPr>
              <w:t>、PM</w:t>
            </w:r>
            <w:r>
              <w:rPr>
                <w:rFonts w:hint="default" w:ascii="Times New Roman" w:hAnsi="Times New Roman" w:eastAsia="宋体" w:cs="Times New Roman"/>
                <w:color w:val="auto"/>
                <w:kern w:val="0"/>
                <w:sz w:val="24"/>
                <w:szCs w:val="20"/>
                <w:highlight w:val="none"/>
                <w:vertAlign w:val="subscript"/>
              </w:rPr>
              <w:t>10</w:t>
            </w:r>
            <w:r>
              <w:rPr>
                <w:rFonts w:hint="default" w:ascii="Times New Roman" w:hAnsi="Times New Roman" w:eastAsia="宋体" w:cs="Times New Roman"/>
                <w:color w:val="auto"/>
                <w:kern w:val="0"/>
                <w:sz w:val="24"/>
                <w:szCs w:val="20"/>
                <w:highlight w:val="none"/>
              </w:rPr>
              <w:t>、PM</w:t>
            </w:r>
            <w:r>
              <w:rPr>
                <w:rFonts w:hint="default" w:ascii="Times New Roman" w:hAnsi="Times New Roman" w:eastAsia="宋体" w:cs="Times New Roman"/>
                <w:color w:val="auto"/>
                <w:kern w:val="0"/>
                <w:sz w:val="24"/>
                <w:szCs w:val="20"/>
                <w:highlight w:val="none"/>
                <w:vertAlign w:val="subscript"/>
              </w:rPr>
              <w:t>2.5</w:t>
            </w:r>
            <w:r>
              <w:rPr>
                <w:rFonts w:hint="default" w:ascii="Times New Roman" w:hAnsi="Times New Roman" w:eastAsia="宋体" w:cs="Times New Roman"/>
                <w:color w:val="auto"/>
                <w:kern w:val="0"/>
                <w:sz w:val="24"/>
                <w:szCs w:val="20"/>
                <w:highlight w:val="none"/>
              </w:rPr>
              <w:t>、CO和O</w:t>
            </w:r>
            <w:r>
              <w:rPr>
                <w:rFonts w:hint="default" w:ascii="Times New Roman" w:hAnsi="Times New Roman" w:eastAsia="宋体" w:cs="Times New Roman"/>
                <w:color w:val="auto"/>
                <w:kern w:val="0"/>
                <w:sz w:val="24"/>
                <w:szCs w:val="20"/>
                <w:highlight w:val="none"/>
                <w:vertAlign w:val="subscript"/>
              </w:rPr>
              <w:t>3</w:t>
            </w:r>
            <w:r>
              <w:rPr>
                <w:rFonts w:hint="default" w:ascii="Times New Roman" w:hAnsi="Times New Roman" w:eastAsia="宋体" w:cs="Times New Roman"/>
                <w:color w:val="auto"/>
                <w:kern w:val="0"/>
                <w:sz w:val="24"/>
                <w:szCs w:val="20"/>
                <w:highlight w:val="none"/>
              </w:rPr>
              <w:t>的数据来源。</w:t>
            </w:r>
          </w:p>
          <w:p w14:paraId="300A184A">
            <w:pPr>
              <w:spacing w:line="240" w:lineRule="auto"/>
              <w:ind w:firstLine="480" w:firstLineChars="200"/>
              <w:jc w:val="center"/>
              <w:rPr>
                <w:rFonts w:hint="default" w:ascii="Times New Roman" w:hAnsi="Times New Roman" w:eastAsia="黑体" w:cs="Times New Roman"/>
                <w:color w:val="auto"/>
                <w:sz w:val="24"/>
                <w:szCs w:val="40"/>
                <w:highlight w:val="none"/>
              </w:rPr>
            </w:pPr>
            <w:r>
              <w:rPr>
                <w:rFonts w:hint="default" w:ascii="Times New Roman" w:hAnsi="Times New Roman" w:eastAsia="黑体" w:cs="Times New Roman"/>
                <w:color w:val="auto"/>
                <w:kern w:val="0"/>
                <w:sz w:val="24"/>
                <w:highlight w:val="none"/>
                <w:lang w:val="zh-CN" w:bidi="zh-CN"/>
              </w:rPr>
              <w:t>表</w:t>
            </w:r>
            <w:r>
              <w:rPr>
                <w:rFonts w:hint="default" w:ascii="Times New Roman" w:hAnsi="Times New Roman" w:eastAsia="黑体" w:cs="Times New Roman"/>
                <w:color w:val="auto"/>
                <w:kern w:val="0"/>
                <w:sz w:val="24"/>
                <w:highlight w:val="none"/>
                <w:lang w:bidi="zh-CN"/>
              </w:rPr>
              <w:t>3-1环境空气常规因子现状监测及评价结果</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19"/>
              <w:gridCol w:w="2383"/>
              <w:gridCol w:w="1169"/>
              <w:gridCol w:w="1186"/>
              <w:gridCol w:w="1040"/>
              <w:gridCol w:w="1170"/>
            </w:tblGrid>
            <w:tr w14:paraId="68895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bottom w:val="single" w:color="auto" w:sz="12" w:space="0"/>
                  </w:tcBorders>
                  <w:vAlign w:val="center"/>
                </w:tcPr>
                <w:p w14:paraId="5F38A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533" w:type="pct"/>
                  <w:tcBorders>
                    <w:bottom w:val="single" w:color="auto" w:sz="12" w:space="0"/>
                  </w:tcBorders>
                  <w:vAlign w:val="center"/>
                </w:tcPr>
                <w:p w14:paraId="3DD790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年度评价指标</w:t>
                  </w:r>
                </w:p>
              </w:tc>
              <w:tc>
                <w:tcPr>
                  <w:tcW w:w="752" w:type="pct"/>
                  <w:tcBorders>
                    <w:bottom w:val="single" w:color="auto" w:sz="12" w:space="0"/>
                  </w:tcBorders>
                  <w:vAlign w:val="center"/>
                </w:tcPr>
                <w:p w14:paraId="15872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现状浓度</w:t>
                  </w:r>
                </w:p>
                <w:p w14:paraId="21DC48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黑体" w:cs="Times New Roman"/>
                      <w:color w:val="auto"/>
                      <w:sz w:val="21"/>
                      <w:szCs w:val="21"/>
                      <w:highlight w:val="none"/>
                    </w:rPr>
                    <w:t>µg/m</w:t>
                  </w:r>
                  <w:r>
                    <w:rPr>
                      <w:rFonts w:hint="default" w:ascii="Times New Roman" w:hAnsi="Times New Roman" w:eastAsia="黑体" w:cs="Times New Roman"/>
                      <w:color w:val="auto"/>
                      <w:sz w:val="21"/>
                      <w:szCs w:val="21"/>
                      <w:highlight w:val="none"/>
                      <w:vertAlign w:val="superscript"/>
                    </w:rPr>
                    <w:t>3</w:t>
                  </w:r>
                </w:p>
              </w:tc>
              <w:tc>
                <w:tcPr>
                  <w:tcW w:w="763" w:type="pct"/>
                  <w:tcBorders>
                    <w:bottom w:val="single" w:color="auto" w:sz="12" w:space="0"/>
                  </w:tcBorders>
                  <w:vAlign w:val="center"/>
                </w:tcPr>
                <w:p w14:paraId="717AA7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p w14:paraId="4C61AE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黑体" w:cs="Times New Roman"/>
                      <w:color w:val="auto"/>
                      <w:sz w:val="21"/>
                      <w:szCs w:val="21"/>
                      <w:highlight w:val="none"/>
                    </w:rPr>
                    <w:t>µg/m</w:t>
                  </w:r>
                  <w:r>
                    <w:rPr>
                      <w:rFonts w:hint="default" w:ascii="Times New Roman" w:hAnsi="Times New Roman" w:eastAsia="黑体" w:cs="Times New Roman"/>
                      <w:color w:val="auto"/>
                      <w:sz w:val="21"/>
                      <w:szCs w:val="21"/>
                      <w:highlight w:val="none"/>
                      <w:vertAlign w:val="superscript"/>
                    </w:rPr>
                    <w:t>3</w:t>
                  </w:r>
                </w:p>
              </w:tc>
              <w:tc>
                <w:tcPr>
                  <w:tcW w:w="669" w:type="pct"/>
                  <w:tcBorders>
                    <w:bottom w:val="single" w:color="auto" w:sz="12" w:space="0"/>
                  </w:tcBorders>
                  <w:vAlign w:val="center"/>
                </w:tcPr>
                <w:p w14:paraId="095A6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占标率</w:t>
                  </w:r>
                </w:p>
                <w:p w14:paraId="2006B2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w:t>
                  </w:r>
                </w:p>
              </w:tc>
              <w:tc>
                <w:tcPr>
                  <w:tcW w:w="753" w:type="pct"/>
                  <w:tcBorders>
                    <w:bottom w:val="single" w:color="auto" w:sz="12" w:space="0"/>
                  </w:tcBorders>
                  <w:vAlign w:val="center"/>
                </w:tcPr>
                <w:p w14:paraId="72319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14:paraId="7744D9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op w:val="single" w:color="auto" w:sz="12" w:space="0"/>
                    <w:tl2br w:val="nil"/>
                    <w:tr2bl w:val="nil"/>
                  </w:tcBorders>
                  <w:vAlign w:val="center"/>
                </w:tcPr>
                <w:p w14:paraId="18BDFA1E">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533" w:type="pct"/>
                  <w:tcBorders>
                    <w:top w:val="single" w:color="auto" w:sz="12" w:space="0"/>
                    <w:tl2br w:val="nil"/>
                    <w:tr2bl w:val="nil"/>
                  </w:tcBorders>
                  <w:vAlign w:val="center"/>
                </w:tcPr>
                <w:p w14:paraId="50C91C81">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52" w:type="pct"/>
                  <w:tcBorders>
                    <w:top w:val="single" w:color="auto" w:sz="12" w:space="0"/>
                    <w:tl2br w:val="nil"/>
                    <w:tr2bl w:val="nil"/>
                  </w:tcBorders>
                </w:tcPr>
                <w:p w14:paraId="2C155AF4">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p>
              </w:tc>
              <w:tc>
                <w:tcPr>
                  <w:tcW w:w="763" w:type="pct"/>
                  <w:tcBorders>
                    <w:top w:val="single" w:color="auto" w:sz="12" w:space="0"/>
                    <w:tl2br w:val="nil"/>
                    <w:tr2bl w:val="nil"/>
                  </w:tcBorders>
                  <w:vAlign w:val="center"/>
                </w:tcPr>
                <w:p w14:paraId="14D18F6B">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669" w:type="pct"/>
                  <w:tcBorders>
                    <w:top w:val="single" w:color="auto" w:sz="12" w:space="0"/>
                    <w:tl2br w:val="nil"/>
                    <w:tr2bl w:val="nil"/>
                  </w:tcBorders>
                </w:tcPr>
                <w:p w14:paraId="6608B718">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11.6</w:t>
                  </w:r>
                </w:p>
              </w:tc>
              <w:tc>
                <w:tcPr>
                  <w:tcW w:w="753" w:type="pct"/>
                  <w:tcBorders>
                    <w:top w:val="single" w:color="auto" w:sz="12" w:space="0"/>
                    <w:tl2br w:val="nil"/>
                    <w:tr2bl w:val="nil"/>
                  </w:tcBorders>
                  <w:vAlign w:val="center"/>
                </w:tcPr>
                <w:p w14:paraId="78F65A28">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6BFD4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l2br w:val="nil"/>
                    <w:tr2bl w:val="nil"/>
                  </w:tcBorders>
                  <w:vAlign w:val="center"/>
                </w:tcPr>
                <w:p w14:paraId="04ABC78F">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533" w:type="pct"/>
                  <w:tcBorders>
                    <w:tl2br w:val="nil"/>
                    <w:tr2bl w:val="nil"/>
                  </w:tcBorders>
                  <w:vAlign w:val="center"/>
                </w:tcPr>
                <w:p w14:paraId="059183BF">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52" w:type="pct"/>
                  <w:tcBorders>
                    <w:tl2br w:val="nil"/>
                    <w:tr2bl w:val="nil"/>
                  </w:tcBorders>
                </w:tcPr>
                <w:p w14:paraId="6B8D394C">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3</w:t>
                  </w:r>
                  <w:r>
                    <w:rPr>
                      <w:rFonts w:hint="default" w:ascii="Times New Roman" w:hAnsi="Times New Roman" w:eastAsia="宋体" w:cs="Times New Roman"/>
                      <w:color w:val="auto"/>
                      <w:sz w:val="21"/>
                      <w:szCs w:val="21"/>
                      <w:highlight w:val="none"/>
                    </w:rPr>
                    <w:t>2</w:t>
                  </w:r>
                </w:p>
              </w:tc>
              <w:tc>
                <w:tcPr>
                  <w:tcW w:w="763" w:type="pct"/>
                  <w:tcBorders>
                    <w:tl2br w:val="nil"/>
                    <w:tr2bl w:val="nil"/>
                  </w:tcBorders>
                  <w:vAlign w:val="center"/>
                </w:tcPr>
                <w:p w14:paraId="70BFB721">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669" w:type="pct"/>
                  <w:tcBorders>
                    <w:tl2br w:val="nil"/>
                    <w:tr2bl w:val="nil"/>
                  </w:tcBorders>
                </w:tcPr>
                <w:p w14:paraId="3824EA2D">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753" w:type="pct"/>
                  <w:tcBorders>
                    <w:tl2br w:val="nil"/>
                    <w:tr2bl w:val="nil"/>
                  </w:tcBorders>
                  <w:vAlign w:val="center"/>
                </w:tcPr>
                <w:p w14:paraId="76B95640">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543EFE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l2br w:val="nil"/>
                    <w:tr2bl w:val="nil"/>
                  </w:tcBorders>
                  <w:vAlign w:val="center"/>
                </w:tcPr>
                <w:p w14:paraId="2056D206">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533" w:type="pct"/>
                  <w:tcBorders>
                    <w:tl2br w:val="nil"/>
                    <w:tr2bl w:val="nil"/>
                  </w:tcBorders>
                  <w:vAlign w:val="center"/>
                </w:tcPr>
                <w:p w14:paraId="5E497A07">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52" w:type="pct"/>
                  <w:tcBorders>
                    <w:tl2br w:val="nil"/>
                    <w:tr2bl w:val="nil"/>
                  </w:tcBorders>
                </w:tcPr>
                <w:p w14:paraId="56FCD246">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81</w:t>
                  </w:r>
                </w:p>
              </w:tc>
              <w:tc>
                <w:tcPr>
                  <w:tcW w:w="763" w:type="pct"/>
                  <w:tcBorders>
                    <w:tl2br w:val="nil"/>
                    <w:tr2bl w:val="nil"/>
                  </w:tcBorders>
                  <w:vAlign w:val="center"/>
                </w:tcPr>
                <w:p w14:paraId="2C12EFA8">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669" w:type="pct"/>
                  <w:tcBorders>
                    <w:tl2br w:val="nil"/>
                    <w:tr2bl w:val="nil"/>
                  </w:tcBorders>
                </w:tcPr>
                <w:p w14:paraId="747C3EB2">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11</w:t>
                  </w:r>
                  <w:r>
                    <w:rPr>
                      <w:rFonts w:hint="default" w:ascii="Times New Roman" w:hAnsi="Times New Roman" w:eastAsia="宋体" w:cs="Times New Roman"/>
                      <w:color w:val="auto"/>
                      <w:sz w:val="21"/>
                      <w:szCs w:val="21"/>
                      <w:highlight w:val="none"/>
                    </w:rPr>
                    <w:t>4</w:t>
                  </w:r>
                </w:p>
              </w:tc>
              <w:tc>
                <w:tcPr>
                  <w:tcW w:w="753" w:type="pct"/>
                  <w:tcBorders>
                    <w:tl2br w:val="nil"/>
                    <w:tr2bl w:val="nil"/>
                  </w:tcBorders>
                  <w:vAlign w:val="center"/>
                </w:tcPr>
                <w:p w14:paraId="186E68DB">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w:t>
                  </w:r>
                </w:p>
              </w:tc>
            </w:tr>
            <w:tr w14:paraId="3C07FF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l2br w:val="nil"/>
                    <w:tr2bl w:val="nil"/>
                  </w:tcBorders>
                  <w:vAlign w:val="center"/>
                </w:tcPr>
                <w:p w14:paraId="4561B871">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533" w:type="pct"/>
                  <w:tcBorders>
                    <w:tl2br w:val="nil"/>
                    <w:tr2bl w:val="nil"/>
                  </w:tcBorders>
                  <w:vAlign w:val="center"/>
                </w:tcPr>
                <w:p w14:paraId="3268676E">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52" w:type="pct"/>
                  <w:tcBorders>
                    <w:tl2br w:val="nil"/>
                    <w:tr2bl w:val="nil"/>
                  </w:tcBorders>
                </w:tcPr>
                <w:p w14:paraId="4B0A2644">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763" w:type="pct"/>
                  <w:tcBorders>
                    <w:tl2br w:val="nil"/>
                    <w:tr2bl w:val="nil"/>
                  </w:tcBorders>
                  <w:vAlign w:val="center"/>
                </w:tcPr>
                <w:p w14:paraId="346806D9">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w:t>
                  </w:r>
                </w:p>
              </w:tc>
              <w:tc>
                <w:tcPr>
                  <w:tcW w:w="669" w:type="pct"/>
                  <w:tcBorders>
                    <w:tl2br w:val="nil"/>
                    <w:tr2bl w:val="nil"/>
                  </w:tcBorders>
                </w:tcPr>
                <w:p w14:paraId="6CCFE26D">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142.00</w:t>
                  </w:r>
                </w:p>
              </w:tc>
              <w:tc>
                <w:tcPr>
                  <w:tcW w:w="753" w:type="pct"/>
                  <w:tcBorders>
                    <w:tl2br w:val="nil"/>
                    <w:tr2bl w:val="nil"/>
                  </w:tcBorders>
                  <w:vAlign w:val="center"/>
                </w:tcPr>
                <w:p w14:paraId="68EF0744">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w:t>
                  </w:r>
                </w:p>
              </w:tc>
            </w:tr>
            <w:tr w14:paraId="7BB936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l2br w:val="nil"/>
                    <w:tr2bl w:val="nil"/>
                  </w:tcBorders>
                  <w:vAlign w:val="center"/>
                </w:tcPr>
                <w:p w14:paraId="3B76CFB0">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533" w:type="pct"/>
                  <w:tcBorders>
                    <w:tl2br w:val="nil"/>
                    <w:tr2bl w:val="nil"/>
                  </w:tcBorders>
                  <w:vAlign w:val="center"/>
                </w:tcPr>
                <w:p w14:paraId="660B067A">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日平均95百分位数</w:t>
                  </w:r>
                </w:p>
              </w:tc>
              <w:tc>
                <w:tcPr>
                  <w:tcW w:w="752" w:type="pct"/>
                  <w:tcBorders>
                    <w:tl2br w:val="nil"/>
                    <w:tr2bl w:val="nil"/>
                  </w:tcBorders>
                </w:tcPr>
                <w:p w14:paraId="49C26630">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2800</w:t>
                  </w:r>
                </w:p>
              </w:tc>
              <w:tc>
                <w:tcPr>
                  <w:tcW w:w="763" w:type="pct"/>
                  <w:tcBorders>
                    <w:tl2br w:val="nil"/>
                    <w:tr2bl w:val="nil"/>
                  </w:tcBorders>
                  <w:vAlign w:val="center"/>
                </w:tcPr>
                <w:p w14:paraId="3B74E8F3">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4000</w:t>
                  </w:r>
                </w:p>
              </w:tc>
              <w:tc>
                <w:tcPr>
                  <w:tcW w:w="669" w:type="pct"/>
                  <w:tcBorders>
                    <w:tl2br w:val="nil"/>
                    <w:tr2bl w:val="nil"/>
                  </w:tcBorders>
                </w:tcPr>
                <w:p w14:paraId="5AFF8B53">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70.00</w:t>
                  </w:r>
                </w:p>
              </w:tc>
              <w:tc>
                <w:tcPr>
                  <w:tcW w:w="753" w:type="pct"/>
                  <w:tcBorders>
                    <w:tl2br w:val="nil"/>
                    <w:tr2bl w:val="nil"/>
                  </w:tcBorders>
                  <w:vAlign w:val="center"/>
                </w:tcPr>
                <w:p w14:paraId="55EBA2B7">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1E033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27" w:type="pct"/>
                  <w:tcBorders>
                    <w:tl2br w:val="nil"/>
                    <w:tr2bl w:val="nil"/>
                  </w:tcBorders>
                  <w:vAlign w:val="center"/>
                </w:tcPr>
                <w:p w14:paraId="00ED7B7F">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533" w:type="pct"/>
                  <w:tcBorders>
                    <w:tl2br w:val="nil"/>
                    <w:tr2bl w:val="nil"/>
                  </w:tcBorders>
                  <w:vAlign w:val="center"/>
                </w:tcPr>
                <w:p w14:paraId="7683EB13">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8h最大平均第90百分位数</w:t>
                  </w:r>
                </w:p>
              </w:tc>
              <w:tc>
                <w:tcPr>
                  <w:tcW w:w="752" w:type="pct"/>
                  <w:tcBorders>
                    <w:tl2br w:val="nil"/>
                    <w:tr2bl w:val="nil"/>
                  </w:tcBorders>
                  <w:vAlign w:val="center"/>
                </w:tcPr>
                <w:p w14:paraId="432C604C">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9</w:t>
                  </w:r>
                  <w:r>
                    <w:rPr>
                      <w:rFonts w:hint="default" w:ascii="Times New Roman" w:hAnsi="Times New Roman" w:eastAsia="宋体" w:cs="Times New Roman"/>
                      <w:color w:val="auto"/>
                      <w:sz w:val="21"/>
                      <w:szCs w:val="21"/>
                      <w:highlight w:val="none"/>
                    </w:rPr>
                    <w:t>2</w:t>
                  </w:r>
                </w:p>
              </w:tc>
              <w:tc>
                <w:tcPr>
                  <w:tcW w:w="763" w:type="pct"/>
                  <w:tcBorders>
                    <w:tl2br w:val="nil"/>
                    <w:tr2bl w:val="nil"/>
                  </w:tcBorders>
                  <w:vAlign w:val="center"/>
                </w:tcPr>
                <w:p w14:paraId="2110CEB7">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c>
                <w:tcPr>
                  <w:tcW w:w="669" w:type="pct"/>
                  <w:tcBorders>
                    <w:tl2br w:val="nil"/>
                    <w:tr2bl w:val="nil"/>
                  </w:tcBorders>
                  <w:vAlign w:val="center"/>
                </w:tcPr>
                <w:p w14:paraId="381598DE">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57</w:t>
                  </w:r>
                  <w:r>
                    <w:rPr>
                      <w:rFonts w:hint="default" w:ascii="Times New Roman" w:hAnsi="Times New Roman" w:eastAsia="宋体" w:cs="Times New Roman"/>
                      <w:color w:val="auto"/>
                      <w:sz w:val="21"/>
                      <w:szCs w:val="21"/>
                      <w:highlight w:val="none"/>
                    </w:rPr>
                    <w:t>.5</w:t>
                  </w:r>
                </w:p>
              </w:tc>
              <w:tc>
                <w:tcPr>
                  <w:tcW w:w="753" w:type="pct"/>
                  <w:tcBorders>
                    <w:tl2br w:val="nil"/>
                    <w:tr2bl w:val="nil"/>
                  </w:tcBorders>
                  <w:vAlign w:val="center"/>
                </w:tcPr>
                <w:p w14:paraId="63D2100F">
                  <w:pPr>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14:paraId="690793D9">
            <w:pPr>
              <w:widowControl/>
              <w:spacing w:line="360" w:lineRule="auto"/>
              <w:ind w:firstLine="480" w:firstLineChars="200"/>
              <w:jc w:val="left"/>
              <w:rPr>
                <w:rFonts w:hint="default" w:ascii="Times New Roman" w:hAnsi="Times New Roman" w:eastAsia="宋体" w:cs="Times New Roman"/>
                <w:color w:val="auto"/>
                <w:kern w:val="0"/>
                <w:sz w:val="24"/>
                <w:highlight w:val="none"/>
                <w:lang w:bidi="zh-CN"/>
              </w:rPr>
            </w:pPr>
            <w:r>
              <w:rPr>
                <w:rFonts w:hint="default" w:ascii="Times New Roman" w:hAnsi="Times New Roman" w:eastAsia="宋体" w:cs="Times New Roman"/>
                <w:color w:val="auto"/>
                <w:kern w:val="0"/>
                <w:sz w:val="24"/>
                <w:highlight w:val="none"/>
              </w:rPr>
              <w:t>由上表可知，</w:t>
            </w:r>
            <w:r>
              <w:rPr>
                <w:rFonts w:hint="default" w:ascii="Times New Roman" w:hAnsi="Times New Roman" w:eastAsia="宋体" w:cs="Times New Roman"/>
                <w:color w:val="auto"/>
                <w:kern w:val="0"/>
                <w:sz w:val="24"/>
                <w:highlight w:val="none"/>
                <w:lang w:bidi="ar"/>
              </w:rPr>
              <w:t>本项目所在区域SO</w:t>
            </w:r>
            <w:r>
              <w:rPr>
                <w:rFonts w:hint="default" w:ascii="Times New Roman" w:hAnsi="Times New Roman" w:eastAsia="宋体" w:cs="Times New Roman"/>
                <w:color w:val="auto"/>
                <w:kern w:val="0"/>
                <w:sz w:val="24"/>
                <w:highlight w:val="none"/>
                <w:vertAlign w:val="subscript"/>
                <w:lang w:bidi="ar"/>
              </w:rPr>
              <w:t>2</w:t>
            </w:r>
            <w:r>
              <w:rPr>
                <w:rFonts w:hint="default" w:ascii="Times New Roman" w:hAnsi="Times New Roman" w:eastAsia="宋体" w:cs="Times New Roman"/>
                <w:color w:val="auto"/>
                <w:kern w:val="0"/>
                <w:sz w:val="24"/>
                <w:highlight w:val="none"/>
                <w:lang w:bidi="ar"/>
              </w:rPr>
              <w:t>、NO</w:t>
            </w:r>
            <w:r>
              <w:rPr>
                <w:rFonts w:hint="default" w:ascii="Times New Roman" w:hAnsi="Times New Roman" w:eastAsia="宋体" w:cs="Times New Roman"/>
                <w:color w:val="auto"/>
                <w:kern w:val="0"/>
                <w:sz w:val="24"/>
                <w:highlight w:val="none"/>
                <w:vertAlign w:val="subscript"/>
                <w:lang w:bidi="ar"/>
              </w:rPr>
              <w:t>2</w:t>
            </w:r>
            <w:r>
              <w:rPr>
                <w:rFonts w:hint="default" w:ascii="Times New Roman" w:hAnsi="Times New Roman" w:eastAsia="宋体" w:cs="Times New Roman"/>
                <w:color w:val="auto"/>
                <w:kern w:val="0"/>
                <w:sz w:val="24"/>
                <w:highlight w:val="none"/>
                <w:lang w:bidi="ar"/>
              </w:rPr>
              <w:t>、CO、O</w:t>
            </w:r>
            <w:r>
              <w:rPr>
                <w:rFonts w:hint="default" w:ascii="Times New Roman" w:hAnsi="Times New Roman" w:eastAsia="宋体" w:cs="Times New Roman"/>
                <w:color w:val="auto"/>
                <w:kern w:val="0"/>
                <w:sz w:val="24"/>
                <w:highlight w:val="none"/>
                <w:vertAlign w:val="subscript"/>
                <w:lang w:bidi="ar"/>
              </w:rPr>
              <w:t>3</w:t>
            </w:r>
            <w:r>
              <w:rPr>
                <w:rFonts w:hint="default" w:ascii="Times New Roman" w:hAnsi="Times New Roman" w:eastAsia="宋体" w:cs="Times New Roman"/>
                <w:color w:val="auto"/>
                <w:kern w:val="0"/>
                <w:sz w:val="24"/>
                <w:highlight w:val="none"/>
                <w:lang w:bidi="ar"/>
              </w:rPr>
              <w:t>的年评价指标为达标；颗粒物PM</w:t>
            </w:r>
            <w:r>
              <w:rPr>
                <w:rFonts w:hint="default" w:ascii="Times New Roman" w:hAnsi="Times New Roman" w:eastAsia="宋体" w:cs="Times New Roman"/>
                <w:color w:val="auto"/>
                <w:kern w:val="0"/>
                <w:sz w:val="24"/>
                <w:highlight w:val="none"/>
                <w:vertAlign w:val="subscript"/>
                <w:lang w:bidi="ar"/>
              </w:rPr>
              <w:t>2.5</w:t>
            </w:r>
            <w:r>
              <w:rPr>
                <w:rFonts w:hint="default" w:ascii="Times New Roman" w:hAnsi="Times New Roman" w:eastAsia="宋体" w:cs="Times New Roman"/>
                <w:color w:val="auto"/>
                <w:kern w:val="0"/>
                <w:sz w:val="24"/>
                <w:highlight w:val="none"/>
                <w:lang w:bidi="ar"/>
              </w:rPr>
              <w:t>、PM</w:t>
            </w:r>
            <w:r>
              <w:rPr>
                <w:rFonts w:hint="default" w:ascii="Times New Roman" w:hAnsi="Times New Roman" w:eastAsia="宋体" w:cs="Times New Roman"/>
                <w:color w:val="auto"/>
                <w:kern w:val="0"/>
                <w:sz w:val="24"/>
                <w:highlight w:val="none"/>
                <w:vertAlign w:val="subscript"/>
                <w:lang w:bidi="ar"/>
              </w:rPr>
              <w:t>10</w:t>
            </w:r>
            <w:r>
              <w:rPr>
                <w:rFonts w:hint="default" w:ascii="Times New Roman" w:hAnsi="Times New Roman" w:eastAsia="宋体" w:cs="Times New Roman"/>
                <w:color w:val="auto"/>
                <w:kern w:val="0"/>
                <w:sz w:val="24"/>
                <w:highlight w:val="none"/>
                <w:lang w:bidi="ar"/>
              </w:rPr>
              <w:t>的年评价指标均为超标，因此本项目区域为不达标区。</w:t>
            </w:r>
            <w:r>
              <w:rPr>
                <w:rFonts w:hint="default" w:ascii="Times New Roman" w:hAnsi="Times New Roman" w:eastAsia="宋体" w:cs="Times New Roman"/>
                <w:color w:val="auto"/>
                <w:kern w:val="0"/>
                <w:sz w:val="24"/>
                <w:highlight w:val="none"/>
                <w:lang w:bidi="zh-CN"/>
              </w:rPr>
              <w:t>PM</w:t>
            </w:r>
            <w:r>
              <w:rPr>
                <w:rFonts w:hint="default" w:ascii="Times New Roman" w:hAnsi="Times New Roman" w:eastAsia="宋体" w:cs="Times New Roman"/>
                <w:color w:val="auto"/>
                <w:kern w:val="0"/>
                <w:sz w:val="24"/>
                <w:highlight w:val="none"/>
                <w:vertAlign w:val="subscript"/>
                <w:lang w:bidi="zh-CN"/>
              </w:rPr>
              <w:t>2.5</w:t>
            </w:r>
            <w:r>
              <w:rPr>
                <w:rFonts w:hint="default" w:ascii="Times New Roman" w:hAnsi="Times New Roman" w:eastAsia="宋体" w:cs="Times New Roman"/>
                <w:color w:val="auto"/>
                <w:kern w:val="0"/>
                <w:sz w:val="24"/>
                <w:highlight w:val="none"/>
                <w:lang w:bidi="zh-CN"/>
              </w:rPr>
              <w:t>、PM</w:t>
            </w:r>
            <w:r>
              <w:rPr>
                <w:rFonts w:hint="default" w:ascii="Times New Roman" w:hAnsi="Times New Roman" w:eastAsia="宋体" w:cs="Times New Roman"/>
                <w:color w:val="auto"/>
                <w:kern w:val="0"/>
                <w:sz w:val="24"/>
                <w:highlight w:val="none"/>
                <w:vertAlign w:val="subscript"/>
                <w:lang w:bidi="zh-CN"/>
              </w:rPr>
              <w:t>10</w:t>
            </w:r>
            <w:r>
              <w:rPr>
                <w:rFonts w:hint="default" w:ascii="Times New Roman" w:hAnsi="Times New Roman" w:eastAsia="宋体" w:cs="Times New Roman"/>
                <w:color w:val="auto"/>
                <w:kern w:val="0"/>
                <w:sz w:val="24"/>
                <w:highlight w:val="none"/>
                <w:lang w:bidi="zh-CN"/>
              </w:rPr>
              <w:t>受沙尘天气影响导致超标。</w:t>
            </w:r>
          </w:p>
          <w:p w14:paraId="59B2B8E5">
            <w:pPr>
              <w:adjustRightInd w:val="0"/>
              <w:snapToGrid w:val="0"/>
              <w:spacing w:line="360" w:lineRule="auto"/>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2.地表水环境现状调查及评价</w:t>
            </w:r>
          </w:p>
          <w:p w14:paraId="0536D6E3">
            <w:pPr>
              <w:spacing w:line="360" w:lineRule="auto"/>
              <w:ind w:firstLine="48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本项目所在区域距离地表水较远且无水力联系，按《环境影响评价技术导则·地表水环境》(HJ2.3-2018)对地表水环境影响评价工作进行</w:t>
            </w:r>
            <w:r>
              <w:rPr>
                <w:rFonts w:hint="default" w:ascii="Times New Roman" w:hAnsi="Times New Roman" w:cs="Times New Roman"/>
                <w:color w:val="auto"/>
                <w:sz w:val="24"/>
                <w:szCs w:val="32"/>
                <w:highlight w:val="none"/>
                <w:lang w:eastAsia="zh-CN"/>
              </w:rPr>
              <w:t>等级</w:t>
            </w:r>
            <w:r>
              <w:rPr>
                <w:rFonts w:hint="default" w:ascii="Times New Roman" w:hAnsi="Times New Roman" w:cs="Times New Roman"/>
                <w:color w:val="auto"/>
                <w:sz w:val="24"/>
                <w:szCs w:val="32"/>
                <w:highlight w:val="none"/>
              </w:rPr>
              <w:t>划分，本项目地表水评价等级为三级B，故本次评价不对地表水环境影响进行评价。</w:t>
            </w:r>
          </w:p>
          <w:p w14:paraId="433B3034">
            <w:pPr>
              <w:adjustRightInd w:val="0"/>
              <w:snapToGrid w:val="0"/>
              <w:spacing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3.</w:t>
            </w:r>
            <w:r>
              <w:rPr>
                <w:rFonts w:hint="default" w:ascii="Times New Roman" w:hAnsi="Times New Roman" w:cs="Times New Roman"/>
                <w:b/>
                <w:color w:val="auto"/>
                <w:sz w:val="24"/>
                <w:szCs w:val="24"/>
                <w:highlight w:val="none"/>
              </w:rPr>
              <w:t>声环境质量现状</w:t>
            </w:r>
          </w:p>
          <w:p w14:paraId="03297682">
            <w:pPr>
              <w:spacing w:line="360" w:lineRule="auto"/>
              <w:ind w:firstLine="480" w:firstLineChars="200"/>
              <w:rPr>
                <w:rFonts w:hint="default" w:ascii="Times New Roman" w:hAnsi="Times New Roman" w:cs="Times New Roman"/>
                <w:b/>
                <w:color w:val="auto"/>
                <w:sz w:val="24"/>
                <w:highlight w:val="none"/>
                <w:lang w:val="en-US" w:eastAsia="zh-CN"/>
              </w:rPr>
            </w:pPr>
            <w:r>
              <w:rPr>
                <w:rFonts w:hint="default" w:ascii="Times New Roman" w:hAnsi="Times New Roman" w:cs="Times New Roman"/>
                <w:color w:val="auto"/>
                <w:sz w:val="24"/>
                <w:highlight w:val="none"/>
              </w:rPr>
              <w:t>根据《建设项目环境影响报告表编制技术指南（污染影响类）（试行）》本项目50m范围内无环境敏感目标，不开展声环境质量现状调查。</w:t>
            </w:r>
          </w:p>
          <w:p w14:paraId="276300A0">
            <w:pPr>
              <w:pStyle w:val="31"/>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color w:val="auto"/>
                <w:sz w:val="24"/>
                <w:highlight w:val="none"/>
                <w:lang w:val="en-US" w:eastAsia="zh-CN"/>
              </w:rPr>
              <w:t>4.地下水、</w:t>
            </w:r>
            <w:r>
              <w:rPr>
                <w:rFonts w:hint="default" w:ascii="Times New Roman" w:hAnsi="Times New Roman" w:cs="Times New Roman"/>
                <w:b/>
                <w:bCs/>
                <w:color w:val="auto"/>
                <w:kern w:val="0"/>
                <w:sz w:val="24"/>
                <w:highlight w:val="none"/>
                <w:lang w:val="en-US" w:eastAsia="zh-CN"/>
              </w:rPr>
              <w:t>土壤环境现状调查</w:t>
            </w:r>
          </w:p>
          <w:p w14:paraId="520E7CF3">
            <w:pPr>
              <w:keepNext w:val="0"/>
              <w:keepLines w:val="0"/>
              <w:pageBreakBefore w:val="0"/>
              <w:widowControl w:val="0"/>
              <w:tabs>
                <w:tab w:val="left" w:pos="1091"/>
              </w:tabs>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根据《建设项目环境影响报告表编制技术指南（污染影响类）（试行）》本项目不涉及地下水、土壤环境污染途径，不开展土壤环境质量现状调查。</w:t>
            </w:r>
          </w:p>
          <w:p w14:paraId="6FC88F1B">
            <w:pPr>
              <w:keepNext w:val="0"/>
              <w:keepLines w:val="0"/>
              <w:pageBreakBefore w:val="0"/>
              <w:widowControl w:val="0"/>
              <w:numPr>
                <w:ilvl w:val="0"/>
                <w:numId w:val="0"/>
              </w:numPr>
              <w:tabs>
                <w:tab w:val="left" w:pos="1091"/>
              </w:tabs>
              <w:kinsoku/>
              <w:wordWrap/>
              <w:overflowPunct/>
              <w:topLinePunct w:val="0"/>
              <w:bidi w:val="0"/>
              <w:adjustRightInd w:val="0"/>
              <w:snapToGrid w:val="0"/>
              <w:spacing w:line="360" w:lineRule="auto"/>
              <w:textAlignment w:val="auto"/>
              <w:rPr>
                <w:rFonts w:hint="default" w:ascii="Times New Roman" w:hAnsi="Times New Roman"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lang w:eastAsia="zh-CN"/>
              </w:rPr>
              <w:t>生态环境现状与评价</w:t>
            </w:r>
          </w:p>
          <w:p w14:paraId="7452B9A0">
            <w:pPr>
              <w:keepNext w:val="0"/>
              <w:keepLines w:val="0"/>
              <w:pageBreakBefore w:val="0"/>
              <w:widowControl w:val="0"/>
              <w:numPr>
                <w:ilvl w:val="0"/>
                <w:numId w:val="0"/>
              </w:numPr>
              <w:tabs>
                <w:tab w:val="left" w:pos="1091"/>
              </w:tabs>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sz w:val="24"/>
                <w:szCs w:val="24"/>
                <w:highlight w:val="none"/>
                <w:lang w:val="en-US" w:eastAsia="zh-CN"/>
              </w:rPr>
              <w:t>根据《建设项目环境影响报告表编制技术指南（污染影响类）（试行）》，本项目不新增用地，因此不进行生态现状调查。</w:t>
            </w:r>
          </w:p>
        </w:tc>
      </w:tr>
      <w:tr w14:paraId="445B4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6C0AE13F">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71FDD7B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保护</w:t>
            </w:r>
          </w:p>
          <w:p w14:paraId="00BA04C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szCs w:val="24"/>
                <w:highlight w:val="none"/>
              </w:rPr>
              <w:t>目标</w:t>
            </w:r>
          </w:p>
        </w:tc>
        <w:tc>
          <w:tcPr>
            <w:tcW w:w="8190" w:type="dxa"/>
            <w:tcBorders>
              <w:tl2br w:val="nil"/>
              <w:tr2bl w:val="nil"/>
            </w:tcBorders>
            <w:noWrap w:val="0"/>
            <w:vAlign w:val="center"/>
          </w:tcPr>
          <w:p w14:paraId="1CE361F5">
            <w:pPr>
              <w:pStyle w:val="6"/>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本项目厂界外500m范围内无地下水集中式饮用水水源和热水、矿泉水、温泉等特殊地下水资源。</w:t>
            </w:r>
          </w:p>
          <w:p w14:paraId="4F5A9A03">
            <w:pPr>
              <w:pStyle w:val="6"/>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本项目厂界外1000m范围内无河流，项目区北侧及西侧为S231省道，无铁路，</w:t>
            </w:r>
          </w:p>
          <w:p w14:paraId="589A07FE">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drawing>
                <wp:inline distT="0" distB="0" distL="114300" distR="114300">
                  <wp:extent cx="4920615" cy="3090545"/>
                  <wp:effectExtent l="0" t="0" r="13335" b="1460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5"/>
                          <a:stretch>
                            <a:fillRect/>
                          </a:stretch>
                        </pic:blipFill>
                        <pic:spPr>
                          <a:xfrm>
                            <a:off x="0" y="0"/>
                            <a:ext cx="4920615" cy="3090545"/>
                          </a:xfrm>
                          <a:prstGeom prst="rect">
                            <a:avLst/>
                          </a:prstGeom>
                          <a:noFill/>
                          <a:ln>
                            <a:noFill/>
                          </a:ln>
                        </pic:spPr>
                      </pic:pic>
                    </a:graphicData>
                  </a:graphic>
                </wp:inline>
              </w:drawing>
            </w:r>
          </w:p>
          <w:p w14:paraId="61153A74">
            <w:pPr>
              <w:pStyle w:val="6"/>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本项目厂界外500m范围内存在居住区和农村地区中人群较集中的区域，有大气环境保护目标。</w:t>
            </w:r>
          </w:p>
          <w:p w14:paraId="238CE541">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表</w:t>
            </w:r>
            <w:r>
              <w:rPr>
                <w:rFonts w:hint="default" w:ascii="Times New Roman" w:hAnsi="Times New Roman" w:eastAsia="黑体" w:cs="Times New Roman"/>
                <w:b w:val="0"/>
                <w:bCs/>
                <w:color w:val="auto"/>
                <w:sz w:val="24"/>
                <w:szCs w:val="24"/>
                <w:highlight w:val="none"/>
                <w:lang w:val="en-US" w:eastAsia="zh-CN"/>
              </w:rPr>
              <w:t>3-2</w:t>
            </w:r>
            <w:r>
              <w:rPr>
                <w:rFonts w:hint="default" w:ascii="Times New Roman" w:hAnsi="Times New Roman" w:eastAsia="黑体" w:cs="Times New Roman"/>
                <w:b w:val="0"/>
                <w:bCs/>
                <w:color w:val="auto"/>
                <w:sz w:val="24"/>
                <w:szCs w:val="24"/>
                <w:highlight w:val="none"/>
              </w:rPr>
              <w:t>项目环境</w:t>
            </w:r>
            <w:r>
              <w:rPr>
                <w:rFonts w:hint="default" w:ascii="Times New Roman" w:hAnsi="Times New Roman" w:eastAsia="黑体" w:cs="Times New Roman"/>
                <w:b w:val="0"/>
                <w:bCs/>
                <w:color w:val="auto"/>
                <w:sz w:val="24"/>
                <w:szCs w:val="24"/>
                <w:highlight w:val="none"/>
                <w:lang w:eastAsia="zh-CN"/>
              </w:rPr>
              <w:t>敏感保护</w:t>
            </w:r>
            <w:r>
              <w:rPr>
                <w:rFonts w:hint="default" w:ascii="Times New Roman" w:hAnsi="Times New Roman" w:eastAsia="黑体" w:cs="Times New Roman"/>
                <w:b w:val="0"/>
                <w:bCs/>
                <w:color w:val="auto"/>
                <w:sz w:val="24"/>
                <w:szCs w:val="24"/>
                <w:highlight w:val="none"/>
              </w:rPr>
              <w:t>目标</w:t>
            </w:r>
            <w:r>
              <w:rPr>
                <w:rFonts w:hint="default" w:ascii="Times New Roman" w:hAnsi="Times New Roman" w:eastAsia="黑体" w:cs="Times New Roman"/>
                <w:b w:val="0"/>
                <w:bCs/>
                <w:color w:val="auto"/>
                <w:sz w:val="24"/>
                <w:szCs w:val="24"/>
                <w:highlight w:val="none"/>
                <w:lang w:eastAsia="zh-CN"/>
              </w:rPr>
              <w:t>一览</w:t>
            </w:r>
            <w:r>
              <w:rPr>
                <w:rFonts w:hint="default" w:ascii="Times New Roman" w:hAnsi="Times New Roman" w:eastAsia="黑体" w:cs="Times New Roman"/>
                <w:b w:val="0"/>
                <w:bCs/>
                <w:color w:val="auto"/>
                <w:sz w:val="24"/>
                <w:szCs w:val="24"/>
                <w:highlight w:val="none"/>
              </w:rPr>
              <w:t>表</w:t>
            </w:r>
          </w:p>
          <w:tbl>
            <w:tblPr>
              <w:tblStyle w:val="24"/>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01"/>
              <w:gridCol w:w="1464"/>
              <w:gridCol w:w="1061"/>
              <w:gridCol w:w="1600"/>
              <w:gridCol w:w="2438"/>
            </w:tblGrid>
            <w:tr w14:paraId="3531E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tblHeader/>
              </w:trPr>
              <w:tc>
                <w:tcPr>
                  <w:tcW w:w="773" w:type="pct"/>
                  <w:tcBorders>
                    <w:bottom w:val="single" w:color="auto" w:sz="12" w:space="0"/>
                  </w:tcBorders>
                  <w:noWrap w:val="0"/>
                  <w:vAlign w:val="center"/>
                </w:tcPr>
                <w:p w14:paraId="34ED4E3A">
                  <w:pPr>
                    <w:pStyle w:val="56"/>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eastAsia="zh-CN"/>
                    </w:rPr>
                    <w:t>保护类别</w:t>
                  </w:r>
                </w:p>
              </w:tc>
              <w:tc>
                <w:tcPr>
                  <w:tcW w:w="942" w:type="pct"/>
                  <w:tcBorders>
                    <w:bottom w:val="single" w:color="auto" w:sz="12" w:space="0"/>
                  </w:tcBorders>
                  <w:noWrap w:val="0"/>
                  <w:vAlign w:val="center"/>
                </w:tcPr>
                <w:p w14:paraId="3A8F5E8F">
                  <w:pPr>
                    <w:pStyle w:val="56"/>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环境保护目标</w:t>
                  </w:r>
                </w:p>
              </w:tc>
              <w:tc>
                <w:tcPr>
                  <w:tcW w:w="683" w:type="pct"/>
                  <w:tcBorders>
                    <w:bottom w:val="single" w:color="auto" w:sz="12" w:space="0"/>
                  </w:tcBorders>
                  <w:noWrap w:val="0"/>
                  <w:vAlign w:val="center"/>
                </w:tcPr>
                <w:p w14:paraId="6C60B107">
                  <w:pPr>
                    <w:pStyle w:val="56"/>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eastAsia="zh-CN"/>
                    </w:rPr>
                    <w:t>相对位置</w:t>
                  </w:r>
                </w:p>
              </w:tc>
              <w:tc>
                <w:tcPr>
                  <w:tcW w:w="1030" w:type="pct"/>
                  <w:tcBorders>
                    <w:bottom w:val="single" w:color="auto" w:sz="12" w:space="0"/>
                  </w:tcBorders>
                  <w:noWrap w:val="0"/>
                  <w:vAlign w:val="center"/>
                </w:tcPr>
                <w:p w14:paraId="6AD4C1F7">
                  <w:pPr>
                    <w:pStyle w:val="56"/>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eastAsia="zh-CN"/>
                    </w:rPr>
                    <w:t>相对</w:t>
                  </w:r>
                  <w:r>
                    <w:rPr>
                      <w:rFonts w:hint="default" w:ascii="Times New Roman" w:hAnsi="Times New Roman" w:cs="Times New Roman"/>
                      <w:b/>
                      <w:bCs/>
                      <w:color w:val="auto"/>
                      <w:sz w:val="21"/>
                      <w:szCs w:val="21"/>
                      <w:highlight w:val="none"/>
                    </w:rPr>
                    <w:t>距离（m）</w:t>
                  </w:r>
                </w:p>
              </w:tc>
              <w:tc>
                <w:tcPr>
                  <w:tcW w:w="1569" w:type="pct"/>
                  <w:tcBorders>
                    <w:bottom w:val="single" w:color="auto" w:sz="12" w:space="0"/>
                  </w:tcBorders>
                  <w:noWrap w:val="0"/>
                  <w:vAlign w:val="center"/>
                </w:tcPr>
                <w:p w14:paraId="1E5229D0">
                  <w:pPr>
                    <w:pStyle w:val="56"/>
                    <w:bidi w:val="0"/>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保护级别</w:t>
                  </w:r>
                </w:p>
              </w:tc>
            </w:tr>
            <w:tr w14:paraId="74660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trPr>
              <w:tc>
                <w:tcPr>
                  <w:tcW w:w="773" w:type="pct"/>
                  <w:tcBorders>
                    <w:top w:val="single" w:color="auto" w:sz="12" w:space="0"/>
                    <w:bottom w:val="single" w:color="auto" w:sz="12" w:space="0"/>
                    <w:tl2br w:val="nil"/>
                    <w:tr2bl w:val="nil"/>
                  </w:tcBorders>
                  <w:noWrap w:val="0"/>
                  <w:vAlign w:val="center"/>
                </w:tcPr>
                <w:p w14:paraId="5182E7C2">
                  <w:pPr>
                    <w:pStyle w:val="56"/>
                    <w:bidi w:val="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大气环境保护目标</w:t>
                  </w:r>
                </w:p>
              </w:tc>
              <w:tc>
                <w:tcPr>
                  <w:tcW w:w="942" w:type="pct"/>
                  <w:tcBorders>
                    <w:top w:val="single" w:color="auto" w:sz="12" w:space="0"/>
                    <w:bottom w:val="single" w:color="auto" w:sz="12" w:space="0"/>
                    <w:tl2br w:val="nil"/>
                    <w:tr2bl w:val="nil"/>
                  </w:tcBorders>
                  <w:noWrap w:val="0"/>
                  <w:vAlign w:val="center"/>
                </w:tcPr>
                <w:p w14:paraId="657E055F">
                  <w:pPr>
                    <w:autoSpaceDE w:val="0"/>
                    <w:autoSpaceDN w:val="0"/>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六工镇</w:t>
                  </w:r>
                </w:p>
              </w:tc>
              <w:tc>
                <w:tcPr>
                  <w:tcW w:w="683" w:type="pct"/>
                  <w:tcBorders>
                    <w:top w:val="single" w:color="auto" w:sz="12" w:space="0"/>
                    <w:bottom w:val="single" w:color="auto" w:sz="12" w:space="0"/>
                    <w:tl2br w:val="nil"/>
                    <w:tr2bl w:val="nil"/>
                  </w:tcBorders>
                  <w:noWrap w:val="0"/>
                  <w:vAlign w:val="center"/>
                </w:tcPr>
                <w:p w14:paraId="4851905C">
                  <w:pPr>
                    <w:pStyle w:val="56"/>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西北侧</w:t>
                  </w:r>
                </w:p>
              </w:tc>
              <w:tc>
                <w:tcPr>
                  <w:tcW w:w="1030" w:type="pct"/>
                  <w:tcBorders>
                    <w:top w:val="single" w:color="auto" w:sz="12" w:space="0"/>
                    <w:bottom w:val="single" w:color="auto" w:sz="12" w:space="0"/>
                    <w:tl2br w:val="nil"/>
                    <w:tr2bl w:val="nil"/>
                  </w:tcBorders>
                  <w:noWrap w:val="0"/>
                  <w:vAlign w:val="center"/>
                </w:tcPr>
                <w:p w14:paraId="791231A2">
                  <w:pPr>
                    <w:pStyle w:val="56"/>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257</w:t>
                  </w:r>
                </w:p>
              </w:tc>
              <w:tc>
                <w:tcPr>
                  <w:tcW w:w="1569" w:type="pct"/>
                  <w:tcBorders>
                    <w:top w:val="single" w:color="auto" w:sz="12" w:space="0"/>
                    <w:bottom w:val="single" w:color="auto" w:sz="12" w:space="0"/>
                    <w:tl2br w:val="nil"/>
                    <w:tr2bl w:val="nil"/>
                  </w:tcBorders>
                  <w:noWrap w:val="0"/>
                  <w:vAlign w:val="center"/>
                </w:tcPr>
                <w:p w14:paraId="43A952AA">
                  <w:pPr>
                    <w:pStyle w:val="56"/>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《声环境质量标准》(GB 3096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2008)中</w:t>
                  </w:r>
                  <w:r>
                    <w:rPr>
                      <w:rFonts w:hint="default" w:ascii="Times New Roman" w:hAnsi="Times New Roman" w:cs="Times New Roman"/>
                      <w:color w:val="auto"/>
                      <w:sz w:val="21"/>
                      <w:szCs w:val="21"/>
                      <w:highlight w:val="none"/>
                      <w:lang w:val="en-US" w:eastAsia="zh-CN"/>
                    </w:rPr>
                    <w:t>1类、2</w:t>
                  </w:r>
                  <w:r>
                    <w:rPr>
                      <w:rFonts w:hint="default" w:ascii="Times New Roman" w:hAnsi="Times New Roman" w:cs="Times New Roman"/>
                      <w:color w:val="auto"/>
                      <w:sz w:val="21"/>
                      <w:szCs w:val="21"/>
                      <w:highlight w:val="none"/>
                    </w:rPr>
                    <w:t>类</w:t>
                  </w:r>
                  <w:r>
                    <w:rPr>
                      <w:rFonts w:hint="default" w:ascii="Times New Roman" w:hAnsi="Times New Roman" w:cs="Times New Roman"/>
                      <w:color w:val="auto"/>
                      <w:sz w:val="21"/>
                      <w:szCs w:val="21"/>
                      <w:highlight w:val="none"/>
                      <w:lang w:eastAsia="zh-CN"/>
                    </w:rPr>
                    <w:t>；</w:t>
                  </w:r>
                </w:p>
                <w:p w14:paraId="606F8C4A">
                  <w:pPr>
                    <w:pStyle w:val="56"/>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《环境空气质量标准》（GB3095-</w:t>
                  </w:r>
                  <w:r>
                    <w:rPr>
                      <w:rFonts w:hint="default" w:ascii="Times New Roman" w:hAnsi="Times New Roman" w:cs="Times New Roman"/>
                      <w:color w:val="auto"/>
                      <w:sz w:val="21"/>
                      <w:szCs w:val="21"/>
                      <w:highlight w:val="none"/>
                      <w:lang w:val="en-US" w:eastAsia="zh-CN"/>
                    </w:rPr>
                    <w:t>2012</w:t>
                  </w:r>
                  <w:r>
                    <w:rPr>
                      <w:rFonts w:hint="default" w:ascii="Times New Roman" w:hAnsi="Times New Roman" w:cs="Times New Roman"/>
                      <w:color w:val="auto"/>
                      <w:sz w:val="21"/>
                      <w:szCs w:val="21"/>
                      <w:highlight w:val="none"/>
                    </w:rPr>
                    <w:t>）二级标准</w:t>
                  </w:r>
                </w:p>
              </w:tc>
            </w:tr>
          </w:tbl>
          <w:p w14:paraId="66BE9426">
            <w:pPr>
              <w:pStyle w:val="6"/>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602" w:firstLineChars="200"/>
              <w:textAlignment w:val="auto"/>
              <w:rPr>
                <w:rFonts w:hint="default" w:ascii="Times New Roman" w:hAnsi="Times New Roman" w:cs="Times New Roman"/>
                <w:color w:val="auto"/>
                <w:kern w:val="0"/>
                <w:szCs w:val="21"/>
                <w:highlight w:val="none"/>
              </w:rPr>
            </w:pPr>
          </w:p>
        </w:tc>
      </w:tr>
      <w:tr w14:paraId="1CD6E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28CD506C">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污染</w:t>
            </w:r>
          </w:p>
          <w:p w14:paraId="7B1D0829">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物排</w:t>
            </w:r>
          </w:p>
          <w:p w14:paraId="066CDA4D">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放控</w:t>
            </w:r>
          </w:p>
          <w:p w14:paraId="2499CEB5">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制标</w:t>
            </w:r>
          </w:p>
          <w:p w14:paraId="2C79DD31">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准</w:t>
            </w:r>
          </w:p>
        </w:tc>
        <w:tc>
          <w:tcPr>
            <w:tcW w:w="8190" w:type="dxa"/>
            <w:tcBorders>
              <w:tl2br w:val="nil"/>
              <w:tr2bl w:val="nil"/>
            </w:tcBorders>
            <w:noWrap w:val="0"/>
            <w:vAlign w:val="center"/>
          </w:tcPr>
          <w:p w14:paraId="35C72EEE">
            <w:pPr>
              <w:adjustRightInd w:val="0"/>
              <w:snapToGrid w:val="0"/>
              <w:spacing w:line="360" w:lineRule="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1.废气</w:t>
            </w:r>
            <w:r>
              <w:rPr>
                <w:rFonts w:hint="default" w:ascii="Times New Roman" w:hAnsi="Times New Roman" w:eastAsia="宋体" w:cs="Times New Roman"/>
                <w:b/>
                <w:bCs/>
                <w:color w:val="auto"/>
                <w:kern w:val="0"/>
                <w:sz w:val="24"/>
                <w:szCs w:val="24"/>
                <w:highlight w:val="none"/>
                <w:lang w:val="en-US" w:eastAsia="zh-CN"/>
              </w:rPr>
              <w:t>污染物排放标准</w:t>
            </w:r>
          </w:p>
          <w:p w14:paraId="7822861B">
            <w:pPr>
              <w:adjustRightInd w:val="0"/>
              <w:snapToGrid w:val="0"/>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bCs/>
                <w:color w:val="auto"/>
                <w:sz w:val="24"/>
                <w:szCs w:val="24"/>
                <w:highlight w:val="none"/>
                <w:lang w:val="en-US" w:eastAsia="zh-CN"/>
              </w:rPr>
              <w:t>非甲烷总烃执行</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Cs/>
                <w:color w:val="auto"/>
                <w:sz w:val="24"/>
                <w:szCs w:val="24"/>
                <w:highlight w:val="none"/>
                <w:lang w:val="en-US" w:eastAsia="zh-CN"/>
              </w:rPr>
              <w:t>合成树脂工业污染物排放标准</w:t>
            </w:r>
            <w:r>
              <w:rPr>
                <w:rFonts w:hint="default" w:ascii="Times New Roman" w:hAnsi="Times New Roman" w:eastAsia="宋体" w:cs="Times New Roman"/>
                <w:bCs/>
                <w:color w:val="auto"/>
                <w:sz w:val="24"/>
                <w:szCs w:val="24"/>
                <w:highlight w:val="none"/>
              </w:rPr>
              <w:t>》（GB</w:t>
            </w:r>
            <w:r>
              <w:rPr>
                <w:rFonts w:hint="default" w:ascii="Times New Roman" w:hAnsi="Times New Roman" w:eastAsia="宋体" w:cs="Times New Roman"/>
                <w:bCs/>
                <w:color w:val="auto"/>
                <w:sz w:val="24"/>
                <w:szCs w:val="24"/>
                <w:highlight w:val="none"/>
                <w:lang w:val="en-US" w:eastAsia="zh-CN"/>
              </w:rPr>
              <w:t>31572-2015</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Cs/>
                <w:color w:val="auto"/>
                <w:sz w:val="24"/>
                <w:szCs w:val="24"/>
                <w:highlight w:val="none"/>
                <w:lang w:val="en-US" w:eastAsia="zh-CN"/>
              </w:rPr>
              <w:t>表5特别排放限值（20mg/m</w:t>
            </w:r>
            <w:r>
              <w:rPr>
                <w:rFonts w:hint="default" w:ascii="Times New Roman" w:hAnsi="Times New Roman" w:eastAsia="宋体" w:cs="Times New Roman"/>
                <w:bCs/>
                <w:color w:val="auto"/>
                <w:sz w:val="24"/>
                <w:szCs w:val="24"/>
                <w:highlight w:val="none"/>
                <w:vertAlign w:val="superscript"/>
                <w:lang w:val="en-US" w:eastAsia="zh-CN"/>
              </w:rPr>
              <w:t>3</w:t>
            </w:r>
            <w:r>
              <w:rPr>
                <w:rFonts w:hint="default" w:ascii="Times New Roman" w:hAnsi="Times New Roman" w:eastAsia="宋体" w:cs="Times New Roman"/>
                <w:bCs/>
                <w:color w:val="auto"/>
                <w:sz w:val="24"/>
                <w:szCs w:val="24"/>
                <w:highlight w:val="none"/>
                <w:lang w:val="en-US" w:eastAsia="zh-CN"/>
              </w:rPr>
              <w:t>）及表9无组织排放限值（1.0mg/m</w:t>
            </w:r>
            <w:r>
              <w:rPr>
                <w:rFonts w:hint="default" w:ascii="Times New Roman" w:hAnsi="Times New Roman" w:eastAsia="宋体" w:cs="Times New Roman"/>
                <w:bCs/>
                <w:color w:val="auto"/>
                <w:sz w:val="24"/>
                <w:szCs w:val="24"/>
                <w:highlight w:val="none"/>
                <w:vertAlign w:val="superscript"/>
                <w:lang w:val="en-US" w:eastAsia="zh-CN"/>
              </w:rPr>
              <w:t>3</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rPr>
              <w:t>；</w:t>
            </w:r>
          </w:p>
          <w:p w14:paraId="26DB7DD6">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《挥发性有机物无组织排放控制标准》（GB37822-2019）中库房外</w:t>
            </w:r>
            <w:r>
              <w:rPr>
                <w:rFonts w:hint="default" w:ascii="Times New Roman" w:hAnsi="Times New Roman" w:cs="Times New Roman"/>
                <w:color w:val="auto"/>
                <w:sz w:val="24"/>
                <w:szCs w:val="24"/>
                <w:highlight w:val="none"/>
                <w:lang w:val="en-US" w:eastAsia="zh-CN"/>
              </w:rPr>
              <w:t>VOCs（以非甲烷总烃计）</w:t>
            </w:r>
            <w:r>
              <w:rPr>
                <w:rFonts w:hint="default" w:ascii="Times New Roman" w:hAnsi="Times New Roman" w:eastAsia="宋体" w:cs="Times New Roman"/>
                <w:color w:val="auto"/>
                <w:sz w:val="24"/>
                <w:szCs w:val="24"/>
                <w:highlight w:val="none"/>
                <w:lang w:val="en-US" w:eastAsia="zh-CN"/>
              </w:rPr>
              <w:t>无组织排放限值监控点处1h平均浓度值6mg/m³的要求。</w:t>
            </w:r>
          </w:p>
          <w:p w14:paraId="73593FB8">
            <w:pPr>
              <w:pStyle w:val="36"/>
              <w:bidi w:val="0"/>
              <w:spacing w:line="240" w:lineRule="auto"/>
              <w:rPr>
                <w:rFonts w:hint="default" w:ascii="Times New Roman" w:hAnsi="Times New Roman" w:eastAsia="黑体" w:cs="Times New Roman"/>
                <w:b w:val="0"/>
                <w:bCs/>
                <w:snapToGrid w:val="0"/>
                <w:color w:val="auto"/>
                <w:kern w:val="0"/>
                <w:sz w:val="24"/>
                <w:szCs w:val="24"/>
                <w:highlight w:val="none"/>
              </w:rPr>
            </w:pPr>
            <w:r>
              <w:rPr>
                <w:rFonts w:hint="default" w:ascii="Times New Roman" w:hAnsi="Times New Roman" w:eastAsia="黑体" w:cs="Times New Roman"/>
                <w:b w:val="0"/>
                <w:bCs/>
                <w:snapToGrid w:val="0"/>
                <w:color w:val="auto"/>
                <w:kern w:val="0"/>
                <w:sz w:val="24"/>
                <w:szCs w:val="24"/>
                <w:highlight w:val="none"/>
              </w:rPr>
              <w:t>表</w:t>
            </w:r>
            <w:r>
              <w:rPr>
                <w:rFonts w:hint="default" w:ascii="Times New Roman" w:hAnsi="Times New Roman" w:eastAsia="黑体" w:cs="Times New Roman"/>
                <w:b w:val="0"/>
                <w:bCs/>
                <w:snapToGrid w:val="0"/>
                <w:color w:val="auto"/>
                <w:kern w:val="0"/>
                <w:sz w:val="24"/>
                <w:szCs w:val="24"/>
                <w:highlight w:val="none"/>
                <w:lang w:val="en-US" w:eastAsia="zh-CN"/>
              </w:rPr>
              <w:t>3-3</w:t>
            </w:r>
            <w:r>
              <w:rPr>
                <w:rFonts w:hint="default" w:ascii="Times New Roman" w:hAnsi="Times New Roman" w:eastAsia="黑体" w:cs="Times New Roman"/>
                <w:b w:val="0"/>
                <w:bCs/>
                <w:color w:val="auto"/>
                <w:sz w:val="24"/>
                <w:szCs w:val="36"/>
                <w:highlight w:val="none"/>
                <w:lang w:val="en-US" w:eastAsia="zh-CN"/>
              </w:rPr>
              <w:t>大气污染物排放限值标准</w:t>
            </w:r>
          </w:p>
          <w:tbl>
            <w:tblPr>
              <w:tblStyle w:val="2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1167"/>
              <w:gridCol w:w="4301"/>
              <w:gridCol w:w="1192"/>
            </w:tblGrid>
            <w:tr w14:paraId="515D35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2" w:type="dxa"/>
                  <w:tcBorders>
                    <w:bottom w:val="single" w:color="auto" w:sz="12" w:space="0"/>
                  </w:tcBorders>
                  <w:noWrap w:val="0"/>
                  <w:vAlign w:val="center"/>
                </w:tcPr>
                <w:p w14:paraId="309309C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污染物</w:t>
                  </w:r>
                </w:p>
              </w:tc>
              <w:tc>
                <w:tcPr>
                  <w:tcW w:w="1123" w:type="dxa"/>
                  <w:tcBorders>
                    <w:bottom w:val="single" w:color="auto" w:sz="12" w:space="0"/>
                  </w:tcBorders>
                  <w:noWrap w:val="0"/>
                  <w:vAlign w:val="center"/>
                </w:tcPr>
                <w:p w14:paraId="7FECF2A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排放形式</w:t>
                  </w:r>
                </w:p>
              </w:tc>
              <w:tc>
                <w:tcPr>
                  <w:tcW w:w="4137" w:type="dxa"/>
                  <w:tcBorders>
                    <w:bottom w:val="single" w:color="auto" w:sz="12" w:space="0"/>
                  </w:tcBorders>
                  <w:noWrap w:val="0"/>
                  <w:vAlign w:val="center"/>
                </w:tcPr>
                <w:p w14:paraId="3036D4F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标准</w:t>
                  </w:r>
                </w:p>
              </w:tc>
              <w:tc>
                <w:tcPr>
                  <w:tcW w:w="1146" w:type="dxa"/>
                  <w:tcBorders>
                    <w:bottom w:val="single" w:color="auto" w:sz="12" w:space="0"/>
                  </w:tcBorders>
                  <w:noWrap w:val="0"/>
                  <w:vAlign w:val="center"/>
                </w:tcPr>
                <w:p w14:paraId="1E051D0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限值</w:t>
                  </w:r>
                </w:p>
              </w:tc>
            </w:tr>
            <w:tr w14:paraId="3EEF88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2" w:type="dxa"/>
                  <w:vMerge w:val="restart"/>
                  <w:tcBorders>
                    <w:top w:val="single" w:color="auto" w:sz="12" w:space="0"/>
                    <w:tl2br w:val="nil"/>
                    <w:tr2bl w:val="nil"/>
                  </w:tcBorders>
                  <w:noWrap w:val="0"/>
                  <w:vAlign w:val="center"/>
                </w:tcPr>
                <w:p w14:paraId="02930E22">
                  <w:pPr>
                    <w:pStyle w:val="37"/>
                    <w:keepNext w:val="0"/>
                    <w:keepLines w:val="0"/>
                    <w:pageBreakBefore w:val="0"/>
                    <w:widowControl w:val="0"/>
                    <w:kinsoku/>
                    <w:wordWrap/>
                    <w:overflowPunct/>
                    <w:topLinePunct w:val="0"/>
                    <w:autoSpaceDE/>
                    <w:autoSpaceDN/>
                    <w:bidi w:val="0"/>
                    <w:spacing w:beforeLines="0" w:afterLines="0"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1123" w:type="dxa"/>
                  <w:tcBorders>
                    <w:top w:val="single" w:color="auto" w:sz="12" w:space="0"/>
                    <w:tl2br w:val="nil"/>
                    <w:tr2bl w:val="nil"/>
                  </w:tcBorders>
                  <w:noWrap w:val="0"/>
                  <w:vAlign w:val="center"/>
                </w:tcPr>
                <w:p w14:paraId="7568190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4137" w:type="dxa"/>
                  <w:tcBorders>
                    <w:top w:val="single" w:color="auto" w:sz="12" w:space="0"/>
                    <w:tl2br w:val="nil"/>
                    <w:tr2bl w:val="nil"/>
                  </w:tcBorders>
                  <w:noWrap w:val="0"/>
                  <w:vAlign w:val="center"/>
                </w:tcPr>
                <w:p w14:paraId="3C8AA415">
                  <w:pPr>
                    <w:keepNext w:val="0"/>
                    <w:keepLines w:val="0"/>
                    <w:pageBreakBefore w:val="0"/>
                    <w:widowControl w:val="0"/>
                    <w:numPr>
                      <w:ilvl w:val="0"/>
                      <w:numId w:val="0"/>
                    </w:numPr>
                    <w:kinsoku/>
                    <w:wordWrap/>
                    <w:overflowPunct/>
                    <w:topLinePunct w:val="0"/>
                    <w:autoSpaceDE/>
                    <w:autoSpaceDN/>
                    <w:bidi w:val="0"/>
                    <w:spacing w:line="240" w:lineRule="auto"/>
                    <w:ind w:lef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《合成树脂工业污染物排放标准》（GB31572-2015）表5大气污染物特别排放限值</w:t>
                  </w:r>
                </w:p>
              </w:tc>
              <w:tc>
                <w:tcPr>
                  <w:tcW w:w="1146" w:type="dxa"/>
                  <w:tcBorders>
                    <w:top w:val="single" w:color="auto" w:sz="12" w:space="0"/>
                    <w:tl2br w:val="nil"/>
                    <w:tr2bl w:val="nil"/>
                  </w:tcBorders>
                  <w:noWrap w:val="0"/>
                  <w:vAlign w:val="center"/>
                </w:tcPr>
                <w:p w14:paraId="4E17351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r>
            <w:tr w14:paraId="0518B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2" w:type="dxa"/>
                  <w:vMerge w:val="continue"/>
                  <w:tcBorders>
                    <w:tl2br w:val="nil"/>
                    <w:tr2bl w:val="nil"/>
                  </w:tcBorders>
                  <w:noWrap w:val="0"/>
                  <w:vAlign w:val="center"/>
                </w:tcPr>
                <w:p w14:paraId="1F35192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123" w:type="dxa"/>
                  <w:vMerge w:val="restart"/>
                  <w:tcBorders>
                    <w:tl2br w:val="nil"/>
                    <w:tr2bl w:val="nil"/>
                  </w:tcBorders>
                  <w:noWrap w:val="0"/>
                  <w:vAlign w:val="center"/>
                </w:tcPr>
                <w:p w14:paraId="1DEB928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4137" w:type="dxa"/>
                  <w:tcBorders>
                    <w:tl2br w:val="nil"/>
                    <w:tr2bl w:val="nil"/>
                  </w:tcBorders>
                  <w:noWrap w:val="0"/>
                  <w:vAlign w:val="center"/>
                </w:tcPr>
                <w:p w14:paraId="438C291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《合成树脂工业污染物排放标准》（GB31572-2015）表</w:t>
                  </w:r>
                  <w:r>
                    <w:rPr>
                      <w:rFonts w:hint="default" w:ascii="Times New Roman" w:hAnsi="Times New Roman" w:cs="Times New Roman"/>
                      <w:b w:val="0"/>
                      <w:bCs w:val="0"/>
                      <w:color w:val="auto"/>
                      <w:sz w:val="21"/>
                      <w:szCs w:val="21"/>
                      <w:highlight w:val="none"/>
                      <w:lang w:val="en-US" w:eastAsia="zh-CN"/>
                    </w:rPr>
                    <w:t>9无组织排放限值</w:t>
                  </w:r>
                </w:p>
              </w:tc>
              <w:tc>
                <w:tcPr>
                  <w:tcW w:w="1146" w:type="dxa"/>
                  <w:tcBorders>
                    <w:tl2br w:val="nil"/>
                    <w:tr2bl w:val="nil"/>
                  </w:tcBorders>
                  <w:noWrap w:val="0"/>
                  <w:vAlign w:val="center"/>
                </w:tcPr>
                <w:p w14:paraId="7ACDA19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4.0m</w:t>
                  </w:r>
                  <w:r>
                    <w:rPr>
                      <w:rFonts w:hint="default" w:ascii="Times New Roman" w:hAnsi="Times New Roman" w:eastAsia="宋体" w:cs="Times New Roman"/>
                      <w:b w:val="0"/>
                      <w:bCs/>
                      <w:color w:val="auto"/>
                      <w:sz w:val="21"/>
                      <w:szCs w:val="21"/>
                      <w:highlight w:val="none"/>
                    </w:rPr>
                    <w:t>g/m</w:t>
                  </w:r>
                  <w:r>
                    <w:rPr>
                      <w:rFonts w:hint="default" w:ascii="Times New Roman" w:hAnsi="Times New Roman" w:eastAsia="宋体" w:cs="Times New Roman"/>
                      <w:b w:val="0"/>
                      <w:bCs/>
                      <w:color w:val="auto"/>
                      <w:sz w:val="21"/>
                      <w:szCs w:val="21"/>
                      <w:highlight w:val="none"/>
                      <w:vertAlign w:val="superscript"/>
                      <w:lang w:val="en-US" w:eastAsia="zh-CN"/>
                    </w:rPr>
                    <w:t>3</w:t>
                  </w:r>
                </w:p>
              </w:tc>
            </w:tr>
            <w:tr w14:paraId="58DA8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2" w:type="dxa"/>
                  <w:vMerge w:val="continue"/>
                  <w:tcBorders>
                    <w:tl2br w:val="nil"/>
                    <w:tr2bl w:val="nil"/>
                  </w:tcBorders>
                  <w:noWrap w:val="0"/>
                  <w:vAlign w:val="center"/>
                </w:tcPr>
                <w:p w14:paraId="0FE60035">
                  <w:pPr>
                    <w:pStyle w:val="37"/>
                    <w:keepNext w:val="0"/>
                    <w:keepLines w:val="0"/>
                    <w:pageBreakBefore w:val="0"/>
                    <w:widowControl w:val="0"/>
                    <w:kinsoku/>
                    <w:wordWrap/>
                    <w:overflowPunct/>
                    <w:topLinePunct w:val="0"/>
                    <w:autoSpaceDE/>
                    <w:autoSpaceDN/>
                    <w:bidi w:val="0"/>
                    <w:spacing w:beforeLines="0" w:afterLines="0" w:line="240" w:lineRule="auto"/>
                    <w:ind w:lef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123" w:type="dxa"/>
                  <w:vMerge w:val="continue"/>
                  <w:tcBorders>
                    <w:tl2br w:val="nil"/>
                    <w:tr2bl w:val="nil"/>
                  </w:tcBorders>
                  <w:noWrap w:val="0"/>
                  <w:vAlign w:val="center"/>
                </w:tcPr>
                <w:p w14:paraId="7960A76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137" w:type="dxa"/>
                  <w:tcBorders>
                    <w:tl2br w:val="nil"/>
                    <w:tr2bl w:val="nil"/>
                  </w:tcBorders>
                  <w:noWrap w:val="0"/>
                  <w:vAlign w:val="center"/>
                </w:tcPr>
                <w:p w14:paraId="55BC504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《挥发性有机物无组织排放控制标准》（GB37822-2019）中库房外</w:t>
                  </w:r>
                  <w:r>
                    <w:rPr>
                      <w:rFonts w:hint="default" w:ascii="Times New Roman" w:hAnsi="Times New Roman" w:cs="Times New Roman"/>
                      <w:color w:val="auto"/>
                      <w:sz w:val="21"/>
                      <w:szCs w:val="21"/>
                      <w:highlight w:val="none"/>
                      <w:lang w:val="en-US" w:eastAsia="zh-CN"/>
                    </w:rPr>
                    <w:t>VOCs（以非甲烷总烃计）</w:t>
                  </w:r>
                  <w:r>
                    <w:rPr>
                      <w:rFonts w:hint="default" w:ascii="Times New Roman" w:hAnsi="Times New Roman" w:eastAsia="宋体" w:cs="Times New Roman"/>
                      <w:color w:val="auto"/>
                      <w:sz w:val="21"/>
                      <w:szCs w:val="21"/>
                      <w:highlight w:val="none"/>
                      <w:lang w:val="en-US" w:eastAsia="zh-CN"/>
                    </w:rPr>
                    <w:t>无组织排放限值监控点处1h平均浓度值6mg/m³的要求。</w:t>
                  </w:r>
                </w:p>
              </w:tc>
              <w:tc>
                <w:tcPr>
                  <w:tcW w:w="1146" w:type="dxa"/>
                  <w:tcBorders>
                    <w:tl2br w:val="nil"/>
                    <w:tr2bl w:val="nil"/>
                  </w:tcBorders>
                  <w:noWrap w:val="0"/>
                  <w:vAlign w:val="center"/>
                </w:tcPr>
                <w:p w14:paraId="7540340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6mg/m³</w:t>
                  </w:r>
                </w:p>
              </w:tc>
            </w:tr>
          </w:tbl>
          <w:p w14:paraId="1A315598">
            <w:pPr>
              <w:numPr>
                <w:ilvl w:val="0"/>
                <w:numId w:val="0"/>
              </w:numPr>
              <w:wordWrap w:val="0"/>
              <w:adjustRightInd w:val="0"/>
              <w:snapToGrid w:val="0"/>
              <w:spacing w:line="360" w:lineRule="auto"/>
              <w:jc w:val="both"/>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kern w:val="0"/>
                <w:sz w:val="24"/>
                <w:szCs w:val="24"/>
                <w:highlight w:val="none"/>
                <w:lang w:val="en-US" w:eastAsia="zh-CN"/>
              </w:rPr>
              <w:t>水污染物排放标准</w:t>
            </w:r>
          </w:p>
          <w:p w14:paraId="19C6FC99">
            <w:pPr>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本项目生产用水循环使用不外排；生活污水执行《污水排入城镇下水道</w:t>
            </w:r>
            <w:r>
              <w:rPr>
                <w:rFonts w:hint="default" w:ascii="Times New Roman" w:hAnsi="Times New Roman" w:eastAsia="宋体" w:cs="Times New Roman"/>
                <w:color w:val="auto"/>
                <w:spacing w:val="10"/>
                <w:sz w:val="24"/>
                <w:szCs w:val="24"/>
                <w:highlight w:val="none"/>
              </w:rPr>
              <w:t xml:space="preserve"> </w:t>
            </w:r>
            <w:r>
              <w:rPr>
                <w:rFonts w:hint="default" w:ascii="Times New Roman" w:hAnsi="Times New Roman" w:eastAsia="宋体" w:cs="Times New Roman"/>
                <w:color w:val="auto"/>
                <w:spacing w:val="-1"/>
                <w:sz w:val="24"/>
                <w:szCs w:val="24"/>
                <w:highlight w:val="none"/>
              </w:rPr>
              <w:t>水质标准》（</w:t>
            </w:r>
            <w:r>
              <w:rPr>
                <w:rFonts w:hint="default" w:ascii="Times New Roman" w:hAnsi="Times New Roman" w:eastAsia="Times New Roman" w:cs="Times New Roman"/>
                <w:color w:val="auto"/>
                <w:spacing w:val="-1"/>
                <w:sz w:val="24"/>
                <w:szCs w:val="24"/>
                <w:highlight w:val="none"/>
              </w:rPr>
              <w:t>GB/T31962-2015</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 xml:space="preserve">B </w:t>
            </w:r>
            <w:r>
              <w:rPr>
                <w:rFonts w:hint="default" w:ascii="Times New Roman" w:hAnsi="Times New Roman" w:eastAsia="宋体" w:cs="Times New Roman"/>
                <w:color w:val="auto"/>
                <w:spacing w:val="-1"/>
                <w:sz w:val="24"/>
                <w:szCs w:val="24"/>
                <w:highlight w:val="none"/>
              </w:rPr>
              <w:t>级标准限值。</w:t>
            </w:r>
          </w:p>
          <w:p w14:paraId="69EA095A">
            <w:pPr>
              <w:pStyle w:val="36"/>
              <w:bidi w:val="0"/>
              <w:spacing w:line="240" w:lineRule="auto"/>
              <w:rPr>
                <w:rFonts w:hint="default" w:ascii="Times New Roman" w:hAnsi="Times New Roman" w:eastAsia="黑体" w:cs="Times New Roman"/>
                <w:b w:val="0"/>
                <w:bCs/>
                <w:color w:val="auto"/>
                <w:sz w:val="21"/>
                <w:szCs w:val="28"/>
                <w:highlight w:val="none"/>
              </w:rPr>
            </w:pPr>
            <w:r>
              <w:rPr>
                <w:rFonts w:hint="default" w:ascii="Times New Roman" w:hAnsi="Times New Roman" w:eastAsia="黑体" w:cs="Times New Roman"/>
                <w:b w:val="0"/>
                <w:bCs/>
                <w:color w:val="auto"/>
                <w:sz w:val="21"/>
                <w:szCs w:val="28"/>
                <w:highlight w:val="none"/>
                <w:lang w:val="en-US" w:eastAsia="zh-CN"/>
              </w:rPr>
              <w:t>表3-4水污染物排放限值标准</w:t>
            </w:r>
          </w:p>
          <w:tbl>
            <w:tblPr>
              <w:tblStyle w:val="54"/>
              <w:tblW w:w="495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562"/>
              <w:gridCol w:w="1232"/>
              <w:gridCol w:w="3027"/>
              <w:gridCol w:w="1876"/>
            </w:tblGrid>
            <w:tr w14:paraId="765B82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20" w:type="dxa"/>
                  <w:tcBorders>
                    <w:bottom w:val="single" w:color="000000" w:sz="12" w:space="0"/>
                  </w:tcBorders>
                  <w:vAlign w:val="center"/>
                </w:tcPr>
                <w:p w14:paraId="7EAE6E4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废水类别</w:t>
                  </w:r>
                </w:p>
              </w:tc>
              <w:tc>
                <w:tcPr>
                  <w:tcW w:w="1303" w:type="dxa"/>
                  <w:tcBorders>
                    <w:bottom w:val="single" w:color="000000" w:sz="12" w:space="0"/>
                  </w:tcBorders>
                  <w:vAlign w:val="center"/>
                </w:tcPr>
                <w:p w14:paraId="7495988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污染物</w:t>
                  </w:r>
                </w:p>
              </w:tc>
              <w:tc>
                <w:tcPr>
                  <w:tcW w:w="3147" w:type="dxa"/>
                  <w:tcBorders>
                    <w:bottom w:val="single" w:color="000000" w:sz="12" w:space="0"/>
                  </w:tcBorders>
                  <w:vAlign w:val="center"/>
                </w:tcPr>
                <w:p w14:paraId="1CF19F2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3"/>
                      <w:sz w:val="21"/>
                      <w:szCs w:val="21"/>
                      <w:highlight w:val="none"/>
                    </w:rPr>
                    <w:t>标准</w:t>
                  </w:r>
                </w:p>
              </w:tc>
              <w:tc>
                <w:tcPr>
                  <w:tcW w:w="2059" w:type="dxa"/>
                  <w:tcBorders>
                    <w:bottom w:val="single" w:color="000000" w:sz="12" w:space="0"/>
                  </w:tcBorders>
                  <w:vAlign w:val="center"/>
                </w:tcPr>
                <w:p w14:paraId="088BCB3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4"/>
                      <w:sz w:val="21"/>
                      <w:szCs w:val="21"/>
                      <w:highlight w:val="none"/>
                    </w:rPr>
                    <w:t>限值</w:t>
                  </w:r>
                </w:p>
              </w:tc>
            </w:tr>
            <w:tr w14:paraId="7BE816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20" w:type="dxa"/>
                  <w:vMerge w:val="restart"/>
                  <w:tcBorders>
                    <w:top w:val="single" w:color="000000" w:sz="12" w:space="0"/>
                    <w:tl2br w:val="nil"/>
                    <w:tr2bl w:val="nil"/>
                  </w:tcBorders>
                  <w:vAlign w:val="center"/>
                </w:tcPr>
                <w:p w14:paraId="724D61F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生活污水</w:t>
                  </w:r>
                </w:p>
              </w:tc>
              <w:tc>
                <w:tcPr>
                  <w:tcW w:w="1303" w:type="dxa"/>
                  <w:tcBorders>
                    <w:top w:val="single" w:color="000000" w:sz="12" w:space="0"/>
                    <w:tl2br w:val="nil"/>
                    <w:tr2bl w:val="nil"/>
                  </w:tcBorders>
                  <w:vAlign w:val="center"/>
                </w:tcPr>
                <w:p w14:paraId="76C15BF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CODcr</w:t>
                  </w:r>
                </w:p>
              </w:tc>
              <w:tc>
                <w:tcPr>
                  <w:tcW w:w="3147" w:type="dxa"/>
                  <w:vMerge w:val="restart"/>
                  <w:tcBorders>
                    <w:top w:val="single" w:color="000000" w:sz="12" w:space="0"/>
                    <w:tl2br w:val="nil"/>
                    <w:tr2bl w:val="nil"/>
                  </w:tcBorders>
                  <w:vAlign w:val="center"/>
                </w:tcPr>
                <w:p w14:paraId="209F04D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《污水排入城市下水道水质</w:t>
                  </w:r>
                  <w:r>
                    <w:rPr>
                      <w:rFonts w:hint="default" w:ascii="Times New Roman" w:hAnsi="Times New Roman" w:cs="Times New Roman"/>
                      <w:color w:val="auto"/>
                      <w:spacing w:val="8"/>
                      <w:sz w:val="21"/>
                      <w:szCs w:val="21"/>
                      <w:highlight w:val="none"/>
                      <w:lang w:eastAsia="zh-CN"/>
                    </w:rPr>
                    <w:t>标准</w:t>
                  </w:r>
                </w:p>
                <w:p w14:paraId="4EC45D0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准》（</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6"/>
                      <w:sz w:val="21"/>
                      <w:szCs w:val="21"/>
                      <w:highlight w:val="none"/>
                    </w:rPr>
                    <w:t>/T31962-2015</w:t>
                  </w:r>
                  <w:r>
                    <w:rPr>
                      <w:rFonts w:hint="default" w:ascii="Times New Roman" w:hAnsi="Times New Roman" w:eastAsia="宋体" w:cs="Times New Roman"/>
                      <w:color w:val="auto"/>
                      <w:spacing w:val="6"/>
                      <w:sz w:val="21"/>
                      <w:szCs w:val="21"/>
                      <w:highlight w:val="none"/>
                    </w:rPr>
                    <w:t>）</w:t>
                  </w:r>
                  <w:r>
                    <w:rPr>
                      <w:rFonts w:hint="default" w:ascii="Times New Roman" w:hAnsi="Times New Roman" w:eastAsia="Times New Roman" w:cs="Times New Roman"/>
                      <w:color w:val="auto"/>
                      <w:spacing w:val="6"/>
                      <w:sz w:val="21"/>
                      <w:szCs w:val="21"/>
                      <w:highlight w:val="none"/>
                    </w:rPr>
                    <w:t xml:space="preserve">B </w:t>
                  </w:r>
                  <w:r>
                    <w:rPr>
                      <w:rFonts w:hint="default" w:ascii="Times New Roman" w:hAnsi="Times New Roman" w:eastAsia="宋体" w:cs="Times New Roman"/>
                      <w:color w:val="auto"/>
                      <w:spacing w:val="6"/>
                      <w:sz w:val="21"/>
                      <w:szCs w:val="21"/>
                      <w:highlight w:val="none"/>
                    </w:rPr>
                    <w:t>级</w:t>
                  </w:r>
                </w:p>
                <w:p w14:paraId="6B124CC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标准限值</w:t>
                  </w:r>
                </w:p>
              </w:tc>
              <w:tc>
                <w:tcPr>
                  <w:tcW w:w="2059" w:type="dxa"/>
                  <w:tcBorders>
                    <w:top w:val="single" w:color="000000" w:sz="12" w:space="0"/>
                    <w:tl2br w:val="nil"/>
                    <w:tr2bl w:val="nil"/>
                  </w:tcBorders>
                  <w:vAlign w:val="center"/>
                </w:tcPr>
                <w:p w14:paraId="5277589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500</w:t>
                  </w:r>
                </w:p>
              </w:tc>
            </w:tr>
            <w:tr w14:paraId="061E51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20" w:type="dxa"/>
                  <w:vMerge w:val="continue"/>
                  <w:tcBorders>
                    <w:tl2br w:val="nil"/>
                    <w:tr2bl w:val="nil"/>
                  </w:tcBorders>
                  <w:vAlign w:val="center"/>
                </w:tcPr>
                <w:p w14:paraId="0BCBE40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1303" w:type="dxa"/>
                  <w:tcBorders>
                    <w:tl2br w:val="nil"/>
                    <w:tr2bl w:val="nil"/>
                  </w:tcBorders>
                  <w:vAlign w:val="center"/>
                </w:tcPr>
                <w:p w14:paraId="0643967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BOD</w:t>
                  </w:r>
                  <w:r>
                    <w:rPr>
                      <w:rFonts w:hint="default" w:ascii="Times New Roman" w:hAnsi="Times New Roman" w:eastAsia="Times New Roman" w:cs="Times New Roman"/>
                      <w:color w:val="auto"/>
                      <w:spacing w:val="19"/>
                      <w:position w:val="-1"/>
                      <w:sz w:val="21"/>
                      <w:szCs w:val="21"/>
                      <w:highlight w:val="none"/>
                    </w:rPr>
                    <w:t>5</w:t>
                  </w:r>
                </w:p>
              </w:tc>
              <w:tc>
                <w:tcPr>
                  <w:tcW w:w="3147" w:type="dxa"/>
                  <w:vMerge w:val="continue"/>
                  <w:tcBorders>
                    <w:tl2br w:val="nil"/>
                    <w:tr2bl w:val="nil"/>
                  </w:tcBorders>
                  <w:vAlign w:val="center"/>
                </w:tcPr>
                <w:p w14:paraId="1A7F0580">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2059" w:type="dxa"/>
                  <w:tcBorders>
                    <w:tl2br w:val="nil"/>
                    <w:tr2bl w:val="nil"/>
                  </w:tcBorders>
                  <w:vAlign w:val="center"/>
                </w:tcPr>
                <w:p w14:paraId="345D95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350</w:t>
                  </w:r>
                </w:p>
              </w:tc>
            </w:tr>
            <w:tr w14:paraId="3E3E2C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20" w:type="dxa"/>
                  <w:vMerge w:val="continue"/>
                  <w:tcBorders>
                    <w:tl2br w:val="nil"/>
                    <w:tr2bl w:val="nil"/>
                  </w:tcBorders>
                  <w:vAlign w:val="center"/>
                </w:tcPr>
                <w:p w14:paraId="12D94EA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1303" w:type="dxa"/>
                  <w:tcBorders>
                    <w:tl2br w:val="nil"/>
                    <w:tr2bl w:val="nil"/>
                  </w:tcBorders>
                  <w:vAlign w:val="center"/>
                </w:tcPr>
                <w:p w14:paraId="4A1CB39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NH</w:t>
                  </w:r>
                  <w:r>
                    <w:rPr>
                      <w:rFonts w:hint="default" w:ascii="Times New Roman" w:hAnsi="Times New Roman" w:eastAsia="Times New Roman" w:cs="Times New Roman"/>
                      <w:color w:val="auto"/>
                      <w:spacing w:val="13"/>
                      <w:position w:val="-1"/>
                      <w:sz w:val="21"/>
                      <w:szCs w:val="21"/>
                      <w:highlight w:val="none"/>
                    </w:rPr>
                    <w:t>3</w:t>
                  </w:r>
                  <w:r>
                    <w:rPr>
                      <w:rFonts w:hint="default" w:ascii="Times New Roman" w:hAnsi="Times New Roman" w:eastAsia="Times New Roman" w:cs="Times New Roman"/>
                      <w:color w:val="auto"/>
                      <w:spacing w:val="13"/>
                      <w:sz w:val="21"/>
                      <w:szCs w:val="21"/>
                      <w:highlight w:val="none"/>
                    </w:rPr>
                    <w:t>N</w:t>
                  </w:r>
                </w:p>
              </w:tc>
              <w:tc>
                <w:tcPr>
                  <w:tcW w:w="3147" w:type="dxa"/>
                  <w:vMerge w:val="continue"/>
                  <w:tcBorders>
                    <w:tl2br w:val="nil"/>
                    <w:tr2bl w:val="nil"/>
                  </w:tcBorders>
                  <w:vAlign w:val="center"/>
                </w:tcPr>
                <w:p w14:paraId="5D4C051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2059" w:type="dxa"/>
                  <w:tcBorders>
                    <w:tl2br w:val="nil"/>
                    <w:tr2bl w:val="nil"/>
                  </w:tcBorders>
                  <w:vAlign w:val="center"/>
                </w:tcPr>
                <w:p w14:paraId="070BB1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45</w:t>
                  </w:r>
                </w:p>
              </w:tc>
            </w:tr>
            <w:tr w14:paraId="664076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20" w:type="dxa"/>
                  <w:vMerge w:val="continue"/>
                  <w:tcBorders>
                    <w:tl2br w:val="nil"/>
                    <w:tr2bl w:val="nil"/>
                  </w:tcBorders>
                  <w:vAlign w:val="center"/>
                </w:tcPr>
                <w:p w14:paraId="3796FD4A">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1303" w:type="dxa"/>
                  <w:tcBorders>
                    <w:tl2br w:val="nil"/>
                    <w:tr2bl w:val="nil"/>
                  </w:tcBorders>
                  <w:vAlign w:val="center"/>
                </w:tcPr>
                <w:p w14:paraId="6A562CD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SS</w:t>
                  </w:r>
                </w:p>
              </w:tc>
              <w:tc>
                <w:tcPr>
                  <w:tcW w:w="3147" w:type="dxa"/>
                  <w:vMerge w:val="continue"/>
                  <w:tcBorders>
                    <w:tl2br w:val="nil"/>
                    <w:tr2bl w:val="nil"/>
                  </w:tcBorders>
                  <w:vAlign w:val="center"/>
                </w:tcPr>
                <w:p w14:paraId="77D98B3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color w:val="auto"/>
                      <w:sz w:val="21"/>
                      <w:szCs w:val="21"/>
                      <w:highlight w:val="none"/>
                    </w:rPr>
                  </w:pPr>
                </w:p>
              </w:tc>
              <w:tc>
                <w:tcPr>
                  <w:tcW w:w="2059" w:type="dxa"/>
                  <w:tcBorders>
                    <w:tl2br w:val="nil"/>
                    <w:tr2bl w:val="nil"/>
                  </w:tcBorders>
                  <w:vAlign w:val="center"/>
                </w:tcPr>
                <w:p w14:paraId="6AB4552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400</w:t>
                  </w:r>
                </w:p>
              </w:tc>
            </w:tr>
          </w:tbl>
          <w:p w14:paraId="18678578">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3.噪声</w:t>
            </w:r>
            <w:r>
              <w:rPr>
                <w:rFonts w:hint="default" w:ascii="Times New Roman" w:hAnsi="Times New Roman" w:eastAsia="宋体" w:cs="Times New Roman"/>
                <w:b/>
                <w:bCs/>
                <w:color w:val="auto"/>
                <w:kern w:val="0"/>
                <w:sz w:val="24"/>
                <w:szCs w:val="24"/>
                <w:highlight w:val="none"/>
                <w:lang w:val="en-US" w:eastAsia="zh-CN"/>
              </w:rPr>
              <w:t>排放标准</w:t>
            </w:r>
          </w:p>
          <w:p w14:paraId="4FBB3956">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本项目噪声排放执行《工业企业厂界环境噪声排放标准》（GB12348-2008）2类功能区标准。具体见表3-5。</w:t>
            </w:r>
          </w:p>
          <w:p w14:paraId="171E7CFE">
            <w:pPr>
              <w:pStyle w:val="31"/>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黑体" w:cs="Times New Roman"/>
                <w:b w:val="0"/>
                <w:bCs w:val="0"/>
                <w:color w:val="auto"/>
                <w:sz w:val="21"/>
                <w:szCs w:val="21"/>
                <w:highlight w:val="none"/>
                <w:lang w:val="en-US" w:eastAsia="zh-CN"/>
              </w:rPr>
            </w:pPr>
            <w:r>
              <w:rPr>
                <w:rFonts w:hint="default" w:ascii="Times New Roman" w:hAnsi="Times New Roman" w:eastAsia="黑体" w:cs="Times New Roman"/>
                <w:b w:val="0"/>
                <w:bCs w:val="0"/>
                <w:color w:val="auto"/>
                <w:sz w:val="21"/>
                <w:szCs w:val="21"/>
                <w:highlight w:val="none"/>
                <w:lang w:eastAsia="zh-CN"/>
              </w:rPr>
              <w:t>表</w:t>
            </w:r>
            <w:r>
              <w:rPr>
                <w:rFonts w:hint="default" w:ascii="Times New Roman" w:hAnsi="Times New Roman" w:eastAsia="黑体" w:cs="Times New Roman"/>
                <w:b w:val="0"/>
                <w:bCs w:val="0"/>
                <w:color w:val="auto"/>
                <w:sz w:val="21"/>
                <w:szCs w:val="21"/>
                <w:highlight w:val="none"/>
                <w:lang w:val="en-US" w:eastAsia="zh-CN"/>
              </w:rPr>
              <w:t>3-5噪声排放标准</w:t>
            </w:r>
          </w:p>
          <w:tbl>
            <w:tblPr>
              <w:tblStyle w:val="2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008"/>
              <w:gridCol w:w="689"/>
              <w:gridCol w:w="1171"/>
              <w:gridCol w:w="2664"/>
              <w:gridCol w:w="973"/>
            </w:tblGrid>
            <w:tr w14:paraId="10675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4" w:type="dxa"/>
                  <w:tcBorders>
                    <w:bottom w:val="single" w:color="auto" w:sz="12" w:space="0"/>
                  </w:tcBorders>
                  <w:noWrap w:val="0"/>
                  <w:vAlign w:val="center"/>
                </w:tcPr>
                <w:p w14:paraId="74E08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污染源</w:t>
                  </w:r>
                </w:p>
                <w:p w14:paraId="3C609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（类型）</w:t>
                  </w:r>
                </w:p>
              </w:tc>
              <w:tc>
                <w:tcPr>
                  <w:tcW w:w="1008" w:type="dxa"/>
                  <w:tcBorders>
                    <w:bottom w:val="single" w:color="auto" w:sz="12" w:space="0"/>
                  </w:tcBorders>
                  <w:noWrap w:val="0"/>
                  <w:vAlign w:val="center"/>
                </w:tcPr>
                <w:p w14:paraId="26803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污染物</w:t>
                  </w:r>
                </w:p>
              </w:tc>
              <w:tc>
                <w:tcPr>
                  <w:tcW w:w="1860" w:type="dxa"/>
                  <w:gridSpan w:val="2"/>
                  <w:tcBorders>
                    <w:bottom w:val="single" w:color="auto" w:sz="12" w:space="0"/>
                  </w:tcBorders>
                  <w:noWrap w:val="0"/>
                  <w:vAlign w:val="center"/>
                </w:tcPr>
                <w:p w14:paraId="624B1C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污染物排放限值</w:t>
                  </w:r>
                </w:p>
              </w:tc>
              <w:tc>
                <w:tcPr>
                  <w:tcW w:w="2664" w:type="dxa"/>
                  <w:tcBorders>
                    <w:bottom w:val="single" w:color="auto" w:sz="12" w:space="0"/>
                  </w:tcBorders>
                  <w:noWrap w:val="0"/>
                  <w:vAlign w:val="center"/>
                </w:tcPr>
                <w:p w14:paraId="5D2A1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标准来源</w:t>
                  </w:r>
                </w:p>
              </w:tc>
              <w:tc>
                <w:tcPr>
                  <w:tcW w:w="973" w:type="dxa"/>
                  <w:tcBorders>
                    <w:bottom w:val="single" w:color="auto" w:sz="12" w:space="0"/>
                  </w:tcBorders>
                  <w:noWrap w:val="0"/>
                  <w:vAlign w:val="center"/>
                </w:tcPr>
                <w:p w14:paraId="75B22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highlight w:val="none"/>
                      <w:vertAlign w:val="baseline"/>
                      <w:lang w:eastAsia="zh-CN"/>
                    </w:rPr>
                  </w:pPr>
                  <w:r>
                    <w:rPr>
                      <w:rFonts w:hint="default" w:ascii="Times New Roman" w:hAnsi="Times New Roman" w:cs="Times New Roman"/>
                      <w:b/>
                      <w:bCs/>
                      <w:color w:val="auto"/>
                      <w:highlight w:val="none"/>
                      <w:vertAlign w:val="baseline"/>
                      <w:lang w:eastAsia="zh-CN"/>
                    </w:rPr>
                    <w:t>监控位置</w:t>
                  </w:r>
                </w:p>
              </w:tc>
            </w:tr>
            <w:tr w14:paraId="13389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64" w:type="dxa"/>
                  <w:vMerge w:val="restart"/>
                  <w:tcBorders>
                    <w:top w:val="single" w:color="auto" w:sz="12" w:space="0"/>
                    <w:tl2br w:val="nil"/>
                    <w:tr2bl w:val="nil"/>
                  </w:tcBorders>
                  <w:noWrap w:val="0"/>
                  <w:vAlign w:val="center"/>
                </w:tcPr>
                <w:p w14:paraId="087928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运营噪声</w:t>
                  </w:r>
                </w:p>
              </w:tc>
              <w:tc>
                <w:tcPr>
                  <w:tcW w:w="1008" w:type="dxa"/>
                  <w:vMerge w:val="restart"/>
                  <w:tcBorders>
                    <w:top w:val="single" w:color="auto" w:sz="12" w:space="0"/>
                    <w:tl2br w:val="nil"/>
                    <w:tr2bl w:val="nil"/>
                  </w:tcBorders>
                  <w:noWrap w:val="0"/>
                  <w:vAlign w:val="center"/>
                </w:tcPr>
                <w:p w14:paraId="380D2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厂界</w:t>
                  </w:r>
                </w:p>
                <w:p w14:paraId="1166B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噪声</w:t>
                  </w:r>
                </w:p>
              </w:tc>
              <w:tc>
                <w:tcPr>
                  <w:tcW w:w="689" w:type="dxa"/>
                  <w:tcBorders>
                    <w:top w:val="single" w:color="auto" w:sz="12" w:space="0"/>
                    <w:tl2br w:val="nil"/>
                    <w:tr2bl w:val="nil"/>
                  </w:tcBorders>
                  <w:noWrap w:val="0"/>
                  <w:vAlign w:val="center"/>
                </w:tcPr>
                <w:p w14:paraId="381D01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昼间</w:t>
                  </w:r>
                </w:p>
              </w:tc>
              <w:tc>
                <w:tcPr>
                  <w:tcW w:w="1171" w:type="dxa"/>
                  <w:tcBorders>
                    <w:top w:val="single" w:color="auto" w:sz="12" w:space="0"/>
                    <w:tl2br w:val="nil"/>
                    <w:tr2bl w:val="nil"/>
                  </w:tcBorders>
                  <w:noWrap w:val="0"/>
                  <w:vAlign w:val="center"/>
                </w:tcPr>
                <w:p w14:paraId="69D38C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60dB（A）</w:t>
                  </w:r>
                </w:p>
              </w:tc>
              <w:tc>
                <w:tcPr>
                  <w:tcW w:w="2664" w:type="dxa"/>
                  <w:vMerge w:val="restart"/>
                  <w:tcBorders>
                    <w:top w:val="single" w:color="auto" w:sz="12" w:space="0"/>
                    <w:tl2br w:val="nil"/>
                    <w:tr2bl w:val="nil"/>
                  </w:tcBorders>
                  <w:noWrap w:val="0"/>
                  <w:vAlign w:val="center"/>
                </w:tcPr>
                <w:p w14:paraId="6D0A0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eastAsia="zh-CN"/>
                    </w:rPr>
                    <w:t>《工业企业厂界环境噪声排放标准》（</w:t>
                  </w:r>
                  <w:r>
                    <w:rPr>
                      <w:rFonts w:hint="default" w:ascii="Times New Roman" w:hAnsi="Times New Roman" w:cs="Times New Roman"/>
                      <w:color w:val="auto"/>
                      <w:highlight w:val="none"/>
                      <w:vertAlign w:val="baseline"/>
                      <w:lang w:val="en-US" w:eastAsia="zh-CN"/>
                    </w:rPr>
                    <w:t>GB12348-2008</w:t>
                  </w:r>
                  <w:r>
                    <w:rPr>
                      <w:rFonts w:hint="default" w:ascii="Times New Roman" w:hAnsi="Times New Roman" w:cs="Times New Roman"/>
                      <w:color w:val="auto"/>
                      <w:highlight w:val="none"/>
                      <w:vertAlign w:val="baseline"/>
                      <w:lang w:eastAsia="zh-CN"/>
                    </w:rPr>
                    <w:t>）</w:t>
                  </w:r>
                  <w:r>
                    <w:rPr>
                      <w:rFonts w:hint="default" w:ascii="Times New Roman" w:hAnsi="Times New Roman" w:cs="Times New Roman"/>
                      <w:color w:val="auto"/>
                      <w:highlight w:val="none"/>
                      <w:vertAlign w:val="baseline"/>
                      <w:lang w:val="en-US" w:eastAsia="zh-CN"/>
                    </w:rPr>
                    <w:t>2类功能区</w:t>
                  </w:r>
                </w:p>
              </w:tc>
              <w:tc>
                <w:tcPr>
                  <w:tcW w:w="973" w:type="dxa"/>
                  <w:vMerge w:val="restart"/>
                  <w:tcBorders>
                    <w:top w:val="single" w:color="auto" w:sz="12" w:space="0"/>
                    <w:tl2br w:val="nil"/>
                    <w:tr2bl w:val="nil"/>
                  </w:tcBorders>
                  <w:noWrap w:val="0"/>
                  <w:vAlign w:val="center"/>
                </w:tcPr>
                <w:p w14:paraId="47173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占地厂界外</w:t>
                  </w:r>
                  <w:r>
                    <w:rPr>
                      <w:rFonts w:hint="default" w:ascii="Times New Roman" w:hAnsi="Times New Roman" w:cs="Times New Roman"/>
                      <w:color w:val="auto"/>
                      <w:highlight w:val="none"/>
                      <w:vertAlign w:val="baseline"/>
                      <w:lang w:val="en-US" w:eastAsia="zh-CN"/>
                    </w:rPr>
                    <w:t>1m</w:t>
                  </w:r>
                </w:p>
              </w:tc>
            </w:tr>
            <w:tr w14:paraId="2B7D7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64" w:type="dxa"/>
                  <w:vMerge w:val="continue"/>
                  <w:tcBorders>
                    <w:tl2br w:val="nil"/>
                    <w:tr2bl w:val="nil"/>
                  </w:tcBorders>
                  <w:noWrap w:val="0"/>
                  <w:vAlign w:val="center"/>
                </w:tcPr>
                <w:p w14:paraId="21655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p>
              </w:tc>
              <w:tc>
                <w:tcPr>
                  <w:tcW w:w="1008" w:type="dxa"/>
                  <w:vMerge w:val="continue"/>
                  <w:tcBorders>
                    <w:tl2br w:val="nil"/>
                    <w:tr2bl w:val="nil"/>
                  </w:tcBorders>
                  <w:noWrap w:val="0"/>
                  <w:vAlign w:val="center"/>
                </w:tcPr>
                <w:p w14:paraId="70C60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p>
              </w:tc>
              <w:tc>
                <w:tcPr>
                  <w:tcW w:w="689" w:type="dxa"/>
                  <w:tcBorders>
                    <w:tl2br w:val="nil"/>
                    <w:tr2bl w:val="nil"/>
                  </w:tcBorders>
                  <w:noWrap w:val="0"/>
                  <w:vAlign w:val="center"/>
                </w:tcPr>
                <w:p w14:paraId="14B72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r>
                    <w:rPr>
                      <w:rFonts w:hint="default" w:ascii="Times New Roman" w:hAnsi="Times New Roman" w:cs="Times New Roman"/>
                      <w:color w:val="auto"/>
                      <w:highlight w:val="none"/>
                      <w:vertAlign w:val="baseline"/>
                      <w:lang w:eastAsia="zh-CN"/>
                    </w:rPr>
                    <w:t>夜间</w:t>
                  </w:r>
                </w:p>
              </w:tc>
              <w:tc>
                <w:tcPr>
                  <w:tcW w:w="1171" w:type="dxa"/>
                  <w:tcBorders>
                    <w:tl2br w:val="nil"/>
                    <w:tr2bl w:val="nil"/>
                  </w:tcBorders>
                  <w:noWrap w:val="0"/>
                  <w:vAlign w:val="center"/>
                </w:tcPr>
                <w:p w14:paraId="045B88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50dB（A）</w:t>
                  </w:r>
                </w:p>
              </w:tc>
              <w:tc>
                <w:tcPr>
                  <w:tcW w:w="2664" w:type="dxa"/>
                  <w:vMerge w:val="continue"/>
                  <w:tcBorders>
                    <w:tl2br w:val="nil"/>
                    <w:tr2bl w:val="nil"/>
                  </w:tcBorders>
                  <w:noWrap w:val="0"/>
                  <w:vAlign w:val="center"/>
                </w:tcPr>
                <w:p w14:paraId="2332B7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p>
              </w:tc>
              <w:tc>
                <w:tcPr>
                  <w:tcW w:w="973" w:type="dxa"/>
                  <w:vMerge w:val="continue"/>
                  <w:tcBorders>
                    <w:tl2br w:val="nil"/>
                    <w:tr2bl w:val="nil"/>
                  </w:tcBorders>
                  <w:noWrap w:val="0"/>
                  <w:vAlign w:val="center"/>
                </w:tcPr>
                <w:p w14:paraId="3A588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vertAlign w:val="baseline"/>
                      <w:lang w:eastAsia="zh-CN"/>
                    </w:rPr>
                  </w:pPr>
                </w:p>
              </w:tc>
            </w:tr>
          </w:tbl>
          <w:p w14:paraId="7211033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4.固体废物</w:t>
            </w:r>
          </w:p>
          <w:p w14:paraId="5D557D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lang w:val="en-US" w:eastAsia="zh-CN"/>
              </w:rPr>
              <w:t>1</w:t>
            </w:r>
            <w:r>
              <w:rPr>
                <w:rFonts w:hint="default" w:ascii="Times New Roman" w:hAnsi="Times New Roman" w:cs="Times New Roman"/>
                <w:color w:val="auto"/>
                <w:kern w:val="0"/>
                <w:sz w:val="24"/>
                <w:szCs w:val="24"/>
                <w:highlight w:val="none"/>
                <w:lang w:eastAsia="zh-CN"/>
              </w:rPr>
              <w:t>）一般固体废物执行《一般工业固体废物贮存和填埋污染控制标准》（GB18599-2020）有关规定。</w:t>
            </w:r>
          </w:p>
          <w:p w14:paraId="7B7C77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lang w:val="en-US" w:eastAsia="zh-CN"/>
              </w:rPr>
              <w:t>（2）危险废物执行《危险废物贮存污染控制标准》（HJ18597-2023）。</w:t>
            </w:r>
          </w:p>
        </w:tc>
      </w:tr>
      <w:tr w14:paraId="0BE9F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048E1A97">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总量</w:t>
            </w:r>
          </w:p>
          <w:p w14:paraId="5C6F79AE">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控制</w:t>
            </w:r>
          </w:p>
          <w:p w14:paraId="40E89CD0">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指标</w:t>
            </w:r>
          </w:p>
        </w:tc>
        <w:tc>
          <w:tcPr>
            <w:tcW w:w="8190" w:type="dxa"/>
            <w:tcBorders>
              <w:tl2br w:val="nil"/>
              <w:tr2bl w:val="nil"/>
            </w:tcBorders>
            <w:noWrap w:val="0"/>
            <w:vAlign w:val="center"/>
          </w:tcPr>
          <w:p w14:paraId="3FB737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结合本项目所在区域的环境特征及排污情况，确定本项目污染物排放总量控制因子为</w:t>
            </w:r>
            <w:r>
              <w:rPr>
                <w:rFonts w:hint="default" w:ascii="Times New Roman" w:hAnsi="Times New Roman" w:cs="Times New Roman"/>
                <w:color w:val="auto"/>
                <w:sz w:val="24"/>
                <w:szCs w:val="32"/>
                <w:highlight w:val="none"/>
                <w:lang w:val="en-US" w:eastAsia="zh-CN"/>
              </w:rPr>
              <w:t>VOCs（以非甲烷总烃计）</w:t>
            </w:r>
            <w:r>
              <w:rPr>
                <w:rFonts w:hint="default" w:ascii="Times New Roman" w:hAnsi="Times New Roman" w:cs="Times New Roman"/>
                <w:color w:val="auto"/>
                <w:sz w:val="24"/>
                <w:szCs w:val="32"/>
                <w:highlight w:val="none"/>
              </w:rPr>
              <w:t>。</w:t>
            </w:r>
            <w:r>
              <w:rPr>
                <w:rFonts w:hint="default" w:ascii="Times New Roman" w:hAnsi="Times New Roman" w:eastAsia="宋体" w:cs="Times New Roman"/>
                <w:color w:val="auto"/>
                <w:sz w:val="24"/>
                <w:szCs w:val="32"/>
                <w:highlight w:val="none"/>
              </w:rPr>
              <w:t>根据自治区“三线一单”总体管控要求:“PM</w:t>
            </w:r>
            <w:r>
              <w:rPr>
                <w:rFonts w:hint="default" w:ascii="Times New Roman" w:hAnsi="Times New Roman" w:eastAsia="宋体" w:cs="Times New Roman"/>
                <w:color w:val="auto"/>
                <w:sz w:val="24"/>
                <w:szCs w:val="32"/>
                <w:highlight w:val="none"/>
                <w:vertAlign w:val="subscript"/>
              </w:rPr>
              <w:t>2.5</w:t>
            </w:r>
            <w:r>
              <w:rPr>
                <w:rFonts w:hint="default" w:ascii="Times New Roman" w:hAnsi="Times New Roman" w:eastAsia="宋体" w:cs="Times New Roman"/>
                <w:color w:val="auto"/>
                <w:sz w:val="24"/>
                <w:szCs w:val="32"/>
                <w:highlight w:val="none"/>
              </w:rPr>
              <w:t>年平均浓度不达标城市禁止新（改、扩）建未落实SO</w:t>
            </w:r>
            <w:r>
              <w:rPr>
                <w:rFonts w:hint="default" w:ascii="Times New Roman" w:hAnsi="Times New Roman" w:eastAsia="宋体" w:cs="Times New Roman"/>
                <w:color w:val="auto"/>
                <w:sz w:val="24"/>
                <w:szCs w:val="32"/>
                <w:highlight w:val="none"/>
                <w:vertAlign w:val="subscript"/>
              </w:rPr>
              <w:t>2</w:t>
            </w:r>
            <w:r>
              <w:rPr>
                <w:rFonts w:hint="default" w:ascii="Times New Roman" w:hAnsi="Times New Roman" w:eastAsia="宋体" w:cs="Times New Roman"/>
                <w:color w:val="auto"/>
                <w:sz w:val="24"/>
                <w:szCs w:val="32"/>
                <w:highlight w:val="none"/>
              </w:rPr>
              <w:t>、NOx、烟粉尘</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rPr>
              <w:t>挥发性有机物（</w:t>
            </w:r>
            <w:r>
              <w:rPr>
                <w:rFonts w:hint="default" w:ascii="Times New Roman" w:hAnsi="Times New Roman" w:cs="Times New Roman"/>
                <w:color w:val="auto"/>
                <w:sz w:val="24"/>
                <w:szCs w:val="32"/>
                <w:highlight w:val="none"/>
                <w:lang w:eastAsia="zh-CN"/>
              </w:rPr>
              <w:t>VOCs（以非甲烷总烃计）</w:t>
            </w:r>
            <w:r>
              <w:rPr>
                <w:rFonts w:hint="default" w:ascii="Times New Roman" w:hAnsi="Times New Roman" w:eastAsia="宋体" w:cs="Times New Roman"/>
                <w:color w:val="auto"/>
                <w:sz w:val="24"/>
                <w:szCs w:val="32"/>
                <w:highlight w:val="none"/>
              </w:rPr>
              <w:t>）等大气污染物总量指标倍量替代的项目。”</w:t>
            </w:r>
          </w:p>
          <w:p w14:paraId="6E78A8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32"/>
                <w:highlight w:val="none"/>
              </w:rPr>
            </w:pPr>
            <w:r>
              <w:rPr>
                <w:rFonts w:hint="default" w:ascii="Times New Roman" w:hAnsi="Times New Roman" w:cs="Times New Roman"/>
                <w:color w:val="auto"/>
                <w:sz w:val="24"/>
                <w:szCs w:val="32"/>
                <w:highlight w:val="none"/>
                <w:lang w:val="en-US" w:eastAsia="zh-CN"/>
              </w:rPr>
              <w:t>现有</w:t>
            </w:r>
            <w:r>
              <w:rPr>
                <w:rFonts w:hint="default" w:ascii="Times New Roman" w:hAnsi="Times New Roman" w:cs="Times New Roman"/>
                <w:color w:val="auto"/>
                <w:sz w:val="24"/>
                <w:szCs w:val="32"/>
                <w:highlight w:val="none"/>
              </w:rPr>
              <w:t>项目污染物总量控制指标：颗粒物0.469t/a，挥发性有机物1.251t/a。总量指标需落实倍量前减，颗粒物从2021年昌吉市</w:t>
            </w:r>
            <w:r>
              <w:rPr>
                <w:rFonts w:hint="default" w:ascii="Times New Roman" w:hAnsi="Times New Roman" w:cs="Times New Roman"/>
                <w:color w:val="auto"/>
                <w:sz w:val="24"/>
                <w:szCs w:val="32"/>
                <w:highlight w:val="none"/>
                <w:lang w:eastAsia="zh-CN"/>
              </w:rPr>
              <w:t>淘汰</w:t>
            </w:r>
            <w:r>
              <w:rPr>
                <w:rFonts w:hint="default" w:ascii="Times New Roman" w:hAnsi="Times New Roman" w:cs="Times New Roman"/>
                <w:color w:val="auto"/>
                <w:sz w:val="24"/>
                <w:szCs w:val="32"/>
                <w:highlight w:val="none"/>
              </w:rPr>
              <w:t>、煤改电29台燃煤小锅炉削减量中分配0.938t/a；挥发性有机物从昌吉市2021年</w:t>
            </w:r>
            <w:r>
              <w:rPr>
                <w:rFonts w:hint="default" w:ascii="Times New Roman" w:hAnsi="Times New Roman" w:cs="Times New Roman"/>
                <w:color w:val="auto"/>
                <w:sz w:val="24"/>
                <w:szCs w:val="32"/>
                <w:highlight w:val="none"/>
                <w:lang w:eastAsia="zh-CN"/>
              </w:rPr>
              <w:t>淘汰</w:t>
            </w:r>
            <w:r>
              <w:rPr>
                <w:rFonts w:hint="default" w:ascii="Times New Roman" w:hAnsi="Times New Roman" w:cs="Times New Roman"/>
                <w:color w:val="auto"/>
                <w:sz w:val="24"/>
                <w:szCs w:val="32"/>
                <w:highlight w:val="none"/>
              </w:rPr>
              <w:t>、煤改电29</w:t>
            </w:r>
            <w:r>
              <w:rPr>
                <w:rFonts w:hint="default" w:ascii="Times New Roman" w:hAnsi="Times New Roman" w:cs="Times New Roman"/>
                <w:color w:val="auto"/>
                <w:sz w:val="24"/>
                <w:szCs w:val="32"/>
                <w:highlight w:val="none"/>
                <w:lang w:eastAsia="zh-CN"/>
              </w:rPr>
              <w:t>台</w:t>
            </w:r>
            <w:r>
              <w:rPr>
                <w:rFonts w:hint="default" w:ascii="Times New Roman" w:hAnsi="Times New Roman" w:cs="Times New Roman"/>
                <w:color w:val="auto"/>
                <w:sz w:val="24"/>
                <w:szCs w:val="32"/>
                <w:highlight w:val="none"/>
              </w:rPr>
              <w:t>燃煤小</w:t>
            </w:r>
            <w:r>
              <w:rPr>
                <w:rFonts w:hint="default" w:ascii="Times New Roman" w:hAnsi="Times New Roman" w:eastAsia="宋体" w:cs="Times New Roman"/>
                <w:color w:val="auto"/>
                <w:sz w:val="24"/>
                <w:szCs w:val="32"/>
                <w:highlight w:val="none"/>
              </w:rPr>
              <w:t>锅炉</w:t>
            </w:r>
            <w:r>
              <w:rPr>
                <w:rFonts w:hint="default" w:ascii="Times New Roman" w:hAnsi="Times New Roman" w:cs="Times New Roman"/>
                <w:color w:val="auto"/>
                <w:sz w:val="24"/>
                <w:szCs w:val="32"/>
                <w:highlight w:val="none"/>
                <w:lang w:eastAsia="zh-CN"/>
              </w:rPr>
              <w:t>削减</w:t>
            </w:r>
            <w:r>
              <w:rPr>
                <w:rFonts w:hint="default" w:ascii="Times New Roman" w:hAnsi="Times New Roman" w:eastAsia="宋体" w:cs="Times New Roman"/>
                <w:color w:val="auto"/>
                <w:sz w:val="24"/>
                <w:szCs w:val="32"/>
                <w:highlight w:val="none"/>
              </w:rPr>
              <w:t>量中分配2.502t/a</w:t>
            </w:r>
          </w:p>
          <w:p w14:paraId="6F7AC2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本项目所在区域为PM2.5年平均浓度不达标区域，</w:t>
            </w:r>
            <w:r>
              <w:rPr>
                <w:rFonts w:hint="default" w:ascii="Times New Roman" w:hAnsi="Times New Roman" w:eastAsia="宋体" w:cs="Times New Roman"/>
                <w:color w:val="auto"/>
                <w:sz w:val="24"/>
                <w:szCs w:val="32"/>
                <w:highlight w:val="none"/>
                <w:lang w:val="en-US" w:eastAsia="zh-CN"/>
              </w:rPr>
              <w:t>现有项目已批复本项目新</w:t>
            </w:r>
            <w:r>
              <w:rPr>
                <w:rFonts w:hint="default" w:ascii="Times New Roman" w:hAnsi="Times New Roman" w:eastAsia="宋体" w:cs="Times New Roman"/>
                <w:color w:val="auto"/>
                <w:sz w:val="24"/>
                <w:szCs w:val="32"/>
                <w:highlight w:val="none"/>
              </w:rPr>
              <w:t>产生的</w:t>
            </w:r>
            <w:r>
              <w:rPr>
                <w:rFonts w:hint="default" w:ascii="Times New Roman" w:hAnsi="Times New Roman" w:cs="Times New Roman"/>
                <w:color w:val="auto"/>
                <w:sz w:val="24"/>
                <w:szCs w:val="32"/>
                <w:highlight w:val="none"/>
                <w:lang w:eastAsia="zh-CN"/>
              </w:rPr>
              <w:t>VOCs（以非甲烷总烃计）</w:t>
            </w:r>
            <w:r>
              <w:rPr>
                <w:rFonts w:hint="default" w:ascii="Times New Roman" w:hAnsi="Times New Roman" w:eastAsia="宋体" w:cs="Times New Roman"/>
                <w:color w:val="auto"/>
                <w:sz w:val="24"/>
                <w:szCs w:val="32"/>
                <w:highlight w:val="none"/>
                <w:lang w:val="en-US" w:eastAsia="zh-CN"/>
              </w:rPr>
              <w:t>为</w:t>
            </w:r>
            <w:r>
              <w:rPr>
                <w:rFonts w:hint="default" w:ascii="Times New Roman" w:hAnsi="Times New Roman" w:cs="Times New Roman"/>
                <w:color w:val="auto"/>
                <w:sz w:val="24"/>
                <w:szCs w:val="32"/>
                <w:highlight w:val="none"/>
                <w:lang w:val="en-US" w:eastAsia="zh-CN"/>
              </w:rPr>
              <w:t>2.025</w:t>
            </w:r>
            <w:r>
              <w:rPr>
                <w:rFonts w:hint="default" w:ascii="Times New Roman" w:hAnsi="Times New Roman" w:eastAsia="宋体" w:cs="Times New Roman"/>
                <w:color w:val="auto"/>
                <w:sz w:val="24"/>
                <w:szCs w:val="32"/>
                <w:highlight w:val="none"/>
              </w:rPr>
              <w:t>t/a，实施倍量替代量为</w:t>
            </w:r>
            <w:r>
              <w:rPr>
                <w:rFonts w:hint="default" w:ascii="Times New Roman" w:hAnsi="Times New Roman" w:cs="Times New Roman"/>
                <w:color w:val="auto"/>
                <w:sz w:val="24"/>
                <w:szCs w:val="32"/>
                <w:highlight w:val="none"/>
                <w:lang w:val="en-US" w:eastAsia="zh-CN"/>
              </w:rPr>
              <w:t>4.05</w:t>
            </w:r>
            <w:r>
              <w:rPr>
                <w:rFonts w:hint="default" w:ascii="Times New Roman" w:hAnsi="Times New Roman" w:eastAsia="宋体" w:cs="Times New Roman"/>
                <w:color w:val="auto"/>
                <w:sz w:val="24"/>
                <w:szCs w:val="32"/>
                <w:highlight w:val="none"/>
              </w:rPr>
              <w:t>t/a。</w:t>
            </w:r>
          </w:p>
          <w:p w14:paraId="0F1C2F7F">
            <w:pPr>
              <w:pStyle w:val="2"/>
              <w:rPr>
                <w:rFonts w:hint="default" w:ascii="Times New Roman" w:hAnsi="Times New Roman" w:eastAsia="宋体" w:cs="Times New Roman"/>
                <w:color w:val="auto"/>
                <w:sz w:val="24"/>
                <w:szCs w:val="32"/>
                <w:highlight w:val="none"/>
              </w:rPr>
            </w:pPr>
          </w:p>
          <w:p w14:paraId="17C6FA04">
            <w:pPr>
              <w:pStyle w:val="5"/>
              <w:rPr>
                <w:rFonts w:hint="default" w:ascii="Times New Roman" w:hAnsi="Times New Roman" w:eastAsia="宋体" w:cs="Times New Roman"/>
                <w:color w:val="auto"/>
                <w:sz w:val="24"/>
                <w:szCs w:val="32"/>
                <w:highlight w:val="none"/>
              </w:rPr>
            </w:pPr>
          </w:p>
          <w:p w14:paraId="3CD63E03">
            <w:pPr>
              <w:pStyle w:val="5"/>
              <w:rPr>
                <w:rFonts w:hint="default" w:ascii="Times New Roman" w:hAnsi="Times New Roman" w:eastAsia="宋体" w:cs="Times New Roman"/>
                <w:color w:val="auto"/>
                <w:sz w:val="24"/>
                <w:szCs w:val="32"/>
                <w:highlight w:val="none"/>
              </w:rPr>
            </w:pPr>
          </w:p>
          <w:p w14:paraId="285484BF">
            <w:pPr>
              <w:pStyle w:val="5"/>
              <w:rPr>
                <w:rFonts w:hint="default" w:ascii="Times New Roman" w:hAnsi="Times New Roman" w:eastAsia="宋体" w:cs="Times New Roman"/>
                <w:color w:val="auto"/>
                <w:sz w:val="24"/>
                <w:szCs w:val="32"/>
                <w:highlight w:val="none"/>
              </w:rPr>
            </w:pPr>
          </w:p>
          <w:p w14:paraId="6D371A50">
            <w:pPr>
              <w:pStyle w:val="5"/>
              <w:rPr>
                <w:rFonts w:hint="default" w:ascii="Times New Roman" w:hAnsi="Times New Roman" w:eastAsia="宋体" w:cs="Times New Roman"/>
                <w:color w:val="auto"/>
                <w:sz w:val="24"/>
                <w:szCs w:val="32"/>
                <w:highlight w:val="none"/>
              </w:rPr>
            </w:pPr>
          </w:p>
          <w:p w14:paraId="030EAD05">
            <w:pPr>
              <w:pStyle w:val="5"/>
              <w:rPr>
                <w:rFonts w:hint="default" w:ascii="Times New Roman" w:hAnsi="Times New Roman" w:eastAsia="宋体" w:cs="Times New Roman"/>
                <w:color w:val="auto"/>
                <w:sz w:val="24"/>
                <w:szCs w:val="32"/>
                <w:highlight w:val="none"/>
              </w:rPr>
            </w:pPr>
          </w:p>
          <w:p w14:paraId="17B1751F">
            <w:pPr>
              <w:pStyle w:val="5"/>
              <w:rPr>
                <w:rFonts w:hint="default" w:ascii="Times New Roman" w:hAnsi="Times New Roman" w:eastAsia="宋体" w:cs="Times New Roman"/>
                <w:color w:val="auto"/>
                <w:sz w:val="24"/>
                <w:szCs w:val="32"/>
                <w:highlight w:val="none"/>
              </w:rPr>
            </w:pPr>
          </w:p>
          <w:p w14:paraId="25DD6ADE">
            <w:pPr>
              <w:pStyle w:val="5"/>
              <w:rPr>
                <w:rFonts w:hint="default" w:ascii="Times New Roman" w:hAnsi="Times New Roman" w:eastAsia="宋体" w:cs="Times New Roman"/>
                <w:color w:val="auto"/>
                <w:sz w:val="24"/>
                <w:szCs w:val="32"/>
                <w:highlight w:val="none"/>
              </w:rPr>
            </w:pPr>
          </w:p>
          <w:p w14:paraId="1B2F4422">
            <w:pPr>
              <w:pStyle w:val="5"/>
              <w:rPr>
                <w:rFonts w:hint="default" w:ascii="Times New Roman" w:hAnsi="Times New Roman" w:eastAsia="宋体" w:cs="Times New Roman"/>
                <w:color w:val="auto"/>
                <w:sz w:val="24"/>
                <w:szCs w:val="32"/>
                <w:highlight w:val="none"/>
              </w:rPr>
            </w:pPr>
          </w:p>
          <w:p w14:paraId="1597B857">
            <w:pPr>
              <w:pStyle w:val="5"/>
              <w:rPr>
                <w:rFonts w:hint="default" w:ascii="Times New Roman" w:hAnsi="Times New Roman" w:eastAsia="宋体" w:cs="Times New Roman"/>
                <w:color w:val="auto"/>
                <w:sz w:val="24"/>
                <w:szCs w:val="32"/>
                <w:highlight w:val="none"/>
              </w:rPr>
            </w:pPr>
          </w:p>
          <w:p w14:paraId="21F15832">
            <w:pPr>
              <w:pStyle w:val="5"/>
              <w:rPr>
                <w:rFonts w:hint="default" w:ascii="Times New Roman" w:hAnsi="Times New Roman" w:eastAsia="宋体" w:cs="Times New Roman"/>
                <w:color w:val="auto"/>
                <w:sz w:val="24"/>
                <w:szCs w:val="32"/>
                <w:highlight w:val="none"/>
              </w:rPr>
            </w:pPr>
          </w:p>
          <w:p w14:paraId="76B787D2">
            <w:pPr>
              <w:pStyle w:val="5"/>
              <w:rPr>
                <w:rFonts w:hint="default" w:ascii="Times New Roman" w:hAnsi="Times New Roman" w:eastAsia="宋体" w:cs="Times New Roman"/>
                <w:color w:val="auto"/>
                <w:sz w:val="24"/>
                <w:szCs w:val="32"/>
                <w:highlight w:val="none"/>
              </w:rPr>
            </w:pPr>
          </w:p>
          <w:p w14:paraId="7CE21794">
            <w:pPr>
              <w:pStyle w:val="5"/>
              <w:rPr>
                <w:rFonts w:hint="default" w:ascii="Times New Roman" w:hAnsi="Times New Roman" w:eastAsia="宋体" w:cs="Times New Roman"/>
                <w:color w:val="auto"/>
                <w:sz w:val="24"/>
                <w:szCs w:val="32"/>
                <w:highlight w:val="none"/>
              </w:rPr>
            </w:pPr>
          </w:p>
          <w:p w14:paraId="73716F7F">
            <w:pPr>
              <w:pStyle w:val="5"/>
              <w:rPr>
                <w:rFonts w:hint="default" w:ascii="Times New Roman" w:hAnsi="Times New Roman" w:eastAsia="宋体" w:cs="Times New Roman"/>
                <w:color w:val="auto"/>
                <w:sz w:val="24"/>
                <w:szCs w:val="32"/>
                <w:highlight w:val="none"/>
              </w:rPr>
            </w:pPr>
          </w:p>
          <w:p w14:paraId="7C4852EE">
            <w:pPr>
              <w:pStyle w:val="5"/>
              <w:rPr>
                <w:rFonts w:hint="default" w:ascii="Times New Roman" w:hAnsi="Times New Roman" w:eastAsia="宋体" w:cs="Times New Roman"/>
                <w:color w:val="auto"/>
                <w:sz w:val="24"/>
                <w:szCs w:val="32"/>
                <w:highlight w:val="none"/>
              </w:rPr>
            </w:pPr>
          </w:p>
          <w:p w14:paraId="13AC7061">
            <w:pPr>
              <w:pStyle w:val="5"/>
              <w:rPr>
                <w:rFonts w:hint="default" w:ascii="Times New Roman" w:hAnsi="Times New Roman" w:eastAsia="宋体" w:cs="Times New Roman"/>
                <w:color w:val="auto"/>
                <w:sz w:val="24"/>
                <w:szCs w:val="32"/>
                <w:highlight w:val="none"/>
              </w:rPr>
            </w:pPr>
          </w:p>
          <w:p w14:paraId="67439E44">
            <w:pPr>
              <w:pStyle w:val="5"/>
              <w:rPr>
                <w:rFonts w:hint="default" w:ascii="Times New Roman" w:hAnsi="Times New Roman" w:eastAsia="宋体" w:cs="Times New Roman"/>
                <w:color w:val="auto"/>
                <w:sz w:val="24"/>
                <w:szCs w:val="32"/>
                <w:highlight w:val="none"/>
              </w:rPr>
            </w:pPr>
          </w:p>
          <w:p w14:paraId="64DE97B9">
            <w:pPr>
              <w:pStyle w:val="5"/>
              <w:rPr>
                <w:rFonts w:hint="default" w:ascii="Times New Roman" w:hAnsi="Times New Roman" w:eastAsia="宋体" w:cs="Times New Roman"/>
                <w:color w:val="auto"/>
                <w:sz w:val="24"/>
                <w:szCs w:val="32"/>
                <w:highlight w:val="none"/>
              </w:rPr>
            </w:pPr>
          </w:p>
        </w:tc>
      </w:tr>
    </w:tbl>
    <w:p w14:paraId="28DF6452">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292D450D">
      <w:pPr>
        <w:pStyle w:val="22"/>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四、主要环境影响和保护措施</w:t>
      </w:r>
    </w:p>
    <w:tbl>
      <w:tblPr>
        <w:tblStyle w:val="25"/>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674"/>
      </w:tblGrid>
      <w:tr w14:paraId="0C854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9" w:type="dxa"/>
            <w:tcBorders>
              <w:tl2br w:val="nil"/>
              <w:tr2bl w:val="nil"/>
            </w:tcBorders>
            <w:vAlign w:val="center"/>
          </w:tcPr>
          <w:p w14:paraId="0C2A39E4">
            <w:pPr>
              <w:pStyle w:val="31"/>
              <w:rPr>
                <w:rFonts w:hint="default" w:ascii="Times New Roman" w:hAnsi="Times New Roman" w:cs="Times New Roman"/>
                <w:color w:val="auto"/>
                <w:sz w:val="24"/>
                <w:szCs w:val="24"/>
                <w:highlight w:val="none"/>
                <w:vertAlign w:val="baseline"/>
              </w:rPr>
            </w:pPr>
            <w:r>
              <w:rPr>
                <w:rFonts w:hint="default" w:ascii="Times New Roman" w:hAnsi="Times New Roman" w:cs="Times New Roman"/>
                <w:color w:val="auto"/>
                <w:kern w:val="2"/>
                <w:sz w:val="24"/>
                <w:szCs w:val="24"/>
                <w:highlight w:val="none"/>
              </w:rPr>
              <w:t>施工期环境保护措施</w:t>
            </w:r>
          </w:p>
        </w:tc>
        <w:tc>
          <w:tcPr>
            <w:tcW w:w="7753" w:type="dxa"/>
            <w:tcBorders>
              <w:tl2br w:val="nil"/>
              <w:tr2bl w:val="nil"/>
            </w:tcBorders>
            <w:vAlign w:val="center"/>
          </w:tcPr>
          <w:p w14:paraId="5E2215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pacing w:val="0"/>
                <w:w w:val="100"/>
                <w:position w:val="0"/>
                <w:sz w:val="24"/>
                <w:highlight w:val="none"/>
              </w:rPr>
            </w:pPr>
            <w:r>
              <w:rPr>
                <w:rFonts w:hint="default" w:ascii="Times New Roman" w:hAnsi="Times New Roman" w:eastAsia="宋体" w:cs="Times New Roman"/>
                <w:color w:val="auto"/>
                <w:sz w:val="24"/>
                <w:szCs w:val="24"/>
                <w:highlight w:val="none"/>
              </w:rPr>
              <w:t>本项目是在新疆凯狮威塑业有限责任公司现有厂区对地膜生产线改扩建及技术改进，扩大生产规模，改进生产工艺技术及产品质量。新增吹塑机、收卷机、包装机、拌料等20台设备及配套的辅助设施开发</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新</w:t>
            </w:r>
            <w:r>
              <w:rPr>
                <w:rFonts w:hint="default" w:ascii="Times New Roman" w:hAnsi="Times New Roman" w:eastAsia="宋体" w:cs="Times New Roman"/>
                <w:color w:val="auto"/>
                <w:sz w:val="24"/>
                <w:szCs w:val="24"/>
                <w:highlight w:val="none"/>
              </w:rPr>
              <w:t>建厂房4000m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增加农用地膜环保生产设备，扩大农用环保地膜生产量，</w:t>
            </w:r>
            <w:r>
              <w:rPr>
                <w:rFonts w:hint="default" w:ascii="Times New Roman" w:hAnsi="Times New Roman" w:cs="Times New Roman"/>
                <w:color w:val="auto"/>
                <w:spacing w:val="0"/>
                <w:w w:val="100"/>
                <w:position w:val="0"/>
                <w:sz w:val="24"/>
                <w:highlight w:val="none"/>
              </w:rPr>
              <w:t>因此本次环评对施工期环境影响做以下分析。</w:t>
            </w:r>
          </w:p>
          <w:p w14:paraId="2617CAC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1</w:t>
            </w:r>
            <w:r>
              <w:rPr>
                <w:rFonts w:hint="default"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eastAsiaTheme="minorEastAsia"/>
                <w:b/>
                <w:bCs/>
                <w:color w:val="auto"/>
                <w:sz w:val="24"/>
                <w:szCs w:val="24"/>
                <w:highlight w:val="none"/>
              </w:rPr>
              <w:t>废气污染物防治措施</w:t>
            </w:r>
          </w:p>
          <w:p w14:paraId="77A3E27C">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（1）扬尘</w:t>
            </w:r>
          </w:p>
          <w:p w14:paraId="497D4886">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施工期场地平整、地基开挖、构建地面建筑物以及建筑材料和垃圾运输、装卸、堆放等过程均会产生扬尘，主要污染因子为TSP。</w:t>
            </w:r>
          </w:p>
          <w:p w14:paraId="1AC999C1">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扬尘量与施工作业方式、施工管理水平及气象条件密切相关。一般来说，干燥及大风条件下，扬尘量较大。因此，避免在大风天气进行土地开挖和回填作业，减少开挖土方的露天堆放时间，尽量随挖随填，且保证一定的含水率是抑制这类扬尘的有效手段。一般情况下，施工场地在自然风作用下产生的扬尘所影响的范围在150m以内。如果在施工期间对施工场地及露天堆场实施洒水抑尘，每天洒水4-5次，可使扬尘减少70%—80%左右，每天实施洒水4-5次进行抑尘，可有效控制施工扬尘，将TSP污染距离缩小到20-50m范围。</w:t>
            </w:r>
          </w:p>
          <w:p w14:paraId="0CB55FB0">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为了最大限度地减轻项目施工扬尘对周边环境造成影响，要求施工单位在施工期严格按照《建设工程施工现场环境与卫生标准》（JGJ146-2013）的要求采取有效的大气污染防治措施，保持施工场地湿度、及时洒水抑尘、设置防尘网等防尘屏挡设施，并尽量避免在大风条件下施工，最大限度降低施工扬尘对周围环境空气影响。</w:t>
            </w:r>
          </w:p>
          <w:p w14:paraId="6A852089">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①</w:t>
            </w:r>
            <w:r>
              <w:rPr>
                <w:rFonts w:hint="default" w:ascii="Times New Roman" w:hAnsi="Times New Roman" w:eastAsia="宋体" w:cs="Times New Roman"/>
                <w:color w:val="auto"/>
                <w:spacing w:val="0"/>
                <w:w w:val="100"/>
                <w:kern w:val="0"/>
                <w:position w:val="0"/>
                <w:sz w:val="24"/>
                <w:szCs w:val="21"/>
                <w:highlight w:val="none"/>
                <w:lang w:val="en-US" w:eastAsia="zh-CN" w:bidi="ar-SA"/>
              </w:rPr>
              <w:t>施工区四周设置高度1.8m以上的围挡，以保护场区边界外环境。</w:t>
            </w:r>
          </w:p>
          <w:p w14:paraId="07F7AED1">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②</w:t>
            </w:r>
            <w:r>
              <w:rPr>
                <w:rFonts w:hint="default" w:ascii="Times New Roman" w:hAnsi="Times New Roman" w:eastAsia="宋体" w:cs="Times New Roman"/>
                <w:color w:val="auto"/>
                <w:spacing w:val="0"/>
                <w:w w:val="100"/>
                <w:kern w:val="0"/>
                <w:position w:val="0"/>
                <w:sz w:val="24"/>
                <w:szCs w:val="21"/>
                <w:highlight w:val="none"/>
                <w:lang w:val="en-US" w:eastAsia="zh-CN" w:bidi="ar-SA"/>
              </w:rPr>
              <w:t>施工现场裸露的场地和堆放的土方应采取覆盖及洒水等措施。土方作业应采取防止扬尘措施，主要采取定期洒水措施。</w:t>
            </w:r>
          </w:p>
          <w:p w14:paraId="443CA1B0">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③</w:t>
            </w:r>
            <w:r>
              <w:rPr>
                <w:rFonts w:hint="default" w:ascii="Times New Roman" w:hAnsi="Times New Roman" w:eastAsia="宋体" w:cs="Times New Roman"/>
                <w:color w:val="auto"/>
                <w:spacing w:val="0"/>
                <w:w w:val="100"/>
                <w:kern w:val="0"/>
                <w:position w:val="0"/>
                <w:sz w:val="24"/>
                <w:szCs w:val="21"/>
                <w:highlight w:val="none"/>
                <w:lang w:val="en-US" w:eastAsia="zh-CN" w:bidi="ar-SA"/>
              </w:rPr>
              <w:t>建筑垃圾的运输必须采用封闭式运输车辆或采取覆盖措施。施工现场出口处应设置车辆冲洗设施，并对驶出的车辆进行清洗。4）施工垃圾严禁凌空抛掷。</w:t>
            </w:r>
          </w:p>
          <w:p w14:paraId="7616F71D">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④</w:t>
            </w:r>
            <w:r>
              <w:rPr>
                <w:rFonts w:hint="default" w:ascii="Times New Roman" w:hAnsi="Times New Roman" w:eastAsia="宋体" w:cs="Times New Roman"/>
                <w:color w:val="auto"/>
                <w:spacing w:val="0"/>
                <w:w w:val="100"/>
                <w:kern w:val="0"/>
                <w:position w:val="0"/>
                <w:sz w:val="24"/>
                <w:szCs w:val="21"/>
                <w:highlight w:val="none"/>
                <w:lang w:val="en-US" w:eastAsia="zh-CN" w:bidi="ar-SA"/>
              </w:rPr>
              <w:t>施工现场严禁焚烧各类废弃物。</w:t>
            </w:r>
          </w:p>
          <w:p w14:paraId="0601CC4F">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⑤</w:t>
            </w:r>
            <w:r>
              <w:rPr>
                <w:rFonts w:hint="default" w:ascii="Times New Roman" w:hAnsi="Times New Roman" w:eastAsia="宋体" w:cs="Times New Roman"/>
                <w:color w:val="auto"/>
                <w:spacing w:val="0"/>
                <w:w w:val="100"/>
                <w:kern w:val="0"/>
                <w:position w:val="0"/>
                <w:sz w:val="24"/>
                <w:szCs w:val="21"/>
                <w:highlight w:val="none"/>
                <w:lang w:val="en-US" w:eastAsia="zh-CN" w:bidi="ar-SA"/>
              </w:rPr>
              <w:t>施工现场应使用预拌混凝土及预拌砂浆。灰土和无机料应采用预拌进场，碾压过程中应洒水降尘，以保护场区周围环境。</w:t>
            </w:r>
          </w:p>
          <w:p w14:paraId="2319639A">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⑥</w:t>
            </w:r>
            <w:r>
              <w:rPr>
                <w:rFonts w:hint="default" w:ascii="Times New Roman" w:hAnsi="Times New Roman" w:eastAsia="宋体" w:cs="Times New Roman"/>
                <w:color w:val="auto"/>
                <w:spacing w:val="0"/>
                <w:w w:val="100"/>
                <w:kern w:val="0"/>
                <w:position w:val="0"/>
                <w:sz w:val="24"/>
                <w:szCs w:val="21"/>
                <w:highlight w:val="none"/>
                <w:lang w:val="en-US" w:eastAsia="zh-CN" w:bidi="ar-SA"/>
              </w:rPr>
              <w:t>施工期间进出施工现场车辆将使地面起尘，因此运输车辆进出的主干道应定期洒水清扫，保持车辆出入路面清洁、湿润，以减少汽车轮胎与路面接触而引起的地面扬尘污染，并尽量减缓行驶车速。</w:t>
            </w:r>
          </w:p>
          <w:p w14:paraId="743452CE">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⑦</w:t>
            </w:r>
            <w:r>
              <w:rPr>
                <w:rFonts w:hint="default" w:ascii="Times New Roman" w:hAnsi="Times New Roman" w:eastAsia="宋体" w:cs="Times New Roman"/>
                <w:color w:val="auto"/>
                <w:spacing w:val="0"/>
                <w:w w:val="100"/>
                <w:kern w:val="0"/>
                <w:position w:val="0"/>
                <w:sz w:val="24"/>
                <w:szCs w:val="21"/>
                <w:highlight w:val="none"/>
                <w:lang w:val="en-US" w:eastAsia="zh-CN" w:bidi="ar-SA"/>
              </w:rPr>
              <w:t>运输建筑材料及建筑垃圾的车辆装载高度应低于车厢上沿，不得超高超载。实行封闭运输，以免车辆颠簸撒漏。施工车辆在驶出施工区之前，需要清泥除尘处理，不得将泥土尘土带出工地。</w:t>
            </w:r>
          </w:p>
          <w:p w14:paraId="61E62CE0">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cs="Times New Roman"/>
                <w:color w:val="auto"/>
                <w:spacing w:val="0"/>
                <w:w w:val="100"/>
                <w:kern w:val="0"/>
                <w:position w:val="0"/>
                <w:sz w:val="24"/>
                <w:szCs w:val="21"/>
                <w:highlight w:val="none"/>
                <w:lang w:val="en-US" w:eastAsia="zh-CN" w:bidi="ar-SA"/>
              </w:rPr>
              <w:t>⑧</w:t>
            </w:r>
            <w:r>
              <w:rPr>
                <w:rFonts w:hint="default" w:ascii="Times New Roman" w:hAnsi="Times New Roman" w:eastAsia="宋体" w:cs="Times New Roman"/>
                <w:color w:val="auto"/>
                <w:spacing w:val="0"/>
                <w:w w:val="100"/>
                <w:kern w:val="0"/>
                <w:position w:val="0"/>
                <w:sz w:val="24"/>
                <w:szCs w:val="21"/>
                <w:highlight w:val="none"/>
                <w:lang w:val="en-US" w:eastAsia="zh-CN" w:bidi="ar-SA"/>
              </w:rPr>
              <w:t>加强对施工人员的环保教育，增强全体施工人员的环保意识，坚持文明施工、科学施工。</w:t>
            </w:r>
          </w:p>
          <w:p w14:paraId="05A2D90E">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在严格按照以上要求施工并采取严格的防尘抑尘等环保措施的情况下，拟建项目施工期扬尘不会对周边环境空气造成大的污染。施工期粉尘影响是短暂的，且影响随施工期结束而结束。</w:t>
            </w:r>
          </w:p>
          <w:p w14:paraId="0EDAEC73">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（2）施工机械和运输车辆的尾气</w:t>
            </w:r>
          </w:p>
          <w:p w14:paraId="14B405F2">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本项目施工机械运行、汽车运输时所排放的尾气中主要污染因子为SO</w:t>
            </w:r>
            <w:r>
              <w:rPr>
                <w:rFonts w:hint="default" w:ascii="Times New Roman" w:hAnsi="Times New Roman" w:eastAsia="宋体" w:cs="Times New Roman"/>
                <w:color w:val="auto"/>
                <w:spacing w:val="0"/>
                <w:w w:val="100"/>
                <w:kern w:val="0"/>
                <w:position w:val="0"/>
                <w:sz w:val="24"/>
                <w:szCs w:val="21"/>
                <w:highlight w:val="none"/>
                <w:vertAlign w:val="subscript"/>
                <w:lang w:val="en-US" w:eastAsia="zh-CN" w:bidi="ar-SA"/>
              </w:rPr>
              <w:t>2</w:t>
            </w:r>
            <w:r>
              <w:rPr>
                <w:rFonts w:hint="default" w:ascii="Times New Roman" w:hAnsi="Times New Roman" w:eastAsia="宋体" w:cs="Times New Roman"/>
                <w:color w:val="auto"/>
                <w:spacing w:val="0"/>
                <w:w w:val="100"/>
                <w:kern w:val="0"/>
                <w:position w:val="0"/>
                <w:sz w:val="24"/>
                <w:szCs w:val="21"/>
                <w:highlight w:val="none"/>
                <w:lang w:val="en-US" w:eastAsia="zh-CN" w:bidi="ar-SA"/>
              </w:rPr>
              <w:t>、CO、NOx、碳氢化合物。这些施工机械及车辆所排放的废气以无组织面源、间歇式排放，主要对运输路线两侧局部范围产生一定影响。但项目工程量较小，车辆使用数量较少，尾气排放量有限，且随施工的结束而消失，只要加强设备及车辆的养护，严格执行国家关于机动车辆的尾气排放规定，施工机械和运输车辆的尾气不会对当地环境空气质量造成不良影响。</w:t>
            </w:r>
          </w:p>
          <w:p w14:paraId="655E5A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2</w:t>
            </w:r>
            <w:r>
              <w:rPr>
                <w:rFonts w:hint="default"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eastAsiaTheme="minorEastAsia"/>
                <w:b/>
                <w:bCs/>
                <w:color w:val="auto"/>
                <w:sz w:val="24"/>
                <w:szCs w:val="24"/>
                <w:highlight w:val="none"/>
              </w:rPr>
              <w:t>废水污染物防治措施</w:t>
            </w:r>
          </w:p>
          <w:p w14:paraId="6FCB8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施工期的废水主要为生活污水，主要来自于施工人员的日常生活。</w:t>
            </w:r>
          </w:p>
          <w:p w14:paraId="6E9037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因施工人员少，施工工期短，且不在场内食宿，施工期产生的生活污水量很少，可直接排入厂区现有</w:t>
            </w:r>
            <w:r>
              <w:rPr>
                <w:rFonts w:hint="default" w:ascii="Times New Roman" w:hAnsi="Times New Roman" w:cs="Times New Roman" w:eastAsiaTheme="minorEastAsia"/>
                <w:color w:val="auto"/>
                <w:sz w:val="24"/>
                <w:szCs w:val="24"/>
                <w:highlight w:val="none"/>
                <w:lang w:val="en-US" w:eastAsia="zh-CN"/>
              </w:rPr>
              <w:t>地埋式化粪池集中收集</w:t>
            </w:r>
            <w:r>
              <w:rPr>
                <w:rFonts w:hint="default" w:ascii="Times New Roman" w:hAnsi="Times New Roman" w:cs="Times New Roman" w:eastAsiaTheme="minorEastAsia"/>
                <w:color w:val="auto"/>
                <w:sz w:val="24"/>
                <w:szCs w:val="24"/>
                <w:highlight w:val="none"/>
              </w:rPr>
              <w:t>，定期由环卫部门拉运</w:t>
            </w:r>
            <w:r>
              <w:rPr>
                <w:rFonts w:hint="default" w:ascii="Times New Roman" w:hAnsi="Times New Roman" w:cs="Times New Roman" w:eastAsiaTheme="minorEastAsia"/>
                <w:color w:val="auto"/>
                <w:sz w:val="24"/>
                <w:szCs w:val="24"/>
                <w:highlight w:val="none"/>
                <w:lang w:val="en-US" w:eastAsia="zh-CN"/>
              </w:rPr>
              <w:t>至昌吉市第二污水处理厂</w:t>
            </w:r>
            <w:r>
              <w:rPr>
                <w:rFonts w:hint="default" w:ascii="Times New Roman" w:hAnsi="Times New Roman" w:cs="Times New Roman" w:eastAsiaTheme="minorEastAsia"/>
                <w:color w:val="auto"/>
                <w:sz w:val="24"/>
                <w:szCs w:val="24"/>
                <w:highlight w:val="none"/>
              </w:rPr>
              <w:t>。</w:t>
            </w:r>
          </w:p>
          <w:p w14:paraId="2D9B79F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3</w:t>
            </w:r>
            <w:r>
              <w:rPr>
                <w:rFonts w:hint="default"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eastAsiaTheme="minorEastAsia"/>
                <w:b/>
                <w:bCs/>
                <w:color w:val="auto"/>
                <w:sz w:val="24"/>
                <w:szCs w:val="24"/>
                <w:highlight w:val="none"/>
              </w:rPr>
              <w:t>噪声防治措施</w:t>
            </w:r>
          </w:p>
          <w:p w14:paraId="03C9B12A">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施工期的噪声主要来自施工机械运行及运输车辆的往来噪声。</w:t>
            </w:r>
          </w:p>
          <w:p w14:paraId="2681D38D">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虽然施工期噪声影响是暂时的、短期的行为，随着工程竣工，施工噪声对环境的不利影响将不再存在。但为了减小施工噪声对施工人员及周围环境的影响，建设单位和工程施工单位必须按照《中华人民共和国环境噪声污染防治条例》和地方环保部门的规定，规范施工行为。</w:t>
            </w:r>
          </w:p>
          <w:p w14:paraId="274A9327">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为了最大限度减少工程施工噪声对周边环境的影响，建设单位应采取以下防噪降噪措施。</w:t>
            </w:r>
          </w:p>
          <w:p w14:paraId="2127B105">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（1）合理安排施工时间及施工设备组合，避免同一时间使用大量高噪声设备，加强现场管理，禁止人员大声喧，在现场设置禁止鸣笛标志，禁止进出车辆鸣笛。</w:t>
            </w:r>
          </w:p>
          <w:p w14:paraId="3793BD21">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（2）尽力避免大量噪声设备同时使用，避免在同一地点安排多动力机械设备，控制不产生局部声级过高。</w:t>
            </w:r>
          </w:p>
          <w:p w14:paraId="517A97C8">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3）在施工设备的选型上尽量采用低噪声设备：固定机械设备与挖土、运土机构，如挖土机、推土机等，可通过消声器和隔离发动机部件的方法降低噪声空压机、发电机等高噪声设备在使用时，可采用固定式或活动式隔声罩或隔声屏障进行局部拦挡。加强对设备的维护、养护。尽可能采用外加工材料，减少现场加工的工作量。</w:t>
            </w:r>
          </w:p>
          <w:p w14:paraId="5CAA0207">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4）加强环境管理，对于必须夜间施工的情况，应认真执行申报审批手续，并报环保部门备案。根据有关规定，建设施工时除抢修、抢险作业和因生产工艺要求或者特殊要求必须连续作业外，禁止夜间进行产生环境噪声污染的建筑施工作业。</w:t>
            </w:r>
          </w:p>
          <w:p w14:paraId="5C8994B8">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（5）降低人为噪声，按规定操作机械设备，模板、支架拆卸吊装过程中，遵守作业规定，减少碰撞噪声。尽量少用哨子等指挥作业，而代以现代化设备如用无线对讲机等。</w:t>
            </w:r>
          </w:p>
          <w:p w14:paraId="7477F0CB">
            <w:pPr>
              <w:pStyle w:val="63"/>
              <w:keepNext w:val="0"/>
              <w:keepLines w:val="0"/>
              <w:pageBreakBefore w:val="0"/>
              <w:kinsoku/>
              <w:wordWrap/>
              <w:overflowPunct/>
              <w:topLinePunct w:val="0"/>
              <w:autoSpaceDE/>
              <w:autoSpaceDN/>
              <w:bidi w:val="0"/>
              <w:adjustRightInd/>
              <w:snapToGrid/>
              <w:spacing w:line="360" w:lineRule="auto"/>
              <w:ind w:left="0" w:right="0" w:firstLine="480" w:firstLineChars="200"/>
              <w:jc w:val="both"/>
              <w:textAlignment w:val="auto"/>
              <w:rPr>
                <w:rFonts w:hint="default" w:ascii="Times New Roman" w:hAnsi="Times New Roman" w:eastAsia="宋体" w:cs="Times New Roman"/>
                <w:color w:val="auto"/>
                <w:spacing w:val="0"/>
                <w:w w:val="100"/>
                <w:kern w:val="0"/>
                <w:position w:val="0"/>
                <w:sz w:val="24"/>
                <w:szCs w:val="21"/>
                <w:highlight w:val="none"/>
                <w:lang w:val="en-US" w:eastAsia="zh-CN" w:bidi="ar-SA"/>
              </w:rPr>
            </w:pPr>
            <w:r>
              <w:rPr>
                <w:rFonts w:hint="default" w:ascii="Times New Roman" w:hAnsi="Times New Roman" w:eastAsia="宋体" w:cs="Times New Roman"/>
                <w:color w:val="auto"/>
                <w:spacing w:val="0"/>
                <w:w w:val="100"/>
                <w:kern w:val="0"/>
                <w:position w:val="0"/>
                <w:sz w:val="24"/>
                <w:szCs w:val="21"/>
                <w:highlight w:val="none"/>
                <w:lang w:val="en-US" w:eastAsia="zh-CN" w:bidi="ar-SA"/>
              </w:rPr>
              <w:t>项目施工噪声属于暂时污染源，将随着施工的结束而停止，施工中只要采取合理的施工布置和相应的降噪隔声措施，项目边界噪声能达到《建筑施工场界环境噪声排放标准限值》（GB12523－2011）的要求，项目施工噪声值可控制在可接受范围内。</w:t>
            </w:r>
          </w:p>
          <w:p w14:paraId="52991E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采取上述有效措施对项目区施工噪声进行控制后，本项目施工噪声对周围声环境影响较小。</w:t>
            </w:r>
          </w:p>
          <w:p w14:paraId="574637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4</w:t>
            </w:r>
            <w:r>
              <w:rPr>
                <w:rFonts w:hint="default"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eastAsiaTheme="minorEastAsia"/>
                <w:b/>
                <w:bCs/>
                <w:color w:val="auto"/>
                <w:sz w:val="24"/>
                <w:szCs w:val="24"/>
                <w:highlight w:val="none"/>
              </w:rPr>
              <w:t>固体废弃物防治措施</w:t>
            </w:r>
          </w:p>
          <w:p w14:paraId="3BC2C2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施工过程中主要产生的固体废物为安装设备产生的废包装物和施工人员产生的生活垃圾。</w:t>
            </w:r>
          </w:p>
          <w:p w14:paraId="65C6E2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color w:val="auto"/>
                <w:sz w:val="24"/>
                <w:szCs w:val="24"/>
                <w:highlight w:val="none"/>
                <w:vertAlign w:val="baseline"/>
                <w:lang w:val="en-US" w:eastAsia="zh-CN"/>
              </w:rPr>
            </w:pPr>
            <w:r>
              <w:rPr>
                <w:rFonts w:hint="default" w:ascii="Times New Roman" w:hAnsi="Times New Roman" w:cs="Times New Roman" w:eastAsiaTheme="minorEastAsia"/>
                <w:color w:val="auto"/>
                <w:sz w:val="24"/>
                <w:szCs w:val="24"/>
                <w:highlight w:val="none"/>
              </w:rPr>
              <w:t>本项目产生的废包装物定期清理，回收利用，施工区设立垃圾收集箱，生活垃圾定期由环卫部门统一清运，垃圾拉运到指定垃圾填埋场进行集中处理。施工区作业结束后，应及时、全面地进行清场作业，做到施工区内不遗留各类垃圾。</w:t>
            </w:r>
          </w:p>
        </w:tc>
      </w:tr>
      <w:tr w14:paraId="69F34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9" w:type="dxa"/>
            <w:tcBorders>
              <w:tl2br w:val="nil"/>
              <w:tr2bl w:val="nil"/>
            </w:tcBorders>
            <w:vAlign w:val="center"/>
          </w:tcPr>
          <w:p w14:paraId="6C3F78F5">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运营</w:t>
            </w:r>
          </w:p>
          <w:p w14:paraId="27D051D2">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期环</w:t>
            </w:r>
          </w:p>
          <w:p w14:paraId="47C42D73">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境影</w:t>
            </w:r>
          </w:p>
          <w:p w14:paraId="1FD93D76">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响和</w:t>
            </w:r>
          </w:p>
          <w:p w14:paraId="6B863214">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保护</w:t>
            </w:r>
          </w:p>
          <w:p w14:paraId="3B5CB690">
            <w:pPr>
              <w:rPr>
                <w:rFonts w:hint="default" w:ascii="Times New Roman" w:hAnsi="Times New Roman" w:cs="Times New Roman"/>
                <w:color w:val="auto"/>
                <w:highlight w:val="none"/>
                <w:vertAlign w:val="baseline"/>
              </w:rPr>
            </w:pPr>
            <w:r>
              <w:rPr>
                <w:rFonts w:hint="default" w:ascii="Times New Roman" w:hAnsi="Times New Roman" w:cs="Times New Roman"/>
                <w:bCs/>
                <w:color w:val="auto"/>
                <w:sz w:val="24"/>
                <w:szCs w:val="24"/>
                <w:highlight w:val="none"/>
              </w:rPr>
              <w:t>措施</w:t>
            </w:r>
          </w:p>
        </w:tc>
        <w:tc>
          <w:tcPr>
            <w:tcW w:w="7753" w:type="dxa"/>
            <w:tcBorders>
              <w:tl2br w:val="nil"/>
              <w:tr2bl w:val="nil"/>
            </w:tcBorders>
          </w:tcPr>
          <w:p w14:paraId="732C542B">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lang w:eastAsia="zh-CN"/>
              </w:rPr>
              <w:t>大气环境影响及保护措施</w:t>
            </w:r>
          </w:p>
          <w:p w14:paraId="502A9D62">
            <w:pPr>
              <w:keepNext w:val="0"/>
              <w:keepLines w:val="0"/>
              <w:pageBreakBefore w:val="0"/>
              <w:widowControl w:val="0"/>
              <w:kinsoku/>
              <w:wordWrap/>
              <w:overflowPunct w:val="0"/>
              <w:topLinePunct w:val="0"/>
              <w:autoSpaceDE/>
              <w:autoSpaceDN/>
              <w:bidi w:val="0"/>
              <w:spacing w:line="360" w:lineRule="auto"/>
              <w:contextualSpacing/>
              <w:textAlignment w:val="auto"/>
              <w:rPr>
                <w:rFonts w:hint="default" w:ascii="Times New Roman" w:hAnsi="Times New Roman" w:cs="Times New Roman"/>
                <w:b/>
                <w:bCs/>
                <w:snapToGrid w:val="0"/>
                <w:color w:val="auto"/>
                <w:sz w:val="24"/>
                <w:szCs w:val="24"/>
                <w:highlight w:val="none"/>
                <w:lang w:val="en-US" w:eastAsia="zh-CN"/>
              </w:rPr>
            </w:pPr>
            <w:r>
              <w:rPr>
                <w:rFonts w:hint="default" w:ascii="Times New Roman" w:hAnsi="Times New Roman" w:cs="Times New Roman"/>
                <w:b/>
                <w:bCs/>
                <w:snapToGrid w:val="0"/>
                <w:color w:val="auto"/>
                <w:sz w:val="24"/>
                <w:szCs w:val="24"/>
                <w:highlight w:val="none"/>
                <w:lang w:val="en-US" w:eastAsia="zh-CN"/>
              </w:rPr>
              <w:t>1.1加热熔融工序产生的VOCs（以非甲烷总烃计）</w:t>
            </w:r>
          </w:p>
          <w:p w14:paraId="413BDA20">
            <w:pPr>
              <w:keepNext w:val="0"/>
              <w:keepLines w:val="0"/>
              <w:pageBreakBefore w:val="0"/>
              <w:widowControl w:val="0"/>
              <w:kinsoku/>
              <w:wordWrap/>
              <w:overflowPunct w:val="0"/>
              <w:topLinePunct w:val="0"/>
              <w:autoSpaceDE/>
              <w:autoSpaceDN/>
              <w:bidi w:val="0"/>
              <w:spacing w:line="360" w:lineRule="auto"/>
              <w:ind w:firstLine="480" w:firstLineChars="200"/>
              <w:contextualSpacing/>
              <w:textAlignment w:val="auto"/>
              <w:rPr>
                <w:rFonts w:hint="default" w:ascii="Times New Roman" w:hAnsi="Times New Roman" w:cs="Times New Roman"/>
                <w:b w:val="0"/>
                <w:bCs w:val="0"/>
                <w:snapToGrid w:val="0"/>
                <w:color w:val="auto"/>
                <w:sz w:val="24"/>
                <w:szCs w:val="24"/>
                <w:highlight w:val="none"/>
                <w:lang w:val="en-US" w:eastAsia="zh-CN"/>
              </w:rPr>
            </w:pPr>
            <w:r>
              <w:rPr>
                <w:rFonts w:hint="default" w:ascii="Times New Roman" w:hAnsi="Times New Roman" w:cs="Times New Roman"/>
                <w:b w:val="0"/>
                <w:bCs w:val="0"/>
                <w:snapToGrid w:val="0"/>
                <w:color w:val="auto"/>
                <w:sz w:val="24"/>
                <w:szCs w:val="24"/>
                <w:highlight w:val="none"/>
                <w:lang w:val="en-US" w:eastAsia="zh-CN"/>
              </w:rPr>
              <w:t>本项目设置20条地膜生产线，加热熔融工序会产生VOCs（以非甲烷总烃计），主要污染物为非甲烷总烃。项目使用的原料主要为聚乙烯颗粒，其分解温度＞270℃。项目在对原料进行加热熔融时均在密闭的吹塑机内进行，加热温度为170～200℃，不会导致塑料分解；项目所使用的设备均为电加热设备，在生产过程中不加任何助剂，不会使原料改性。</w:t>
            </w:r>
          </w:p>
          <w:p w14:paraId="3427E2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rPr>
              <w:t>根据</w:t>
            </w:r>
            <w:r>
              <w:rPr>
                <w:rFonts w:hint="default" w:ascii="Times New Roman" w:hAnsi="Times New Roman" w:cs="Times New Roman"/>
                <w:color w:val="auto"/>
                <w:sz w:val="24"/>
                <w:highlight w:val="none"/>
              </w:rPr>
              <w:t>《排放源统计调查产排污核算方法和系数手册》</w:t>
            </w:r>
            <w:r>
              <w:rPr>
                <w:rFonts w:hint="default" w:ascii="Times New Roman" w:hAnsi="Times New Roman" w:eastAsia="宋体" w:cs="Times New Roman"/>
                <w:b w:val="0"/>
                <w:bCs w:val="0"/>
                <w:color w:val="auto"/>
                <w:sz w:val="24"/>
                <w:szCs w:val="24"/>
                <w:highlight w:val="none"/>
                <w:lang w:val="en-US" w:eastAsia="zh-CN"/>
              </w:rPr>
              <w:t>2921塑料薄膜制造行业系数表，挥发性有机物的排污系数为2.5kg</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t产品</w:t>
            </w:r>
            <w:r>
              <w:rPr>
                <w:rFonts w:hint="default" w:ascii="Times New Roman" w:hAnsi="Times New Roman" w:eastAsia="宋体" w:cs="Times New Roman"/>
                <w:b w:val="0"/>
                <w:bCs w:val="0"/>
                <w:color w:val="auto"/>
                <w:sz w:val="24"/>
                <w:szCs w:val="24"/>
                <w:highlight w:val="none"/>
                <w:lang w:eastAsia="zh-CN"/>
              </w:rPr>
              <w:t>。</w:t>
            </w:r>
          </w:p>
          <w:p w14:paraId="16B3C0F6">
            <w:pPr>
              <w:pStyle w:val="60"/>
              <w:keepNext w:val="0"/>
              <w:keepLines w:val="0"/>
              <w:pageBreakBefore w:val="0"/>
              <w:kinsoku/>
              <w:overflowPunct/>
              <w:bidi w:val="0"/>
              <w:spacing w:line="240" w:lineRule="auto"/>
              <w:ind w:left="0" w:right="0" w:firstLine="420"/>
              <w:jc w:val="center"/>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表4-1</w:t>
            </w:r>
            <w:r>
              <w:rPr>
                <w:rFonts w:hint="default" w:ascii="Times New Roman" w:hAnsi="Times New Roman" w:cs="Times New Roman"/>
                <w:color w:val="auto"/>
                <w:spacing w:val="0"/>
                <w:w w:val="100"/>
                <w:position w:val="0"/>
                <w:sz w:val="21"/>
                <w:szCs w:val="21"/>
                <w:highlight w:val="none"/>
              </w:rPr>
              <w:t xml:space="preserve"> </w:t>
            </w:r>
            <w:r>
              <w:rPr>
                <w:rFonts w:hint="eastAsia" w:ascii="Times New Roman" w:hAnsi="Times New Roman" w:cs="Times New Roman"/>
                <w:color w:val="auto"/>
                <w:spacing w:val="0"/>
                <w:w w:val="100"/>
                <w:position w:val="0"/>
                <w:sz w:val="21"/>
                <w:szCs w:val="21"/>
                <w:highlight w:val="none"/>
                <w:lang w:val="en-US" w:eastAsia="zh-CN"/>
              </w:rPr>
              <w:t xml:space="preserve"> </w:t>
            </w:r>
            <w:r>
              <w:rPr>
                <w:rFonts w:hint="default" w:ascii="Times New Roman" w:hAnsi="Times New Roman" w:cs="Times New Roman"/>
                <w:color w:val="auto"/>
                <w:spacing w:val="0"/>
                <w:w w:val="100"/>
                <w:position w:val="0"/>
                <w:sz w:val="21"/>
                <w:szCs w:val="21"/>
                <w:highlight w:val="none"/>
              </w:rPr>
              <w:t xml:space="preserve"> </w:t>
            </w:r>
            <w:r>
              <w:rPr>
                <w:rFonts w:hint="eastAsia" w:ascii="Times New Roman" w:hAnsi="Times New Roman" w:cs="Times New Roman"/>
                <w:b/>
                <w:bCs/>
                <w:color w:val="auto"/>
                <w:spacing w:val="0"/>
                <w:w w:val="100"/>
                <w:position w:val="0"/>
                <w:sz w:val="21"/>
                <w:szCs w:val="21"/>
                <w:highlight w:val="none"/>
                <w:lang w:val="en-US" w:eastAsia="zh-CN"/>
              </w:rPr>
              <w:t>塑料薄膜</w:t>
            </w:r>
            <w:r>
              <w:rPr>
                <w:rFonts w:hint="default" w:ascii="Times New Roman" w:hAnsi="Times New Roman" w:cs="Times New Roman"/>
                <w:b/>
                <w:bCs/>
                <w:color w:val="auto"/>
                <w:spacing w:val="0"/>
                <w:w w:val="100"/>
                <w:position w:val="0"/>
                <w:sz w:val="21"/>
                <w:szCs w:val="21"/>
                <w:highlight w:val="none"/>
              </w:rPr>
              <w:t>行业系数表</w:t>
            </w:r>
          </w:p>
          <w:tbl>
            <w:tblPr>
              <w:tblStyle w:val="5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16"/>
              <w:gridCol w:w="1071"/>
              <w:gridCol w:w="969"/>
              <w:gridCol w:w="1005"/>
              <w:gridCol w:w="1016"/>
              <w:gridCol w:w="1071"/>
              <w:gridCol w:w="1207"/>
            </w:tblGrid>
            <w:tr w14:paraId="37AD7F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48" w:type="pct"/>
                  <w:tcBorders>
                    <w:bottom w:val="single" w:color="000000" w:sz="12" w:space="0"/>
                  </w:tcBorders>
                  <w:vAlign w:val="center"/>
                </w:tcPr>
                <w:p w14:paraId="4D7BCB55">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原料名称</w:t>
                  </w:r>
                </w:p>
              </w:tc>
              <w:tc>
                <w:tcPr>
                  <w:tcW w:w="718" w:type="pct"/>
                  <w:tcBorders>
                    <w:bottom w:val="single" w:color="000000" w:sz="12" w:space="0"/>
                  </w:tcBorders>
                  <w:vAlign w:val="center"/>
                </w:tcPr>
                <w:p w14:paraId="161A4808">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产品名称</w:t>
                  </w:r>
                </w:p>
              </w:tc>
              <w:tc>
                <w:tcPr>
                  <w:tcW w:w="650" w:type="pct"/>
                  <w:tcBorders>
                    <w:bottom w:val="single" w:color="000000" w:sz="12" w:space="0"/>
                  </w:tcBorders>
                  <w:vAlign w:val="center"/>
                </w:tcPr>
                <w:p w14:paraId="652C8DD0">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工艺名称</w:t>
                  </w:r>
                </w:p>
              </w:tc>
              <w:tc>
                <w:tcPr>
                  <w:tcW w:w="674" w:type="pct"/>
                  <w:tcBorders>
                    <w:bottom w:val="single" w:color="000000" w:sz="12" w:space="0"/>
                  </w:tcBorders>
                  <w:vAlign w:val="center"/>
                </w:tcPr>
                <w:p w14:paraId="480CA58E">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规模等级</w:t>
                  </w:r>
                </w:p>
              </w:tc>
              <w:tc>
                <w:tcPr>
                  <w:tcW w:w="681" w:type="pct"/>
                  <w:tcBorders>
                    <w:bottom w:val="single" w:color="000000" w:sz="12" w:space="0"/>
                  </w:tcBorders>
                  <w:vAlign w:val="center"/>
                </w:tcPr>
                <w:p w14:paraId="6E1A080C">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污染物指标</w:t>
                  </w:r>
                </w:p>
              </w:tc>
              <w:tc>
                <w:tcPr>
                  <w:tcW w:w="718" w:type="pct"/>
                  <w:tcBorders>
                    <w:bottom w:val="single" w:color="000000" w:sz="12" w:space="0"/>
                  </w:tcBorders>
                  <w:vAlign w:val="center"/>
                </w:tcPr>
                <w:p w14:paraId="4505D4CF">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单位</w:t>
                  </w:r>
                </w:p>
              </w:tc>
              <w:tc>
                <w:tcPr>
                  <w:tcW w:w="809" w:type="pct"/>
                  <w:tcBorders>
                    <w:bottom w:val="single" w:color="000000" w:sz="12" w:space="0"/>
                  </w:tcBorders>
                  <w:vAlign w:val="center"/>
                </w:tcPr>
                <w:p w14:paraId="08B97E88">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0"/>
                      <w:w w:val="100"/>
                      <w:position w:val="0"/>
                      <w:sz w:val="21"/>
                      <w:szCs w:val="21"/>
                      <w:highlight w:val="none"/>
                    </w:rPr>
                  </w:pPr>
                  <w:r>
                    <w:rPr>
                      <w:rFonts w:hint="default" w:ascii="Times New Roman" w:hAnsi="Times New Roman" w:cs="Times New Roman"/>
                      <w:b/>
                      <w:bCs/>
                      <w:color w:val="auto"/>
                      <w:spacing w:val="0"/>
                      <w:w w:val="100"/>
                      <w:position w:val="0"/>
                      <w:sz w:val="21"/>
                      <w:szCs w:val="21"/>
                      <w:highlight w:val="none"/>
                    </w:rPr>
                    <w:t>产排系数</w:t>
                  </w:r>
                </w:p>
              </w:tc>
            </w:tr>
            <w:tr w14:paraId="6F08D7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48" w:type="pct"/>
                  <w:tcBorders>
                    <w:top w:val="single" w:color="000000" w:sz="12" w:space="0"/>
                    <w:tl2br w:val="nil"/>
                    <w:tr2bl w:val="nil"/>
                  </w:tcBorders>
                  <w:vAlign w:val="center"/>
                </w:tcPr>
                <w:p w14:paraId="74CAEBE2">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0"/>
                      <w:w w:val="100"/>
                      <w:position w:val="0"/>
                      <w:sz w:val="21"/>
                      <w:szCs w:val="21"/>
                      <w:highlight w:val="none"/>
                    </w:rPr>
                  </w:pPr>
                  <w:r>
                    <w:rPr>
                      <w:rFonts w:hint="eastAsia" w:ascii="Times New Roman" w:hAnsi="Times New Roman" w:cs="Times New Roman"/>
                      <w:b/>
                      <w:bCs/>
                      <w:color w:val="auto"/>
                      <w:spacing w:val="0"/>
                      <w:w w:val="100"/>
                      <w:position w:val="0"/>
                      <w:sz w:val="21"/>
                      <w:szCs w:val="21"/>
                      <w:highlight w:val="none"/>
                      <w:lang w:val="en-US" w:eastAsia="zh-CN"/>
                    </w:rPr>
                    <w:t>塑料薄膜</w:t>
                  </w:r>
                </w:p>
              </w:tc>
              <w:tc>
                <w:tcPr>
                  <w:tcW w:w="718" w:type="pct"/>
                  <w:tcBorders>
                    <w:top w:val="single" w:color="000000" w:sz="12" w:space="0"/>
                    <w:tl2br w:val="nil"/>
                    <w:tr2bl w:val="nil"/>
                  </w:tcBorders>
                  <w:vAlign w:val="center"/>
                </w:tcPr>
                <w:p w14:paraId="5C6CE898">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树脂、助剂</w:t>
                  </w:r>
                </w:p>
              </w:tc>
              <w:tc>
                <w:tcPr>
                  <w:tcW w:w="650" w:type="pct"/>
                  <w:tcBorders>
                    <w:top w:val="single" w:color="000000" w:sz="12" w:space="0"/>
                    <w:tl2br w:val="nil"/>
                    <w:tr2bl w:val="nil"/>
                  </w:tcBorders>
                  <w:vAlign w:val="center"/>
                </w:tcPr>
                <w:p w14:paraId="6D82FE8E">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配料、混合、挤出</w:t>
                  </w:r>
                </w:p>
              </w:tc>
              <w:tc>
                <w:tcPr>
                  <w:tcW w:w="674" w:type="pct"/>
                  <w:tcBorders>
                    <w:top w:val="single" w:color="000000" w:sz="12" w:space="0"/>
                    <w:tl2br w:val="nil"/>
                    <w:tr2bl w:val="nil"/>
                  </w:tcBorders>
                  <w:vAlign w:val="center"/>
                </w:tcPr>
                <w:p w14:paraId="2A2127EA">
                  <w:pPr>
                    <w:pStyle w:val="63"/>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所有规模</w:t>
                  </w:r>
                </w:p>
              </w:tc>
              <w:tc>
                <w:tcPr>
                  <w:tcW w:w="681" w:type="pct"/>
                  <w:tcBorders>
                    <w:top w:val="single" w:color="000000" w:sz="12" w:space="0"/>
                    <w:tl2br w:val="nil"/>
                    <w:tr2bl w:val="nil"/>
                  </w:tcBorders>
                  <w:vAlign w:val="center"/>
                </w:tcPr>
                <w:p w14:paraId="5300D57A">
                  <w:pPr>
                    <w:pStyle w:val="6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挥发性有机物</w:t>
                  </w:r>
                </w:p>
              </w:tc>
              <w:tc>
                <w:tcPr>
                  <w:tcW w:w="718" w:type="pct"/>
                  <w:tcBorders>
                    <w:top w:val="single" w:color="000000" w:sz="12" w:space="0"/>
                    <w:tl2br w:val="nil"/>
                    <w:tr2bl w:val="nil"/>
                  </w:tcBorders>
                  <w:vAlign w:val="center"/>
                </w:tcPr>
                <w:p w14:paraId="732BA061">
                  <w:pPr>
                    <w:pStyle w:val="6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0"/>
                      <w:w w:val="100"/>
                      <w:position w:val="0"/>
                      <w:sz w:val="21"/>
                      <w:szCs w:val="21"/>
                      <w:highlight w:val="none"/>
                    </w:rPr>
                  </w:pPr>
                  <w:r>
                    <w:rPr>
                      <w:rFonts w:hint="default" w:ascii="Times New Roman" w:hAnsi="Times New Roman" w:cs="Times New Roman"/>
                      <w:color w:val="auto"/>
                      <w:spacing w:val="0"/>
                      <w:w w:val="100"/>
                      <w:position w:val="0"/>
                      <w:sz w:val="21"/>
                      <w:szCs w:val="21"/>
                      <w:highlight w:val="none"/>
                    </w:rPr>
                    <w:t>千克/吨-产品</w:t>
                  </w:r>
                </w:p>
              </w:tc>
              <w:tc>
                <w:tcPr>
                  <w:tcW w:w="809" w:type="pct"/>
                  <w:tcBorders>
                    <w:top w:val="single" w:color="000000" w:sz="12" w:space="0"/>
                    <w:tl2br w:val="nil"/>
                    <w:tr2bl w:val="nil"/>
                  </w:tcBorders>
                  <w:vAlign w:val="center"/>
                </w:tcPr>
                <w:p w14:paraId="36D6D60E">
                  <w:pPr>
                    <w:pStyle w:val="6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Calibri" w:cs="Times New Roman"/>
                      <w:color w:val="auto"/>
                      <w:spacing w:val="0"/>
                      <w:w w:val="100"/>
                      <w:position w:val="0"/>
                      <w:sz w:val="21"/>
                      <w:szCs w:val="21"/>
                      <w:highlight w:val="none"/>
                    </w:rPr>
                  </w:pPr>
                  <w:r>
                    <w:rPr>
                      <w:rFonts w:hint="eastAsia" w:ascii="Times New Roman" w:hAnsi="Times New Roman" w:eastAsia="宋体" w:cs="Times New Roman"/>
                      <w:color w:val="auto"/>
                      <w:spacing w:val="0"/>
                      <w:w w:val="100"/>
                      <w:position w:val="0"/>
                      <w:sz w:val="21"/>
                      <w:szCs w:val="21"/>
                      <w:highlight w:val="none"/>
                      <w:lang w:val="en-US" w:eastAsia="zh-CN"/>
                    </w:rPr>
                    <w:t>2</w:t>
                  </w:r>
                  <w:r>
                    <w:rPr>
                      <w:rFonts w:hint="default" w:ascii="Times New Roman" w:hAnsi="Times New Roman" w:cs="Times New Roman"/>
                      <w:color w:val="auto"/>
                      <w:spacing w:val="0"/>
                      <w:w w:val="100"/>
                      <w:position w:val="0"/>
                      <w:sz w:val="21"/>
                      <w:szCs w:val="21"/>
                      <w:highlight w:val="none"/>
                    </w:rPr>
                    <w:t>.5</w:t>
                  </w:r>
                </w:p>
              </w:tc>
            </w:tr>
          </w:tbl>
          <w:p w14:paraId="4F573F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项目塑料薄膜生产过程中以聚乙烯树脂为原料，产品产量为</w:t>
            </w:r>
            <w:r>
              <w:rPr>
                <w:rFonts w:hint="default" w:ascii="Times New Roman" w:hAnsi="Times New Roman" w:cs="Times New Roman"/>
                <w:b w:val="0"/>
                <w:bCs w:val="0"/>
                <w:color w:val="auto"/>
                <w:sz w:val="24"/>
                <w:szCs w:val="24"/>
                <w:highlight w:val="none"/>
                <w:lang w:val="en-US" w:eastAsia="zh-CN"/>
              </w:rPr>
              <w:t>6000</w:t>
            </w:r>
            <w:r>
              <w:rPr>
                <w:rFonts w:hint="default" w:ascii="Times New Roman" w:hAnsi="Times New Roman" w:eastAsia="宋体" w:cs="Times New Roman"/>
                <w:b w:val="0"/>
                <w:bCs w:val="0"/>
                <w:color w:val="auto"/>
                <w:sz w:val="24"/>
                <w:szCs w:val="24"/>
                <w:highlight w:val="none"/>
                <w:lang w:val="en-US" w:eastAsia="zh-CN"/>
              </w:rPr>
              <w:t>t/a。因此本项目聚乙烯制品生产过程</w:t>
            </w:r>
            <w:r>
              <w:rPr>
                <w:rFonts w:hint="default" w:ascii="Times New Roman" w:hAnsi="Times New Roman" w:cs="Times New Roman"/>
                <w:b w:val="0"/>
                <w:bCs w:val="0"/>
                <w:color w:val="auto"/>
                <w:sz w:val="24"/>
                <w:szCs w:val="24"/>
                <w:highlight w:val="none"/>
                <w:lang w:val="en-US" w:eastAsia="zh-CN"/>
              </w:rPr>
              <w:t>VOCs（以非甲烷总烃计）</w:t>
            </w:r>
            <w:r>
              <w:rPr>
                <w:rFonts w:hint="default" w:ascii="Times New Roman" w:hAnsi="Times New Roman" w:eastAsia="宋体" w:cs="Times New Roman"/>
                <w:b w:val="0"/>
                <w:bCs w:val="0"/>
                <w:color w:val="auto"/>
                <w:sz w:val="24"/>
                <w:szCs w:val="24"/>
                <w:highlight w:val="none"/>
                <w:lang w:val="en-US" w:eastAsia="zh-CN"/>
              </w:rPr>
              <w:t>（以非甲烷总烃计）产生量为</w:t>
            </w:r>
            <w:r>
              <w:rPr>
                <w:rFonts w:hint="default" w:ascii="Times New Roman" w:hAnsi="Times New Roman"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rPr>
              <w:t>t/a</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年生产300天，日工作8小时计，产生速率为</w:t>
            </w:r>
            <w:r>
              <w:rPr>
                <w:rFonts w:hint="default" w:ascii="Times New Roman" w:hAnsi="Times New Roman" w:cs="Times New Roman"/>
                <w:b w:val="0"/>
                <w:bCs w:val="0"/>
                <w:color w:val="auto"/>
                <w:sz w:val="24"/>
                <w:szCs w:val="24"/>
                <w:highlight w:val="none"/>
                <w:lang w:val="en-US" w:eastAsia="zh-CN"/>
              </w:rPr>
              <w:t>6.25</w:t>
            </w:r>
            <w:r>
              <w:rPr>
                <w:rFonts w:hint="default" w:ascii="Times New Roman" w:hAnsi="Times New Roman" w:eastAsia="宋体" w:cs="Times New Roman"/>
                <w:b w:val="0"/>
                <w:bCs w:val="0"/>
                <w:color w:val="auto"/>
                <w:sz w:val="24"/>
                <w:szCs w:val="24"/>
                <w:highlight w:val="none"/>
              </w:rPr>
              <w:t>kg/</w:t>
            </w:r>
            <w:r>
              <w:rPr>
                <w:rFonts w:hint="default" w:ascii="Times New Roman" w:hAnsi="Times New Roman" w:eastAsia="宋体" w:cs="Times New Roman"/>
                <w:b w:val="0"/>
                <w:bCs w:val="0"/>
                <w:color w:val="auto"/>
                <w:sz w:val="24"/>
                <w:szCs w:val="24"/>
                <w:highlight w:val="none"/>
                <w:lang w:val="en-US" w:eastAsia="zh-CN"/>
              </w:rPr>
              <w:t>h。</w:t>
            </w:r>
          </w:p>
          <w:p w14:paraId="056B657E">
            <w:pPr>
              <w:pStyle w:val="6"/>
              <w:keepNext/>
              <w:keepLines w:val="0"/>
              <w:pageBreakBefore w:val="0"/>
              <w:widowControl w:val="0"/>
              <w:tabs>
                <w:tab w:val="left" w:pos="425"/>
              </w:tabs>
              <w:kinsoku/>
              <w:wordWrap/>
              <w:overflowPunct/>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rPr>
              <w:t>本项目</w:t>
            </w:r>
            <w:r>
              <w:rPr>
                <w:rFonts w:hint="default" w:ascii="Times New Roman" w:hAnsi="Times New Roman" w:eastAsia="宋体" w:cs="Times New Roman"/>
                <w:b w:val="0"/>
                <w:bCs w:val="0"/>
                <w:color w:val="auto"/>
                <w:sz w:val="24"/>
                <w:szCs w:val="24"/>
                <w:highlight w:val="none"/>
                <w:lang w:eastAsia="zh-CN"/>
              </w:rPr>
              <w:t>要求改进处理工艺</w:t>
            </w:r>
            <w:r>
              <w:rPr>
                <w:rFonts w:hint="default" w:ascii="Times New Roman" w:hAnsi="Times New Roman" w:eastAsia="宋体" w:cs="Times New Roman"/>
                <w:b w:val="0"/>
                <w:bCs w:val="0"/>
                <w:color w:val="auto"/>
                <w:sz w:val="24"/>
                <w:szCs w:val="24"/>
                <w:highlight w:val="none"/>
              </w:rPr>
              <w:t>在</w:t>
            </w:r>
            <w:r>
              <w:rPr>
                <w:rFonts w:hint="default" w:ascii="Times New Roman" w:hAnsi="Times New Roman" w:eastAsia="宋体" w:cs="Times New Roman"/>
                <w:b w:val="0"/>
                <w:bCs w:val="0"/>
                <w:color w:val="auto"/>
                <w:sz w:val="24"/>
                <w:szCs w:val="24"/>
                <w:highlight w:val="none"/>
                <w:lang w:val="en-US" w:eastAsia="zh-CN"/>
              </w:rPr>
              <w:t>吹塑机上方</w:t>
            </w:r>
            <w:r>
              <w:rPr>
                <w:rFonts w:hint="default" w:ascii="Times New Roman" w:hAnsi="Times New Roman" w:eastAsia="宋体" w:cs="Times New Roman"/>
                <w:b w:val="0"/>
                <w:bCs w:val="0"/>
                <w:color w:val="auto"/>
                <w:sz w:val="24"/>
                <w:szCs w:val="24"/>
                <w:highlight w:val="none"/>
              </w:rPr>
              <w:t>设</w:t>
            </w:r>
            <w:r>
              <w:rPr>
                <w:rFonts w:hint="default" w:ascii="Times New Roman" w:hAnsi="Times New Roman" w:eastAsia="宋体" w:cs="Times New Roman"/>
                <w:b w:val="0"/>
                <w:bCs w:val="0"/>
                <w:color w:val="auto"/>
                <w:sz w:val="24"/>
                <w:szCs w:val="24"/>
                <w:highlight w:val="none"/>
                <w:lang w:val="en-US" w:eastAsia="zh-CN"/>
              </w:rPr>
              <w:t>置负压集气</w:t>
            </w:r>
            <w:r>
              <w:rPr>
                <w:rFonts w:hint="default" w:ascii="Times New Roman" w:hAnsi="Times New Roman" w:eastAsia="宋体" w:cs="Times New Roman"/>
                <w:b w:val="0"/>
                <w:bCs w:val="0"/>
                <w:color w:val="auto"/>
                <w:sz w:val="24"/>
                <w:szCs w:val="24"/>
                <w:highlight w:val="none"/>
              </w:rPr>
              <w:t>罩</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20个集气罩，收集效率为90%</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，将</w:t>
            </w:r>
            <w:r>
              <w:rPr>
                <w:rFonts w:hint="default" w:ascii="Times New Roman" w:hAnsi="Times New Roman" w:eastAsia="宋体" w:cs="Times New Roman"/>
                <w:b w:val="0"/>
                <w:bCs w:val="0"/>
                <w:color w:val="auto"/>
                <w:sz w:val="24"/>
                <w:szCs w:val="24"/>
                <w:highlight w:val="none"/>
                <w:lang w:eastAsia="zh-CN"/>
              </w:rPr>
              <w:t>VOCs（以非甲烷总烃计）</w:t>
            </w:r>
            <w:r>
              <w:rPr>
                <w:rFonts w:hint="default" w:ascii="Times New Roman" w:hAnsi="Times New Roman" w:eastAsia="宋体" w:cs="Times New Roman"/>
                <w:b w:val="0"/>
                <w:bCs w:val="0"/>
                <w:color w:val="auto"/>
                <w:sz w:val="24"/>
                <w:szCs w:val="24"/>
                <w:highlight w:val="none"/>
              </w:rPr>
              <w:t>收集</w:t>
            </w:r>
            <w:r>
              <w:rPr>
                <w:rFonts w:hint="default" w:ascii="Times New Roman" w:hAnsi="Times New Roman" w:eastAsia="宋体" w:cs="Times New Roman"/>
                <w:b w:val="0"/>
                <w:bCs w:val="0"/>
                <w:color w:val="auto"/>
                <w:sz w:val="24"/>
                <w:szCs w:val="24"/>
                <w:highlight w:val="none"/>
                <w:lang w:val="en-US" w:eastAsia="zh-CN"/>
              </w:rPr>
              <w:t>并送</w:t>
            </w:r>
            <w:r>
              <w:rPr>
                <w:rFonts w:hint="default" w:ascii="Times New Roman" w:hAnsi="Times New Roman" w:eastAsia="宋体" w:cs="Times New Roman"/>
                <w:b w:val="0"/>
                <w:bCs w:val="0"/>
                <w:color w:val="auto"/>
                <w:sz w:val="24"/>
                <w:szCs w:val="24"/>
                <w:highlight w:val="none"/>
              </w:rPr>
              <w:t>至</w:t>
            </w:r>
            <w:r>
              <w:rPr>
                <w:rFonts w:hint="default" w:ascii="Times New Roman" w:hAnsi="Times New Roman" w:eastAsia="宋体" w:cs="Times New Roman"/>
                <w:b w:val="0"/>
                <w:bCs w:val="0"/>
                <w:color w:val="auto"/>
                <w:sz w:val="24"/>
                <w:szCs w:val="24"/>
                <w:highlight w:val="none"/>
                <w:lang w:val="en-US" w:eastAsia="zh-CN"/>
              </w:rPr>
              <w:t>活性炭吸附脱附+催化燃烧装置（RCO）</w:t>
            </w:r>
            <w:r>
              <w:rPr>
                <w:rFonts w:hint="eastAsia" w:ascii="Times New Roman" w:hAnsi="Times New Roman" w:eastAsia="宋体" w:cs="Times New Roman"/>
                <w:b w:val="0"/>
                <w:bCs w:val="0"/>
                <w:color w:val="auto"/>
                <w:sz w:val="24"/>
                <w:szCs w:val="24"/>
                <w:highlight w:val="none"/>
                <w:lang w:val="en-US" w:eastAsia="zh-CN"/>
              </w:rPr>
              <w:t>（处理效率：85%）</w:t>
            </w:r>
            <w:r>
              <w:rPr>
                <w:rFonts w:hint="default" w:ascii="Times New Roman" w:hAnsi="Times New Roman" w:eastAsia="宋体" w:cs="Times New Roman"/>
                <w:b w:val="0"/>
                <w:bCs w:val="0"/>
                <w:color w:val="auto"/>
                <w:sz w:val="24"/>
                <w:szCs w:val="24"/>
                <w:highlight w:val="none"/>
                <w:vertAlign w:val="baseline"/>
                <w:lang w:val="en-US" w:eastAsia="zh-CN"/>
              </w:rPr>
              <w:t>处理后经1根15m高排气筒</w:t>
            </w:r>
            <w:r>
              <w:rPr>
                <w:rFonts w:hint="default" w:ascii="Times New Roman" w:hAnsi="Times New Roman" w:cs="Times New Roman"/>
                <w:b w:val="0"/>
                <w:bCs w:val="0"/>
                <w:color w:val="auto"/>
                <w:sz w:val="24"/>
                <w:szCs w:val="22"/>
                <w:highlight w:val="none"/>
                <w:lang w:val="en-US" w:eastAsia="zh-CN"/>
              </w:rPr>
              <w:t>（DA003）</w:t>
            </w:r>
            <w:r>
              <w:rPr>
                <w:rFonts w:hint="default" w:ascii="Times New Roman" w:hAnsi="Times New Roman" w:eastAsia="宋体" w:cs="Times New Roman"/>
                <w:b w:val="0"/>
                <w:bCs w:val="0"/>
                <w:color w:val="auto"/>
                <w:sz w:val="24"/>
                <w:szCs w:val="24"/>
                <w:highlight w:val="none"/>
              </w:rPr>
              <w:t>有组织排放。</w:t>
            </w:r>
            <w:r>
              <w:rPr>
                <w:rFonts w:hint="default" w:ascii="Times New Roman" w:hAnsi="Times New Roman" w:eastAsia="宋体" w:cs="Times New Roman"/>
                <w:b w:val="0"/>
                <w:bCs w:val="0"/>
                <w:color w:val="auto"/>
                <w:sz w:val="24"/>
                <w:szCs w:val="24"/>
                <w:highlight w:val="none"/>
              </w:rPr>
              <w:t>设计风量为</w:t>
            </w:r>
            <w:r>
              <w:rPr>
                <w:rFonts w:hint="default" w:ascii="Times New Roman" w:hAnsi="Times New Roman" w:eastAsia="宋体" w:cs="Times New Roman"/>
                <w:b w:val="0"/>
                <w:bCs w:val="0"/>
                <w:color w:val="auto"/>
                <w:sz w:val="24"/>
                <w:szCs w:val="24"/>
                <w:highlight w:val="none"/>
                <w:lang w:val="en-US" w:eastAsia="zh-CN"/>
              </w:rPr>
              <w:t>40000</w:t>
            </w:r>
            <w:r>
              <w:rPr>
                <w:rFonts w:hint="default" w:ascii="Times New Roman" w:hAnsi="Times New Roman" w:eastAsia="宋体" w:cs="Times New Roman"/>
                <w:b w:val="0"/>
                <w:bCs w:val="0"/>
                <w:color w:val="auto"/>
                <w:sz w:val="24"/>
                <w:szCs w:val="24"/>
                <w:highlight w:val="none"/>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rPr>
              <w:t>/h。</w:t>
            </w:r>
            <w:r>
              <w:rPr>
                <w:rFonts w:hint="default" w:ascii="Times New Roman" w:hAnsi="Times New Roman" w:eastAsia="宋体" w:cs="Times New Roman"/>
                <w:b w:val="0"/>
                <w:bCs w:val="0"/>
                <w:color w:val="auto"/>
                <w:sz w:val="24"/>
                <w:szCs w:val="24"/>
                <w:highlight w:val="none"/>
                <w:lang w:val="en-US" w:eastAsia="zh-CN"/>
              </w:rPr>
              <w:t>经处理后有组织排放量为2.025</w:t>
            </w:r>
            <w:r>
              <w:rPr>
                <w:rFonts w:hint="default" w:ascii="Times New Roman" w:hAnsi="Times New Roman" w:eastAsia="宋体" w:cs="Times New Roman"/>
                <w:b w:val="0"/>
                <w:bCs w:val="0"/>
                <w:color w:val="auto"/>
                <w:sz w:val="24"/>
                <w:szCs w:val="24"/>
                <w:highlight w:val="none"/>
              </w:rPr>
              <w:t>t/a</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排放速率为0.844</w:t>
            </w:r>
            <w:r>
              <w:rPr>
                <w:rFonts w:hint="default" w:ascii="Times New Roman" w:hAnsi="Times New Roman" w:eastAsia="宋体" w:cs="Times New Roman"/>
                <w:b w:val="0"/>
                <w:bCs w:val="0"/>
                <w:color w:val="auto"/>
                <w:sz w:val="24"/>
                <w:szCs w:val="24"/>
                <w:highlight w:val="none"/>
              </w:rPr>
              <w:t>kg/</w:t>
            </w:r>
            <w:r>
              <w:rPr>
                <w:rFonts w:hint="default" w:ascii="Times New Roman" w:hAnsi="Times New Roman" w:eastAsia="宋体" w:cs="Times New Roman"/>
                <w:b w:val="0"/>
                <w:bCs w:val="0"/>
                <w:color w:val="auto"/>
                <w:sz w:val="24"/>
                <w:szCs w:val="24"/>
                <w:highlight w:val="none"/>
                <w:lang w:val="en-US" w:eastAsia="zh-CN"/>
              </w:rPr>
              <w:t>h，排放浓度为21.094mg/m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vertAlign w:val="baseline"/>
                <w:lang w:val="en-US" w:eastAsia="zh-CN"/>
              </w:rPr>
              <w:t>。非甲烷总烃</w:t>
            </w:r>
            <w:r>
              <w:rPr>
                <w:rFonts w:hint="default" w:ascii="Times New Roman" w:hAnsi="Times New Roman" w:eastAsia="宋体" w:cs="Times New Roman"/>
                <w:b w:val="0"/>
                <w:bCs w:val="0"/>
                <w:color w:val="auto"/>
                <w:sz w:val="24"/>
                <w:szCs w:val="24"/>
                <w:highlight w:val="none"/>
                <w:lang w:val="en-US" w:eastAsia="zh-CN"/>
              </w:rPr>
              <w:t>满足</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合成树脂工业污染物排放标准</w:t>
            </w:r>
            <w:r>
              <w:rPr>
                <w:rFonts w:hint="default" w:ascii="Times New Roman" w:hAnsi="Times New Roman" w:eastAsia="宋体" w:cs="Times New Roman"/>
                <w:b w:val="0"/>
                <w:bCs w:val="0"/>
                <w:color w:val="auto"/>
                <w:sz w:val="24"/>
                <w:szCs w:val="24"/>
                <w:highlight w:val="none"/>
              </w:rPr>
              <w:t>》（GB</w:t>
            </w:r>
            <w:r>
              <w:rPr>
                <w:rFonts w:hint="default" w:ascii="Times New Roman" w:hAnsi="Times New Roman" w:eastAsia="宋体" w:cs="Times New Roman"/>
                <w:b w:val="0"/>
                <w:bCs w:val="0"/>
                <w:color w:val="auto"/>
                <w:sz w:val="24"/>
                <w:szCs w:val="24"/>
                <w:highlight w:val="none"/>
                <w:lang w:val="en-US" w:eastAsia="zh-CN"/>
              </w:rPr>
              <w:t>31572-2015</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表5特别排放限值（60mg/m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w:t>
            </w:r>
          </w:p>
          <w:p w14:paraId="2C2C0B01">
            <w:pPr>
              <w:pStyle w:val="6"/>
              <w:keepNext/>
              <w:keepLines w:val="0"/>
              <w:pageBreakBefore w:val="0"/>
              <w:widowControl w:val="0"/>
              <w:tabs>
                <w:tab w:val="left" w:pos="425"/>
              </w:tabs>
              <w:kinsoku/>
              <w:wordWrap/>
              <w:overflowPunct/>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未被收集非甲烷总烃呈无组织排放，无组织排放量为1.5</w:t>
            </w:r>
            <w:r>
              <w:rPr>
                <w:rFonts w:hint="default" w:ascii="Times New Roman" w:hAnsi="Times New Roman" w:eastAsia="宋体" w:cs="Times New Roman"/>
                <w:b w:val="0"/>
                <w:bCs w:val="0"/>
                <w:color w:val="auto"/>
                <w:sz w:val="24"/>
                <w:szCs w:val="24"/>
                <w:highlight w:val="none"/>
              </w:rPr>
              <w:t>t/a</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排放速率为0.625</w:t>
            </w:r>
            <w:r>
              <w:rPr>
                <w:rFonts w:hint="default" w:ascii="Times New Roman" w:hAnsi="Times New Roman" w:eastAsia="宋体" w:cs="Times New Roman"/>
                <w:b w:val="0"/>
                <w:bCs w:val="0"/>
                <w:color w:val="auto"/>
                <w:sz w:val="24"/>
                <w:szCs w:val="24"/>
                <w:highlight w:val="none"/>
              </w:rPr>
              <w:t>kg/</w:t>
            </w:r>
            <w:r>
              <w:rPr>
                <w:rFonts w:hint="default" w:ascii="Times New Roman" w:hAnsi="Times New Roman" w:eastAsia="宋体" w:cs="Times New Roman"/>
                <w:b w:val="0"/>
                <w:bCs w:val="0"/>
                <w:color w:val="auto"/>
                <w:sz w:val="24"/>
                <w:szCs w:val="24"/>
                <w:highlight w:val="none"/>
                <w:lang w:val="en-US" w:eastAsia="zh-CN"/>
              </w:rPr>
              <w:t>h</w:t>
            </w:r>
            <w:r>
              <w:rPr>
                <w:rFonts w:hint="default" w:ascii="Times New Roman" w:hAnsi="Times New Roman" w:eastAsia="宋体" w:cs="Times New Roman"/>
                <w:b w:val="0"/>
                <w:bCs w:val="0"/>
                <w:color w:val="auto"/>
                <w:sz w:val="24"/>
                <w:szCs w:val="24"/>
                <w:highlight w:val="none"/>
                <w:vertAlign w:val="baseline"/>
                <w:lang w:val="en-US" w:eastAsia="zh-CN"/>
              </w:rPr>
              <w:t>；由于无组织排放量较小，在加强车间通风条件下，</w:t>
            </w:r>
            <w:r>
              <w:rPr>
                <w:rFonts w:hint="default" w:ascii="Times New Roman" w:hAnsi="Times New Roman" w:eastAsia="宋体" w:cs="Times New Roman"/>
                <w:b w:val="0"/>
                <w:bCs w:val="0"/>
                <w:color w:val="auto"/>
                <w:sz w:val="24"/>
                <w:szCs w:val="24"/>
                <w:highlight w:val="none"/>
                <w:vertAlign w:val="baseline"/>
                <w:lang w:val="en-US" w:eastAsia="zh-CN"/>
              </w:rPr>
              <w:t>厂界任意边界</w:t>
            </w:r>
            <w:r>
              <w:rPr>
                <w:rFonts w:hint="default" w:ascii="Times New Roman" w:hAnsi="Times New Roman" w:eastAsia="宋体" w:cs="Times New Roman"/>
                <w:b w:val="0"/>
                <w:bCs w:val="0"/>
                <w:color w:val="auto"/>
                <w:sz w:val="24"/>
                <w:szCs w:val="24"/>
                <w:highlight w:val="none"/>
                <w:vertAlign w:val="baseline"/>
                <w:lang w:val="en-US" w:eastAsia="zh-CN"/>
              </w:rPr>
              <w:t>非甲烷总烃</w:t>
            </w:r>
            <w:r>
              <w:rPr>
                <w:rFonts w:hint="default" w:ascii="Times New Roman" w:hAnsi="Times New Roman" w:eastAsia="宋体" w:cs="Times New Roman"/>
                <w:b w:val="0"/>
                <w:bCs w:val="0"/>
                <w:color w:val="auto"/>
                <w:sz w:val="24"/>
                <w:szCs w:val="24"/>
                <w:highlight w:val="none"/>
                <w:lang w:val="en-US" w:eastAsia="zh-CN"/>
              </w:rPr>
              <w:t>满足</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合成树脂工业污染物排放标准</w:t>
            </w:r>
            <w:r>
              <w:rPr>
                <w:rFonts w:hint="default" w:ascii="Times New Roman" w:hAnsi="Times New Roman" w:eastAsia="宋体" w:cs="Times New Roman"/>
                <w:b w:val="0"/>
                <w:bCs w:val="0"/>
                <w:color w:val="auto"/>
                <w:sz w:val="24"/>
                <w:szCs w:val="24"/>
                <w:highlight w:val="none"/>
              </w:rPr>
              <w:t>》（GB</w:t>
            </w:r>
            <w:r>
              <w:rPr>
                <w:rFonts w:hint="default" w:ascii="Times New Roman" w:hAnsi="Times New Roman" w:eastAsia="宋体" w:cs="Times New Roman"/>
                <w:b w:val="0"/>
                <w:bCs w:val="0"/>
                <w:color w:val="auto"/>
                <w:sz w:val="24"/>
                <w:szCs w:val="24"/>
                <w:highlight w:val="none"/>
                <w:lang w:val="en-US" w:eastAsia="zh-CN"/>
              </w:rPr>
              <w:t>31572-2015</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表9无组织排放限值（4.0mg/m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厂房外VOCs（以非甲烷总烃计）符合</w:t>
            </w:r>
            <w:r>
              <w:rPr>
                <w:rFonts w:hint="default" w:ascii="Times New Roman" w:hAnsi="Times New Roman" w:eastAsia="宋体" w:cs="Times New Roman"/>
                <w:b w:val="0"/>
                <w:bCs w:val="0"/>
                <w:color w:val="auto"/>
                <w:sz w:val="24"/>
                <w:szCs w:val="24"/>
                <w:highlight w:val="none"/>
                <w:lang w:val="en-US" w:eastAsia="zh-CN"/>
              </w:rPr>
              <w:t>《挥发性有机物无组织排放控制标准》（GB37822-2019）中厂房外VOCs（以非甲烷总烃计）无组织排放限值监控点处1h平均浓度值6mg/m³的要求，对大气环境影响较小。</w:t>
            </w:r>
          </w:p>
          <w:p w14:paraId="48A47DF3">
            <w:pPr>
              <w:spacing w:line="218" w:lineRule="auto"/>
              <w:ind w:left="505"/>
              <w:rPr>
                <w:rFonts w:hint="default" w:ascii="Times New Roman" w:hAnsi="Times New Roman" w:eastAsia="Times New Roman"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本项目大气污染物排放情况见表</w:t>
            </w:r>
            <w:r>
              <w:rPr>
                <w:rFonts w:hint="default" w:ascii="Times New Roman" w:hAnsi="Times New Roman" w:eastAsia="宋体" w:cs="Times New Roman"/>
                <w:color w:val="auto"/>
                <w:spacing w:val="-55"/>
                <w:sz w:val="24"/>
                <w:szCs w:val="24"/>
                <w:highlight w:val="none"/>
              </w:rPr>
              <w:t xml:space="preserve"> </w:t>
            </w:r>
            <w:r>
              <w:rPr>
                <w:rFonts w:hint="default" w:ascii="Times New Roman" w:hAnsi="Times New Roman" w:eastAsia="Times New Roman" w:cs="Times New Roman"/>
                <w:color w:val="auto"/>
                <w:spacing w:val="-1"/>
                <w:sz w:val="24"/>
                <w:szCs w:val="24"/>
                <w:highlight w:val="none"/>
              </w:rPr>
              <w:t>4-1</w:t>
            </w:r>
          </w:p>
          <w:p w14:paraId="2847D59D">
            <w:pPr>
              <w:spacing w:before="179" w:line="222" w:lineRule="auto"/>
              <w:jc w:val="center"/>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
                <w:bCs/>
                <w:color w:val="auto"/>
                <w:spacing w:val="6"/>
                <w:sz w:val="20"/>
                <w:szCs w:val="20"/>
                <w:highlight w:val="none"/>
              </w:rPr>
              <w:t>表</w:t>
            </w:r>
            <w:r>
              <w:rPr>
                <w:rFonts w:hint="default" w:ascii="Times New Roman" w:hAnsi="Times New Roman" w:eastAsia="宋体" w:cs="Times New Roman"/>
                <w:color w:val="auto"/>
                <w:spacing w:val="-24"/>
                <w:sz w:val="20"/>
                <w:szCs w:val="20"/>
                <w:highlight w:val="none"/>
              </w:rPr>
              <w:t xml:space="preserve"> </w:t>
            </w:r>
            <w:r>
              <w:rPr>
                <w:rFonts w:hint="default" w:ascii="Times New Roman" w:hAnsi="Times New Roman" w:eastAsia="Times New Roman" w:cs="Times New Roman"/>
                <w:b/>
                <w:bCs/>
                <w:color w:val="auto"/>
                <w:spacing w:val="6"/>
                <w:sz w:val="20"/>
                <w:szCs w:val="20"/>
                <w:highlight w:val="none"/>
              </w:rPr>
              <w:t xml:space="preserve">4-1  </w:t>
            </w:r>
            <w:r>
              <w:rPr>
                <w:rFonts w:hint="default" w:ascii="Times New Roman" w:hAnsi="Times New Roman" w:eastAsia="宋体" w:cs="Times New Roman"/>
                <w:b/>
                <w:bCs/>
                <w:color w:val="auto"/>
                <w:spacing w:val="6"/>
                <w:sz w:val="20"/>
                <w:szCs w:val="20"/>
                <w:highlight w:val="none"/>
              </w:rPr>
              <w:t>本项目大气污染物排放情况一览表</w:t>
            </w:r>
          </w:p>
          <w:tbl>
            <w:tblPr>
              <w:tblStyle w:val="54"/>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24"/>
              <w:gridCol w:w="806"/>
              <w:gridCol w:w="705"/>
              <w:gridCol w:w="1177"/>
              <w:gridCol w:w="2141"/>
              <w:gridCol w:w="749"/>
              <w:gridCol w:w="1181"/>
            </w:tblGrid>
            <w:tr w14:paraId="00A1B0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20" w:type="dxa"/>
                  <w:tcBorders>
                    <w:bottom w:val="single" w:color="000000" w:sz="12" w:space="0"/>
                  </w:tcBorders>
                  <w:vAlign w:val="center"/>
                </w:tcPr>
                <w:p w14:paraId="0FC4DD0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排放形式</w:t>
                  </w:r>
                </w:p>
              </w:tc>
              <w:tc>
                <w:tcPr>
                  <w:tcW w:w="802" w:type="dxa"/>
                  <w:tcBorders>
                    <w:bottom w:val="single" w:color="000000" w:sz="12" w:space="0"/>
                  </w:tcBorders>
                  <w:vAlign w:val="center"/>
                </w:tcPr>
                <w:p w14:paraId="3B193F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污染物</w:t>
                  </w:r>
                </w:p>
              </w:tc>
              <w:tc>
                <w:tcPr>
                  <w:tcW w:w="701" w:type="dxa"/>
                  <w:tcBorders>
                    <w:bottom w:val="single" w:color="000000" w:sz="12" w:space="0"/>
                  </w:tcBorders>
                  <w:vAlign w:val="center"/>
                </w:tcPr>
                <w:p w14:paraId="7768938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产生量</w:t>
                  </w:r>
                  <w:r>
                    <w:rPr>
                      <w:rFonts w:hint="default" w:ascii="Times New Roman" w:hAnsi="Times New Roman" w:eastAsia="宋体" w:cs="Times New Roman"/>
                      <w:b/>
                      <w:bCs/>
                      <w:color w:val="auto"/>
                      <w:spacing w:val="-1"/>
                      <w:sz w:val="21"/>
                      <w:szCs w:val="21"/>
                      <w:highlight w:val="none"/>
                    </w:rPr>
                    <w:t>（</w:t>
                  </w:r>
                  <w:r>
                    <w:rPr>
                      <w:rFonts w:hint="default" w:ascii="Times New Roman" w:hAnsi="Times New Roman" w:eastAsia="Times New Roman" w:cs="Times New Roman"/>
                      <w:b/>
                      <w:bCs/>
                      <w:color w:val="auto"/>
                      <w:spacing w:val="-1"/>
                      <w:sz w:val="21"/>
                      <w:szCs w:val="21"/>
                      <w:highlight w:val="none"/>
                    </w:rPr>
                    <w:t>t/a</w:t>
                  </w:r>
                  <w:r>
                    <w:rPr>
                      <w:rFonts w:hint="default" w:ascii="Times New Roman" w:hAnsi="Times New Roman" w:eastAsia="宋体" w:cs="Times New Roman"/>
                      <w:b/>
                      <w:bCs/>
                      <w:color w:val="auto"/>
                      <w:spacing w:val="-1"/>
                      <w:sz w:val="21"/>
                      <w:szCs w:val="21"/>
                      <w:highlight w:val="none"/>
                    </w:rPr>
                    <w:t>）</w:t>
                  </w:r>
                </w:p>
              </w:tc>
              <w:tc>
                <w:tcPr>
                  <w:tcW w:w="1171" w:type="dxa"/>
                  <w:tcBorders>
                    <w:bottom w:val="single" w:color="000000" w:sz="12" w:space="0"/>
                  </w:tcBorders>
                  <w:vAlign w:val="center"/>
                </w:tcPr>
                <w:p w14:paraId="0BFC063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产生浓度</w:t>
                  </w:r>
                  <w:r>
                    <w:rPr>
                      <w:rFonts w:hint="default" w:ascii="Times New Roman" w:hAnsi="Times New Roman" w:eastAsia="宋体" w:cs="Times New Roman"/>
                      <w:b/>
                      <w:bCs/>
                      <w:color w:val="auto"/>
                      <w:spacing w:val="3"/>
                      <w:sz w:val="21"/>
                      <w:szCs w:val="21"/>
                      <w:highlight w:val="none"/>
                    </w:rPr>
                    <w:t>（</w:t>
                  </w:r>
                  <w:r>
                    <w:rPr>
                      <w:rFonts w:hint="default" w:ascii="Times New Roman" w:hAnsi="Times New Roman" w:eastAsia="Times New Roman" w:cs="Times New Roman"/>
                      <w:b/>
                      <w:bCs/>
                      <w:color w:val="auto"/>
                      <w:sz w:val="21"/>
                      <w:szCs w:val="21"/>
                      <w:highlight w:val="none"/>
                    </w:rPr>
                    <w:t>mg</w:t>
                  </w:r>
                  <w:r>
                    <w:rPr>
                      <w:rFonts w:hint="default" w:ascii="Times New Roman" w:hAnsi="Times New Roman" w:eastAsia="Times New Roman" w:cs="Times New Roman"/>
                      <w:b/>
                      <w:bCs/>
                      <w:color w:val="auto"/>
                      <w:spacing w:val="3"/>
                      <w:sz w:val="21"/>
                      <w:szCs w:val="21"/>
                      <w:highlight w:val="none"/>
                    </w:rPr>
                    <w:t>/m</w:t>
                  </w:r>
                  <w:r>
                    <w:rPr>
                      <w:rFonts w:hint="default" w:ascii="Times New Roman" w:hAnsi="Times New Roman" w:eastAsia="宋体" w:cs="Times New Roman"/>
                      <w:b/>
                      <w:bCs/>
                      <w:color w:val="auto"/>
                      <w:spacing w:val="3"/>
                      <w:sz w:val="21"/>
                      <w:szCs w:val="21"/>
                      <w:highlight w:val="none"/>
                      <w:vertAlign w:val="superscript"/>
                      <w:lang w:val="en-US" w:eastAsia="zh-CN"/>
                    </w:rPr>
                    <w:t>3</w:t>
                  </w:r>
                  <w:r>
                    <w:rPr>
                      <w:rFonts w:hint="default" w:ascii="Times New Roman" w:hAnsi="Times New Roman" w:eastAsia="宋体" w:cs="Times New Roman"/>
                      <w:b/>
                      <w:bCs/>
                      <w:color w:val="auto"/>
                      <w:spacing w:val="3"/>
                      <w:sz w:val="21"/>
                      <w:szCs w:val="21"/>
                      <w:highlight w:val="none"/>
                    </w:rPr>
                    <w:t>）</w:t>
                  </w:r>
                </w:p>
              </w:tc>
              <w:tc>
                <w:tcPr>
                  <w:tcW w:w="2129" w:type="dxa"/>
                  <w:tcBorders>
                    <w:bottom w:val="single" w:color="000000" w:sz="12" w:space="0"/>
                  </w:tcBorders>
                  <w:vAlign w:val="center"/>
                </w:tcPr>
                <w:p w14:paraId="709EBF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处理措施</w:t>
                  </w:r>
                </w:p>
              </w:tc>
              <w:tc>
                <w:tcPr>
                  <w:tcW w:w="745" w:type="dxa"/>
                  <w:tcBorders>
                    <w:bottom w:val="single" w:color="000000" w:sz="12" w:space="0"/>
                  </w:tcBorders>
                  <w:vAlign w:val="center"/>
                </w:tcPr>
                <w:p w14:paraId="2145CD4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排放量</w:t>
                  </w:r>
                  <w:r>
                    <w:rPr>
                      <w:rFonts w:hint="default" w:ascii="Times New Roman" w:hAnsi="Times New Roman" w:eastAsia="宋体" w:cs="Times New Roman"/>
                      <w:b/>
                      <w:bCs/>
                      <w:color w:val="auto"/>
                      <w:spacing w:val="-1"/>
                      <w:sz w:val="21"/>
                      <w:szCs w:val="21"/>
                      <w:highlight w:val="none"/>
                    </w:rPr>
                    <w:t>（</w:t>
                  </w:r>
                  <w:r>
                    <w:rPr>
                      <w:rFonts w:hint="default" w:ascii="Times New Roman" w:hAnsi="Times New Roman" w:eastAsia="Times New Roman" w:cs="Times New Roman"/>
                      <w:b/>
                      <w:bCs/>
                      <w:color w:val="auto"/>
                      <w:spacing w:val="-1"/>
                      <w:sz w:val="21"/>
                      <w:szCs w:val="21"/>
                      <w:highlight w:val="none"/>
                    </w:rPr>
                    <w:t>t/a</w:t>
                  </w:r>
                  <w:r>
                    <w:rPr>
                      <w:rFonts w:hint="default" w:ascii="Times New Roman" w:hAnsi="Times New Roman" w:eastAsia="宋体" w:cs="Times New Roman"/>
                      <w:b/>
                      <w:bCs/>
                      <w:color w:val="auto"/>
                      <w:spacing w:val="-1"/>
                      <w:sz w:val="21"/>
                      <w:szCs w:val="21"/>
                      <w:highlight w:val="none"/>
                    </w:rPr>
                    <w:t>）</w:t>
                  </w:r>
                </w:p>
              </w:tc>
              <w:tc>
                <w:tcPr>
                  <w:tcW w:w="1174" w:type="dxa"/>
                  <w:tcBorders>
                    <w:bottom w:val="single" w:color="000000" w:sz="12" w:space="0"/>
                  </w:tcBorders>
                  <w:vAlign w:val="center"/>
                </w:tcPr>
                <w:p w14:paraId="7140528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排放浓度</w:t>
                  </w:r>
                  <w:r>
                    <w:rPr>
                      <w:rFonts w:hint="default" w:ascii="Times New Roman" w:hAnsi="Times New Roman" w:eastAsia="宋体" w:cs="Times New Roman"/>
                      <w:b/>
                      <w:bCs/>
                      <w:color w:val="auto"/>
                      <w:spacing w:val="2"/>
                      <w:sz w:val="21"/>
                      <w:szCs w:val="21"/>
                      <w:highlight w:val="none"/>
                    </w:rPr>
                    <w:t>（</w:t>
                  </w:r>
                  <w:r>
                    <w:rPr>
                      <w:rFonts w:hint="default" w:ascii="Times New Roman" w:hAnsi="Times New Roman" w:eastAsia="Times New Roman" w:cs="Times New Roman"/>
                      <w:b/>
                      <w:bCs/>
                      <w:color w:val="auto"/>
                      <w:sz w:val="21"/>
                      <w:szCs w:val="21"/>
                      <w:highlight w:val="none"/>
                    </w:rPr>
                    <w:t>mg</w:t>
                  </w:r>
                  <w:r>
                    <w:rPr>
                      <w:rFonts w:hint="default" w:ascii="Times New Roman" w:hAnsi="Times New Roman" w:eastAsia="Times New Roman" w:cs="Times New Roman"/>
                      <w:b/>
                      <w:bCs/>
                      <w:color w:val="auto"/>
                      <w:spacing w:val="2"/>
                      <w:sz w:val="21"/>
                      <w:szCs w:val="21"/>
                      <w:highlight w:val="none"/>
                    </w:rPr>
                    <w:t>/m</w:t>
                  </w:r>
                  <w:r>
                    <w:rPr>
                      <w:rFonts w:hint="default" w:ascii="Times New Roman" w:hAnsi="Times New Roman" w:eastAsia="宋体" w:cs="Times New Roman"/>
                      <w:b/>
                      <w:bCs/>
                      <w:color w:val="auto"/>
                      <w:spacing w:val="2"/>
                      <w:sz w:val="21"/>
                      <w:szCs w:val="21"/>
                      <w:highlight w:val="none"/>
                      <w:vertAlign w:val="superscript"/>
                      <w:lang w:val="en-US" w:eastAsia="zh-CN"/>
                    </w:rPr>
                    <w:t>3</w:t>
                  </w:r>
                  <w:r>
                    <w:rPr>
                      <w:rFonts w:hint="default" w:ascii="Times New Roman" w:hAnsi="Times New Roman" w:eastAsia="宋体" w:cs="Times New Roman"/>
                      <w:b/>
                      <w:bCs/>
                      <w:color w:val="auto"/>
                      <w:spacing w:val="2"/>
                      <w:sz w:val="21"/>
                      <w:szCs w:val="21"/>
                      <w:highlight w:val="none"/>
                    </w:rPr>
                    <w:t>）</w:t>
                  </w:r>
                </w:p>
              </w:tc>
            </w:tr>
            <w:tr w14:paraId="0351C5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20" w:type="dxa"/>
                  <w:tcBorders>
                    <w:top w:val="single" w:color="000000" w:sz="12" w:space="0"/>
                    <w:tl2br w:val="nil"/>
                    <w:tr2bl w:val="nil"/>
                  </w:tcBorders>
                  <w:vAlign w:val="center"/>
                </w:tcPr>
                <w:p w14:paraId="52A3D6F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有组织</w:t>
                  </w:r>
                </w:p>
              </w:tc>
              <w:tc>
                <w:tcPr>
                  <w:tcW w:w="802" w:type="dxa"/>
                  <w:tcBorders>
                    <w:top w:val="single" w:color="000000" w:sz="12" w:space="0"/>
                    <w:tl2br w:val="nil"/>
                    <w:tr2bl w:val="nil"/>
                  </w:tcBorders>
                  <w:vAlign w:val="center"/>
                </w:tcPr>
                <w:p w14:paraId="047F7D2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有组织</w:t>
                  </w:r>
                  <w:r>
                    <w:rPr>
                      <w:rFonts w:hint="default" w:ascii="Times New Roman" w:hAnsi="Times New Roman" w:eastAsia="宋体" w:cs="Times New Roman"/>
                      <w:color w:val="auto"/>
                      <w:spacing w:val="5"/>
                      <w:sz w:val="21"/>
                      <w:szCs w:val="21"/>
                      <w:highlight w:val="none"/>
                    </w:rPr>
                    <w:t>非甲烷</w:t>
                  </w:r>
                  <w:r>
                    <w:rPr>
                      <w:rFonts w:hint="default" w:ascii="Times New Roman" w:hAnsi="Times New Roman" w:eastAsia="宋体" w:cs="Times New Roman"/>
                      <w:color w:val="auto"/>
                      <w:spacing w:val="2"/>
                      <w:sz w:val="21"/>
                      <w:szCs w:val="21"/>
                      <w:highlight w:val="none"/>
                    </w:rPr>
                    <w:t>总烃</w:t>
                  </w:r>
                </w:p>
              </w:tc>
              <w:tc>
                <w:tcPr>
                  <w:tcW w:w="701" w:type="dxa"/>
                  <w:tcBorders>
                    <w:top w:val="single" w:color="000000" w:sz="12" w:space="0"/>
                    <w:tl2br w:val="nil"/>
                    <w:tr2bl w:val="nil"/>
                  </w:tcBorders>
                  <w:vAlign w:val="center"/>
                </w:tcPr>
                <w:p w14:paraId="20557CC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1171" w:type="dxa"/>
                  <w:tcBorders>
                    <w:top w:val="single" w:color="000000" w:sz="12" w:space="0"/>
                    <w:tl2br w:val="nil"/>
                    <w:tr2bl w:val="nil"/>
                  </w:tcBorders>
                  <w:vAlign w:val="center"/>
                </w:tcPr>
                <w:p w14:paraId="146C3C0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
                      <w:sz w:val="21"/>
                      <w:szCs w:val="21"/>
                      <w:highlight w:val="none"/>
                      <w:lang w:val="en-US" w:eastAsia="zh-CN"/>
                    </w:rPr>
                    <w:t>/</w:t>
                  </w:r>
                </w:p>
              </w:tc>
              <w:tc>
                <w:tcPr>
                  <w:tcW w:w="2129" w:type="dxa"/>
                  <w:tcBorders>
                    <w:top w:val="single" w:color="000000" w:sz="12" w:space="0"/>
                    <w:tl2br w:val="nil"/>
                    <w:tr2bl w:val="nil"/>
                  </w:tcBorders>
                  <w:vAlign w:val="center"/>
                </w:tcPr>
                <w:p w14:paraId="5B3212C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pacing w:val="6"/>
                      <w:sz w:val="21"/>
                      <w:szCs w:val="21"/>
                      <w:highlight w:val="none"/>
                      <w:lang w:val="en-US" w:eastAsia="zh-CN"/>
                    </w:rPr>
                    <w:t>集气罩</w:t>
                  </w:r>
                  <w:r>
                    <w:rPr>
                      <w:rFonts w:hint="default" w:ascii="Times New Roman" w:hAnsi="Times New Roman" w:eastAsia="宋体" w:cs="Times New Roman"/>
                      <w:color w:val="auto"/>
                      <w:spacing w:val="6"/>
                      <w:sz w:val="21"/>
                      <w:szCs w:val="21"/>
                      <w:highlight w:val="none"/>
                    </w:rPr>
                    <w:t>收集</w:t>
                  </w:r>
                  <w:r>
                    <w:rPr>
                      <w:rFonts w:hint="default" w:ascii="Times New Roman" w:hAnsi="Times New Roman" w:eastAsia="Times New Roman" w:cs="Times New Roman"/>
                      <w:color w:val="auto"/>
                      <w:spacing w:val="6"/>
                      <w:sz w:val="21"/>
                      <w:szCs w:val="21"/>
                      <w:highlight w:val="none"/>
                    </w:rPr>
                    <w:t>+</w:t>
                  </w:r>
                  <w:r>
                    <w:rPr>
                      <w:rFonts w:hint="default" w:ascii="Times New Roman" w:hAnsi="Times New Roman" w:cs="Times New Roman"/>
                      <w:color w:val="auto"/>
                      <w:spacing w:val="6"/>
                      <w:sz w:val="21"/>
                      <w:szCs w:val="21"/>
                      <w:highlight w:val="none"/>
                      <w:lang w:eastAsia="zh-CN"/>
                    </w:rPr>
                    <w:t>活性炭吸附脱附+催化燃烧装置</w:t>
                  </w:r>
                  <w:r>
                    <w:rPr>
                      <w:rFonts w:hint="default" w:ascii="Times New Roman" w:hAnsi="Times New Roman" w:eastAsia="Times New Roman" w:cs="Times New Roman"/>
                      <w:color w:val="auto"/>
                      <w:spacing w:val="6"/>
                      <w:sz w:val="21"/>
                      <w:szCs w:val="21"/>
                      <w:highlight w:val="none"/>
                    </w:rPr>
                    <w:t>+15m</w:t>
                  </w:r>
                  <w:r>
                    <w:rPr>
                      <w:rFonts w:hint="default" w:ascii="Times New Roman" w:hAnsi="Times New Roman" w:eastAsia="宋体" w:cs="Times New Roman"/>
                      <w:color w:val="auto"/>
                      <w:spacing w:val="6"/>
                      <w:sz w:val="21"/>
                      <w:szCs w:val="21"/>
                      <w:highlight w:val="none"/>
                    </w:rPr>
                    <w:t>高排气</w:t>
                  </w:r>
                  <w:r>
                    <w:rPr>
                      <w:rFonts w:hint="default" w:ascii="Times New Roman" w:hAnsi="Times New Roman" w:eastAsia="宋体" w:cs="Times New Roman"/>
                      <w:color w:val="auto"/>
                      <w:sz w:val="21"/>
                      <w:szCs w:val="21"/>
                      <w:highlight w:val="none"/>
                    </w:rPr>
                    <w:t>筒</w:t>
                  </w:r>
                </w:p>
              </w:tc>
              <w:tc>
                <w:tcPr>
                  <w:tcW w:w="745" w:type="dxa"/>
                  <w:tcBorders>
                    <w:top w:val="single" w:color="000000" w:sz="12" w:space="0"/>
                    <w:tl2br w:val="nil"/>
                    <w:tr2bl w:val="nil"/>
                  </w:tcBorders>
                  <w:vAlign w:val="center"/>
                </w:tcPr>
                <w:p w14:paraId="138DD9E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2.025</w:t>
                  </w:r>
                </w:p>
              </w:tc>
              <w:tc>
                <w:tcPr>
                  <w:tcW w:w="1174" w:type="dxa"/>
                  <w:tcBorders>
                    <w:top w:val="single" w:color="000000" w:sz="12" w:space="0"/>
                    <w:tl2br w:val="nil"/>
                    <w:tr2bl w:val="nil"/>
                  </w:tcBorders>
                  <w:vAlign w:val="center"/>
                </w:tcPr>
                <w:p w14:paraId="7477BCD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highlight w:val="none"/>
                      <w:lang w:val="en-US" w:eastAsia="zh-CN"/>
                    </w:rPr>
                  </w:pPr>
                  <w:r>
                    <w:rPr>
                      <w:rFonts w:hint="default" w:ascii="Times New Roman" w:hAnsi="Times New Roman" w:eastAsia="宋体" w:cs="Times New Roman"/>
                      <w:color w:val="auto"/>
                      <w:spacing w:val="-4"/>
                      <w:sz w:val="21"/>
                      <w:szCs w:val="21"/>
                      <w:highlight w:val="none"/>
                      <w:lang w:val="en-US" w:eastAsia="zh-CN"/>
                    </w:rPr>
                    <w:t>21.094</w:t>
                  </w:r>
                </w:p>
              </w:tc>
            </w:tr>
            <w:tr w14:paraId="6BAC4F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20" w:type="dxa"/>
                  <w:tcBorders>
                    <w:tl2br w:val="nil"/>
                    <w:tr2bl w:val="nil"/>
                  </w:tcBorders>
                  <w:vAlign w:val="center"/>
                </w:tcPr>
                <w:p w14:paraId="5E2E78A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无组织</w:t>
                  </w:r>
                </w:p>
              </w:tc>
              <w:tc>
                <w:tcPr>
                  <w:tcW w:w="802" w:type="dxa"/>
                  <w:tcBorders>
                    <w:tl2br w:val="nil"/>
                    <w:tr2bl w:val="nil"/>
                  </w:tcBorders>
                  <w:vAlign w:val="center"/>
                </w:tcPr>
                <w:p w14:paraId="64BCB8D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无组织</w:t>
                  </w:r>
                  <w:r>
                    <w:rPr>
                      <w:rFonts w:hint="default" w:ascii="Times New Roman" w:hAnsi="Times New Roman" w:eastAsia="宋体" w:cs="Times New Roman"/>
                      <w:color w:val="auto"/>
                      <w:spacing w:val="5"/>
                      <w:sz w:val="21"/>
                      <w:szCs w:val="21"/>
                      <w:highlight w:val="none"/>
                    </w:rPr>
                    <w:t>非甲烷</w:t>
                  </w:r>
                  <w:r>
                    <w:rPr>
                      <w:rFonts w:hint="default" w:ascii="Times New Roman" w:hAnsi="Times New Roman" w:eastAsia="宋体" w:cs="Times New Roman"/>
                      <w:color w:val="auto"/>
                      <w:spacing w:val="2"/>
                      <w:sz w:val="21"/>
                      <w:szCs w:val="21"/>
                      <w:highlight w:val="none"/>
                    </w:rPr>
                    <w:t>总烃</w:t>
                  </w:r>
                </w:p>
              </w:tc>
              <w:tc>
                <w:tcPr>
                  <w:tcW w:w="701" w:type="dxa"/>
                  <w:tcBorders>
                    <w:tl2br w:val="nil"/>
                    <w:tr2bl w:val="nil"/>
                  </w:tcBorders>
                  <w:vAlign w:val="center"/>
                </w:tcPr>
                <w:p w14:paraId="1DD7FB1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8"/>
                      <w:sz w:val="21"/>
                      <w:szCs w:val="21"/>
                      <w:highlight w:val="none"/>
                      <w:lang w:val="en-US" w:eastAsia="zh-CN"/>
                    </w:rPr>
                    <w:t>1.5</w:t>
                  </w:r>
                </w:p>
              </w:tc>
              <w:tc>
                <w:tcPr>
                  <w:tcW w:w="1171" w:type="dxa"/>
                  <w:tcBorders>
                    <w:tl2br w:val="nil"/>
                    <w:tr2bl w:val="nil"/>
                  </w:tcBorders>
                  <w:vAlign w:val="center"/>
                </w:tcPr>
                <w:p w14:paraId="3897550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2129" w:type="dxa"/>
                  <w:tcBorders>
                    <w:tl2br w:val="nil"/>
                    <w:tr2bl w:val="nil"/>
                  </w:tcBorders>
                  <w:vAlign w:val="center"/>
                </w:tcPr>
                <w:p w14:paraId="400A06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745" w:type="dxa"/>
                  <w:tcBorders>
                    <w:tl2br w:val="nil"/>
                    <w:tr2bl w:val="nil"/>
                  </w:tcBorders>
                  <w:vAlign w:val="center"/>
                </w:tcPr>
                <w:p w14:paraId="5EE5F0A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1174" w:type="dxa"/>
                  <w:tcBorders>
                    <w:tl2br w:val="nil"/>
                    <w:tr2bl w:val="nil"/>
                  </w:tcBorders>
                  <w:vAlign w:val="center"/>
                </w:tcPr>
                <w:p w14:paraId="0D4C9C5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4"/>
                      <w:sz w:val="21"/>
                      <w:szCs w:val="21"/>
                      <w:highlight w:val="none"/>
                      <w:lang w:val="en-US" w:eastAsia="zh-CN"/>
                    </w:rPr>
                  </w:pPr>
                  <w:r>
                    <w:rPr>
                      <w:rFonts w:hint="default" w:ascii="Times New Roman" w:hAnsi="Times New Roman" w:eastAsia="宋体" w:cs="Times New Roman"/>
                      <w:color w:val="auto"/>
                      <w:spacing w:val="-4"/>
                      <w:sz w:val="21"/>
                      <w:szCs w:val="21"/>
                      <w:highlight w:val="none"/>
                      <w:lang w:val="en-US" w:eastAsia="zh-CN"/>
                    </w:rPr>
                    <w:t>/</w:t>
                  </w:r>
                </w:p>
              </w:tc>
            </w:tr>
          </w:tbl>
          <w:p w14:paraId="24EDC4C8">
            <w:pPr>
              <w:pStyle w:val="7"/>
              <w:keepNext/>
              <w:keepLines/>
              <w:pageBreakBefore w:val="0"/>
              <w:widowControl w:val="0"/>
              <w:numPr>
                <w:ilvl w:val="0"/>
                <w:numId w:val="0"/>
              </w:numPr>
              <w:tabs>
                <w:tab w:val="left" w:pos="1864"/>
              </w:tabs>
              <w:kinsoku/>
              <w:wordWrap/>
              <w:overflowPunct/>
              <w:topLinePunct w:val="0"/>
              <w:autoSpaceDE/>
              <w:autoSpaceDN/>
              <w:bidi w:val="0"/>
              <w:adjustRightInd/>
              <w:snapToGrid/>
              <w:spacing w:before="0" w:after="0" w:line="360" w:lineRule="auto"/>
              <w:ind w:right="0" w:rightChars="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
                <w:color w:val="auto"/>
                <w:kern w:val="0"/>
                <w:sz w:val="24"/>
                <w:szCs w:val="24"/>
                <w:highlight w:val="none"/>
                <w:lang w:val="en-US" w:eastAsia="zh-CN" w:bidi="ar"/>
              </w:rPr>
              <w:t>1.3</w:t>
            </w:r>
            <w:r>
              <w:rPr>
                <w:rFonts w:hint="default" w:ascii="Times New Roman" w:hAnsi="Times New Roman" w:eastAsia="宋体" w:cs="Times New Roman"/>
                <w:color w:val="auto"/>
                <w:sz w:val="24"/>
                <w:szCs w:val="24"/>
                <w:highlight w:val="none"/>
                <w:lang w:val="en-US" w:eastAsia="zh-CN"/>
              </w:rPr>
              <w:t>废气治理措施可行性</w:t>
            </w:r>
          </w:p>
          <w:p w14:paraId="3F16C91E">
            <w:pPr>
              <w:spacing w:line="360" w:lineRule="auto"/>
              <w:ind w:firstLine="482" w:firstLineChars="200"/>
              <w:rPr>
                <w:rFonts w:hint="default" w:ascii="Times New Roman" w:hAnsi="Times New Roman" w:cs="Times New Roman"/>
                <w:b/>
                <w:bCs/>
                <w:smallCaps w:val="0"/>
                <w:snapToGrid w:val="0"/>
                <w:color w:val="auto"/>
                <w:spacing w:val="0"/>
                <w:kern w:val="0"/>
                <w:position w:val="0"/>
                <w:sz w:val="24"/>
                <w:szCs w:val="24"/>
                <w:highlight w:val="none"/>
                <w:lang w:val="en-US" w:eastAsia="zh-CN"/>
              </w:rPr>
            </w:pPr>
            <w:r>
              <w:rPr>
                <w:rFonts w:hint="default" w:ascii="Times New Roman" w:hAnsi="Times New Roman" w:cs="Times New Roman"/>
                <w:b/>
                <w:bCs/>
                <w:smallCaps w:val="0"/>
                <w:snapToGrid w:val="0"/>
                <w:color w:val="auto"/>
                <w:spacing w:val="0"/>
                <w:kern w:val="0"/>
                <w:position w:val="0"/>
                <w:sz w:val="24"/>
                <w:szCs w:val="24"/>
                <w:highlight w:val="none"/>
                <w:lang w:val="en-US" w:eastAsia="zh-CN"/>
              </w:rPr>
              <w:t>①集气罩收集效率的确定</w:t>
            </w:r>
          </w:p>
          <w:p w14:paraId="7FB3EE67">
            <w:pPr>
              <w:pStyle w:val="22"/>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cs="Times New Roman"/>
                <w:smallCaps w:val="0"/>
                <w:snapToGrid w:val="0"/>
                <w:color w:val="auto"/>
                <w:spacing w:val="0"/>
                <w:kern w:val="0"/>
                <w:position w:val="0"/>
                <w:sz w:val="24"/>
                <w:szCs w:val="24"/>
                <w:highlight w:val="none"/>
                <w:lang w:val="en-US" w:eastAsia="zh-CN"/>
              </w:rPr>
            </w:pPr>
            <w:r>
              <w:rPr>
                <w:rFonts w:hint="default" w:ascii="Times New Roman" w:hAnsi="Times New Roman" w:cs="Times New Roman"/>
                <w:smallCaps w:val="0"/>
                <w:snapToGrid w:val="0"/>
                <w:color w:val="auto"/>
                <w:spacing w:val="0"/>
                <w:kern w:val="0"/>
                <w:position w:val="0"/>
                <w:sz w:val="24"/>
                <w:szCs w:val="24"/>
                <w:highlight w:val="none"/>
                <w:lang w:val="en-US" w:eastAsia="zh-CN"/>
              </w:rPr>
              <w:t>本次</w:t>
            </w:r>
            <w:r>
              <w:rPr>
                <w:rFonts w:hint="default" w:ascii="Times New Roman" w:hAnsi="Times New Roman" w:eastAsia="宋体" w:cs="Times New Roman"/>
                <w:smallCaps w:val="0"/>
                <w:snapToGrid w:val="0"/>
                <w:color w:val="auto"/>
                <w:spacing w:val="0"/>
                <w:kern w:val="0"/>
                <w:position w:val="0"/>
                <w:sz w:val="24"/>
                <w:szCs w:val="24"/>
                <w:highlight w:val="none"/>
                <w:lang w:val="en-US" w:eastAsia="zh-CN"/>
              </w:rPr>
              <w:t>评价集气罩收集效率参考《</w:t>
            </w:r>
            <w:r>
              <w:rPr>
                <w:color w:val="auto"/>
                <w:highlight w:val="none"/>
              </w:rPr>
              <w:t>主要污染物总量减排核算技术指南</w:t>
            </w:r>
            <w:r>
              <w:rPr>
                <w:rFonts w:hint="default" w:ascii="Times New Roman" w:hAnsi="Times New Roman" w:cs="Times New Roman"/>
                <w:smallCaps w:val="0"/>
                <w:snapToGrid w:val="0"/>
                <w:color w:val="auto"/>
                <w:spacing w:val="0"/>
                <w:kern w:val="0"/>
                <w:position w:val="0"/>
                <w:sz w:val="24"/>
                <w:szCs w:val="24"/>
                <w:highlight w:val="none"/>
                <w:lang w:val="en-US" w:eastAsia="zh-CN"/>
              </w:rPr>
              <w:t>》</w:t>
            </w:r>
            <w:r>
              <w:rPr>
                <w:rFonts w:hint="eastAsia" w:ascii="Times New Roman" w:hAnsi="Times New Roman" w:cs="Times New Roman"/>
                <w:smallCaps w:val="0"/>
                <w:snapToGrid w:val="0"/>
                <w:color w:val="auto"/>
                <w:spacing w:val="0"/>
                <w:kern w:val="0"/>
                <w:position w:val="0"/>
                <w:sz w:val="24"/>
                <w:szCs w:val="24"/>
                <w:highlight w:val="none"/>
                <w:lang w:val="en-US" w:eastAsia="zh-CN"/>
              </w:rPr>
              <w:t>表2-3 VOCs废气收集率和治理设施去除率通用系数可知：</w:t>
            </w:r>
          </w:p>
          <w:p w14:paraId="5B299694">
            <w:pPr>
              <w:pStyle w:val="22"/>
              <w:keepNext w:val="0"/>
              <w:keepLines w:val="0"/>
              <w:widowControl/>
              <w:suppressLineNumbers w:val="0"/>
              <w:spacing w:before="0" w:beforeAutospacing="0" w:after="0" w:afterAutospacing="0" w:line="240" w:lineRule="auto"/>
              <w:ind w:left="0" w:right="0" w:firstLine="446" w:firstLineChars="200"/>
              <w:jc w:val="center"/>
              <w:rPr>
                <w:rFonts w:hint="default" w:ascii="Times New Roman" w:hAnsi="Times New Roman" w:eastAsia="宋体" w:cs="Times New Roman"/>
                <w:b/>
                <w:bCs/>
                <w:color w:val="auto"/>
                <w:spacing w:val="6"/>
                <w:kern w:val="2"/>
                <w:sz w:val="21"/>
                <w:szCs w:val="21"/>
                <w:highlight w:val="none"/>
                <w:lang w:val="en-US" w:eastAsia="zh-CN" w:bidi="ar-SA"/>
              </w:rPr>
            </w:pPr>
            <w:r>
              <w:rPr>
                <w:rFonts w:hint="eastAsia" w:ascii="Times New Roman" w:hAnsi="Times New Roman" w:eastAsia="宋体" w:cs="Times New Roman"/>
                <w:b/>
                <w:bCs/>
                <w:color w:val="auto"/>
                <w:spacing w:val="6"/>
                <w:kern w:val="2"/>
                <w:sz w:val="21"/>
                <w:szCs w:val="21"/>
                <w:highlight w:val="none"/>
                <w:lang w:val="en-US" w:eastAsia="zh-CN" w:bidi="ar-SA"/>
              </w:rPr>
              <w:t xml:space="preserve">表4-2   </w:t>
            </w:r>
            <w:r>
              <w:rPr>
                <w:rFonts w:hint="default" w:ascii="Times New Roman" w:hAnsi="Times New Roman" w:eastAsia="宋体" w:cs="Times New Roman"/>
                <w:b/>
                <w:bCs/>
                <w:color w:val="auto"/>
                <w:spacing w:val="6"/>
                <w:kern w:val="2"/>
                <w:sz w:val="21"/>
                <w:szCs w:val="21"/>
                <w:highlight w:val="none"/>
                <w:lang w:val="en-US" w:eastAsia="zh-CN" w:bidi="ar-SA"/>
              </w:rPr>
              <w:t>集气罩收集效率</w:t>
            </w:r>
            <w:r>
              <w:rPr>
                <w:rFonts w:hint="eastAsia" w:ascii="Times New Roman" w:hAnsi="Times New Roman" w:eastAsia="宋体" w:cs="Times New Roman"/>
                <w:b/>
                <w:bCs/>
                <w:color w:val="auto"/>
                <w:spacing w:val="6"/>
                <w:kern w:val="2"/>
                <w:sz w:val="21"/>
                <w:szCs w:val="21"/>
                <w:highlight w:val="none"/>
                <w:lang w:val="en-US" w:eastAsia="zh-CN" w:bidi="ar-SA"/>
              </w:rPr>
              <w:t>一览表</w:t>
            </w:r>
          </w:p>
          <w:tbl>
            <w:tblPr>
              <w:tblStyle w:val="24"/>
              <w:tblW w:w="736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
              <w:gridCol w:w="797"/>
              <w:gridCol w:w="962"/>
              <w:gridCol w:w="1087"/>
              <w:gridCol w:w="904"/>
              <w:gridCol w:w="904"/>
              <w:gridCol w:w="1052"/>
              <w:gridCol w:w="756"/>
            </w:tblGrid>
            <w:tr w14:paraId="38BFC7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vMerge w:val="restart"/>
                  <w:tcBorders>
                    <w:tl2br w:val="nil"/>
                    <w:tr2bl w:val="nil"/>
                  </w:tcBorders>
                  <w:shd w:val="clear" w:color="auto" w:fill="auto"/>
                  <w:noWrap/>
                  <w:vAlign w:val="center"/>
                </w:tcPr>
                <w:p w14:paraId="5307297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废气收集方式</w:t>
                  </w:r>
                </w:p>
              </w:tc>
              <w:tc>
                <w:tcPr>
                  <w:tcW w:w="797" w:type="dxa"/>
                  <w:vMerge w:val="restart"/>
                  <w:tcBorders>
                    <w:tl2br w:val="nil"/>
                    <w:tr2bl w:val="nil"/>
                  </w:tcBorders>
                  <w:shd w:val="clear" w:color="auto" w:fill="auto"/>
                  <w:noWrap/>
                  <w:vAlign w:val="center"/>
                </w:tcPr>
                <w:p w14:paraId="32739F0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密闭管道</w:t>
                  </w:r>
                </w:p>
              </w:tc>
              <w:tc>
                <w:tcPr>
                  <w:tcW w:w="2049" w:type="dxa"/>
                  <w:gridSpan w:val="2"/>
                  <w:tcBorders>
                    <w:tl2br w:val="nil"/>
                    <w:tr2bl w:val="nil"/>
                  </w:tcBorders>
                  <w:shd w:val="clear" w:color="auto" w:fill="auto"/>
                  <w:noWrap/>
                  <w:vAlign w:val="center"/>
                </w:tcPr>
                <w:p w14:paraId="643D0C0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密闭空间(含密闭式集气罩)</w:t>
                  </w:r>
                </w:p>
              </w:tc>
              <w:tc>
                <w:tcPr>
                  <w:tcW w:w="904" w:type="dxa"/>
                  <w:vMerge w:val="restart"/>
                  <w:tcBorders>
                    <w:tl2br w:val="nil"/>
                    <w:tr2bl w:val="nil"/>
                  </w:tcBorders>
                  <w:shd w:val="clear" w:color="auto" w:fill="auto"/>
                  <w:noWrap/>
                  <w:vAlign w:val="center"/>
                </w:tcPr>
                <w:p w14:paraId="3A02888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半密闭集气罩(含排气柜)</w:t>
                  </w:r>
                </w:p>
              </w:tc>
              <w:tc>
                <w:tcPr>
                  <w:tcW w:w="904" w:type="dxa"/>
                  <w:vMerge w:val="restart"/>
                  <w:tcBorders>
                    <w:tl2br w:val="nil"/>
                    <w:tr2bl w:val="nil"/>
                  </w:tcBorders>
                  <w:shd w:val="clear" w:color="auto" w:fill="auto"/>
                  <w:noWrap/>
                  <w:vAlign w:val="center"/>
                </w:tcPr>
                <w:p w14:paraId="6FCA310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包围型集气罩(含软帘)</w:t>
                  </w:r>
                </w:p>
              </w:tc>
              <w:tc>
                <w:tcPr>
                  <w:tcW w:w="1052" w:type="dxa"/>
                  <w:vMerge w:val="restart"/>
                  <w:tcBorders>
                    <w:tl2br w:val="nil"/>
                    <w:tr2bl w:val="nil"/>
                  </w:tcBorders>
                  <w:shd w:val="clear" w:color="auto" w:fill="auto"/>
                  <w:noWrap/>
                  <w:vAlign w:val="center"/>
                </w:tcPr>
                <w:p w14:paraId="38B94C0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符合标准要求的外部集气罩</w:t>
                  </w:r>
                </w:p>
              </w:tc>
              <w:tc>
                <w:tcPr>
                  <w:tcW w:w="756" w:type="dxa"/>
                  <w:vMerge w:val="restart"/>
                  <w:tcBorders>
                    <w:tl2br w:val="nil"/>
                    <w:tr2bl w:val="nil"/>
                  </w:tcBorders>
                  <w:shd w:val="clear" w:color="auto" w:fill="auto"/>
                  <w:noWrap/>
                  <w:vAlign w:val="center"/>
                </w:tcPr>
                <w:p w14:paraId="6ABDF57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其他收集方式</w:t>
                  </w:r>
                </w:p>
              </w:tc>
            </w:tr>
            <w:tr w14:paraId="700903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903" w:type="dxa"/>
                  <w:vMerge w:val="continue"/>
                  <w:tcBorders>
                    <w:bottom w:val="single" w:color="auto" w:sz="12" w:space="0"/>
                    <w:tl2br w:val="nil"/>
                    <w:tr2bl w:val="nil"/>
                  </w:tcBorders>
                  <w:shd w:val="clear" w:color="auto" w:fill="auto"/>
                  <w:noWrap/>
                  <w:vAlign w:val="center"/>
                </w:tcPr>
                <w:p w14:paraId="7D5E131F">
                  <w:pPr>
                    <w:jc w:val="center"/>
                    <w:rPr>
                      <w:rFonts w:hint="default" w:ascii="Times New Roman" w:hAnsi="Times New Roman" w:eastAsia="宋体" w:cs="Times New Roman"/>
                      <w:i w:val="0"/>
                      <w:iCs w:val="0"/>
                      <w:color w:val="auto"/>
                      <w:sz w:val="21"/>
                      <w:szCs w:val="21"/>
                      <w:highlight w:val="none"/>
                      <w:u w:val="none"/>
                    </w:rPr>
                  </w:pPr>
                </w:p>
              </w:tc>
              <w:tc>
                <w:tcPr>
                  <w:tcW w:w="797" w:type="dxa"/>
                  <w:vMerge w:val="continue"/>
                  <w:tcBorders>
                    <w:bottom w:val="single" w:color="auto" w:sz="12" w:space="0"/>
                    <w:tl2br w:val="nil"/>
                    <w:tr2bl w:val="nil"/>
                  </w:tcBorders>
                  <w:shd w:val="clear" w:color="auto" w:fill="auto"/>
                  <w:noWrap/>
                  <w:vAlign w:val="center"/>
                </w:tcPr>
                <w:p w14:paraId="63936CC2">
                  <w:pPr>
                    <w:jc w:val="center"/>
                    <w:rPr>
                      <w:rFonts w:hint="default" w:ascii="Times New Roman" w:hAnsi="Times New Roman" w:eastAsia="宋体" w:cs="Times New Roman"/>
                      <w:i w:val="0"/>
                      <w:iCs w:val="0"/>
                      <w:color w:val="auto"/>
                      <w:sz w:val="21"/>
                      <w:szCs w:val="21"/>
                      <w:highlight w:val="none"/>
                      <w:u w:val="none"/>
                    </w:rPr>
                  </w:pPr>
                </w:p>
              </w:tc>
              <w:tc>
                <w:tcPr>
                  <w:tcW w:w="962" w:type="dxa"/>
                  <w:tcBorders>
                    <w:bottom w:val="single" w:color="auto" w:sz="12" w:space="0"/>
                    <w:tl2br w:val="nil"/>
                    <w:tr2bl w:val="nil"/>
                  </w:tcBorders>
                  <w:shd w:val="clear" w:color="auto" w:fill="auto"/>
                  <w:noWrap/>
                  <w:vAlign w:val="center"/>
                </w:tcPr>
                <w:p w14:paraId="1184069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负压</w:t>
                  </w:r>
                </w:p>
              </w:tc>
              <w:tc>
                <w:tcPr>
                  <w:tcW w:w="1087" w:type="dxa"/>
                  <w:tcBorders>
                    <w:bottom w:val="single" w:color="auto" w:sz="12" w:space="0"/>
                    <w:tl2br w:val="nil"/>
                    <w:tr2bl w:val="nil"/>
                  </w:tcBorders>
                  <w:shd w:val="clear" w:color="auto" w:fill="auto"/>
                  <w:noWrap/>
                  <w:vAlign w:val="center"/>
                </w:tcPr>
                <w:p w14:paraId="2E3D739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正压</w:t>
                  </w:r>
                </w:p>
              </w:tc>
              <w:tc>
                <w:tcPr>
                  <w:tcW w:w="904" w:type="dxa"/>
                  <w:vMerge w:val="continue"/>
                  <w:tcBorders>
                    <w:bottom w:val="single" w:color="auto" w:sz="12" w:space="0"/>
                    <w:tl2br w:val="nil"/>
                    <w:tr2bl w:val="nil"/>
                  </w:tcBorders>
                  <w:shd w:val="clear" w:color="auto" w:fill="auto"/>
                  <w:noWrap/>
                  <w:vAlign w:val="center"/>
                </w:tcPr>
                <w:p w14:paraId="635B24F0">
                  <w:pPr>
                    <w:jc w:val="center"/>
                    <w:rPr>
                      <w:rFonts w:hint="default" w:ascii="Times New Roman" w:hAnsi="Times New Roman" w:eastAsia="宋体" w:cs="Times New Roman"/>
                      <w:i w:val="0"/>
                      <w:iCs w:val="0"/>
                      <w:color w:val="auto"/>
                      <w:sz w:val="21"/>
                      <w:szCs w:val="21"/>
                      <w:highlight w:val="none"/>
                      <w:u w:val="none"/>
                    </w:rPr>
                  </w:pPr>
                </w:p>
              </w:tc>
              <w:tc>
                <w:tcPr>
                  <w:tcW w:w="904" w:type="dxa"/>
                  <w:vMerge w:val="continue"/>
                  <w:tcBorders>
                    <w:bottom w:val="single" w:color="auto" w:sz="12" w:space="0"/>
                    <w:tl2br w:val="nil"/>
                    <w:tr2bl w:val="nil"/>
                  </w:tcBorders>
                  <w:shd w:val="clear" w:color="auto" w:fill="auto"/>
                  <w:noWrap/>
                  <w:vAlign w:val="center"/>
                </w:tcPr>
                <w:p w14:paraId="64037814">
                  <w:pPr>
                    <w:jc w:val="center"/>
                    <w:rPr>
                      <w:rFonts w:hint="default" w:ascii="Times New Roman" w:hAnsi="Times New Roman" w:eastAsia="宋体" w:cs="Times New Roman"/>
                      <w:i w:val="0"/>
                      <w:iCs w:val="0"/>
                      <w:color w:val="auto"/>
                      <w:sz w:val="21"/>
                      <w:szCs w:val="21"/>
                      <w:highlight w:val="none"/>
                      <w:u w:val="none"/>
                    </w:rPr>
                  </w:pPr>
                </w:p>
              </w:tc>
              <w:tc>
                <w:tcPr>
                  <w:tcW w:w="1052" w:type="dxa"/>
                  <w:vMerge w:val="continue"/>
                  <w:tcBorders>
                    <w:bottom w:val="single" w:color="auto" w:sz="12" w:space="0"/>
                    <w:tl2br w:val="nil"/>
                    <w:tr2bl w:val="nil"/>
                  </w:tcBorders>
                  <w:shd w:val="clear" w:color="auto" w:fill="auto"/>
                  <w:noWrap/>
                  <w:vAlign w:val="center"/>
                </w:tcPr>
                <w:p w14:paraId="15996850">
                  <w:pPr>
                    <w:jc w:val="center"/>
                    <w:rPr>
                      <w:rFonts w:hint="default" w:ascii="Times New Roman" w:hAnsi="Times New Roman" w:eastAsia="宋体" w:cs="Times New Roman"/>
                      <w:i w:val="0"/>
                      <w:iCs w:val="0"/>
                      <w:color w:val="auto"/>
                      <w:sz w:val="21"/>
                      <w:szCs w:val="21"/>
                      <w:highlight w:val="none"/>
                      <w:u w:val="none"/>
                    </w:rPr>
                  </w:pPr>
                </w:p>
              </w:tc>
              <w:tc>
                <w:tcPr>
                  <w:tcW w:w="756" w:type="dxa"/>
                  <w:vMerge w:val="continue"/>
                  <w:tcBorders>
                    <w:bottom w:val="single" w:color="auto" w:sz="12" w:space="0"/>
                    <w:tl2br w:val="nil"/>
                    <w:tr2bl w:val="nil"/>
                  </w:tcBorders>
                  <w:shd w:val="clear" w:color="auto" w:fill="auto"/>
                  <w:noWrap/>
                  <w:vAlign w:val="center"/>
                </w:tcPr>
                <w:p w14:paraId="3E615583">
                  <w:pPr>
                    <w:jc w:val="center"/>
                    <w:rPr>
                      <w:rFonts w:hint="default" w:ascii="Times New Roman" w:hAnsi="Times New Roman" w:eastAsia="宋体" w:cs="Times New Roman"/>
                      <w:i w:val="0"/>
                      <w:iCs w:val="0"/>
                      <w:color w:val="auto"/>
                      <w:sz w:val="21"/>
                      <w:szCs w:val="21"/>
                      <w:highlight w:val="none"/>
                      <w:u w:val="none"/>
                    </w:rPr>
                  </w:pPr>
                </w:p>
              </w:tc>
            </w:tr>
            <w:tr w14:paraId="2A9A1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12" w:space="0"/>
                  </w:tcBorders>
                  <w:shd w:val="clear" w:color="auto" w:fill="auto"/>
                  <w:noWrap/>
                  <w:vAlign w:val="center"/>
                </w:tcPr>
                <w:p w14:paraId="1F28785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废气收集率</w:t>
                  </w:r>
                </w:p>
              </w:tc>
              <w:tc>
                <w:tcPr>
                  <w:tcW w:w="797" w:type="dxa"/>
                  <w:tcBorders>
                    <w:top w:val="single" w:color="auto" w:sz="12" w:space="0"/>
                  </w:tcBorders>
                  <w:shd w:val="clear" w:color="auto" w:fill="auto"/>
                  <w:noWrap/>
                  <w:vAlign w:val="center"/>
                </w:tcPr>
                <w:p w14:paraId="1AA970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95%</w:t>
                  </w:r>
                </w:p>
              </w:tc>
              <w:tc>
                <w:tcPr>
                  <w:tcW w:w="962" w:type="dxa"/>
                  <w:tcBorders>
                    <w:top w:val="single" w:color="auto" w:sz="12" w:space="0"/>
                  </w:tcBorders>
                  <w:shd w:val="clear" w:color="auto" w:fill="auto"/>
                  <w:noWrap/>
                  <w:vAlign w:val="center"/>
                </w:tcPr>
                <w:p w14:paraId="307D92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1087" w:type="dxa"/>
                  <w:tcBorders>
                    <w:top w:val="single" w:color="auto" w:sz="12" w:space="0"/>
                  </w:tcBorders>
                  <w:shd w:val="clear" w:color="auto" w:fill="auto"/>
                  <w:noWrap/>
                  <w:vAlign w:val="center"/>
                </w:tcPr>
                <w:p w14:paraId="6DBBA6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904" w:type="dxa"/>
                  <w:tcBorders>
                    <w:top w:val="single" w:color="auto" w:sz="12" w:space="0"/>
                  </w:tcBorders>
                  <w:shd w:val="clear" w:color="auto" w:fill="auto"/>
                  <w:noWrap/>
                  <w:vAlign w:val="center"/>
                </w:tcPr>
                <w:p w14:paraId="0344BF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65%</w:t>
                  </w:r>
                </w:p>
              </w:tc>
              <w:tc>
                <w:tcPr>
                  <w:tcW w:w="904" w:type="dxa"/>
                  <w:tcBorders>
                    <w:top w:val="single" w:color="auto" w:sz="12" w:space="0"/>
                  </w:tcBorders>
                  <w:shd w:val="clear" w:color="auto" w:fill="auto"/>
                  <w:noWrap/>
                  <w:vAlign w:val="center"/>
                </w:tcPr>
                <w:p w14:paraId="52349F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052" w:type="dxa"/>
                  <w:tcBorders>
                    <w:top w:val="single" w:color="auto" w:sz="12" w:space="0"/>
                  </w:tcBorders>
                  <w:shd w:val="clear" w:color="auto" w:fill="auto"/>
                  <w:noWrap/>
                  <w:vAlign w:val="center"/>
                </w:tcPr>
                <w:p w14:paraId="245A2C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756" w:type="dxa"/>
                  <w:tcBorders>
                    <w:top w:val="single" w:color="auto" w:sz="12" w:space="0"/>
                  </w:tcBorders>
                  <w:shd w:val="clear" w:color="auto" w:fill="auto"/>
                  <w:noWrap/>
                  <w:vAlign w:val="center"/>
                </w:tcPr>
                <w:p w14:paraId="66DD05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r>
          </w:tbl>
          <w:p w14:paraId="70755F47">
            <w:pPr>
              <w:spacing w:line="360" w:lineRule="auto"/>
              <w:ind w:firstLine="480" w:firstLineChars="200"/>
              <w:rPr>
                <w:rFonts w:hint="default" w:ascii="Times New Roman" w:hAnsi="Times New Roman" w:eastAsia="宋体" w:cs="Times New Roman"/>
                <w:b w:val="0"/>
                <w:bCs w:val="0"/>
                <w:smallCaps w:val="0"/>
                <w:snapToGrid w:val="0"/>
                <w:color w:val="auto"/>
                <w:spacing w:val="0"/>
                <w:kern w:val="0"/>
                <w:position w:val="0"/>
                <w:sz w:val="24"/>
                <w:szCs w:val="24"/>
                <w:highlight w:val="none"/>
                <w:lang w:val="en-US" w:eastAsia="zh-CN"/>
              </w:rPr>
            </w:pPr>
            <w:r>
              <w:rPr>
                <w:rFonts w:hint="default" w:ascii="Times New Roman" w:hAnsi="Times New Roman" w:cs="Times New Roman"/>
                <w:smallCaps w:val="0"/>
                <w:snapToGrid w:val="0"/>
                <w:color w:val="auto"/>
                <w:spacing w:val="0"/>
                <w:kern w:val="0"/>
                <w:position w:val="0"/>
                <w:sz w:val="24"/>
                <w:szCs w:val="24"/>
                <w:highlight w:val="none"/>
                <w:lang w:val="en-US" w:eastAsia="zh-CN"/>
              </w:rPr>
              <w:t>本项目设置</w:t>
            </w:r>
            <w:r>
              <w:rPr>
                <w:rFonts w:hint="eastAsia" w:ascii="Times New Roman" w:hAnsi="Times New Roman" w:cs="Times New Roman"/>
                <w:smallCaps w:val="0"/>
                <w:snapToGrid w:val="0"/>
                <w:color w:val="auto"/>
                <w:spacing w:val="0"/>
                <w:kern w:val="0"/>
                <w:position w:val="0"/>
                <w:sz w:val="24"/>
                <w:szCs w:val="24"/>
                <w:highlight w:val="none"/>
                <w:lang w:val="en-US" w:eastAsia="zh-CN"/>
              </w:rPr>
              <w:t>负压</w:t>
            </w:r>
            <w:r>
              <w:rPr>
                <w:rFonts w:hint="default" w:ascii="Times New Roman" w:hAnsi="Times New Roman" w:cs="Times New Roman"/>
                <w:smallCaps w:val="0"/>
                <w:snapToGrid w:val="0"/>
                <w:color w:val="auto"/>
                <w:spacing w:val="0"/>
                <w:kern w:val="0"/>
                <w:position w:val="0"/>
                <w:sz w:val="24"/>
                <w:szCs w:val="24"/>
                <w:highlight w:val="none"/>
                <w:lang w:val="en-US" w:eastAsia="zh-CN"/>
              </w:rPr>
              <w:t>风机集气罩，集</w:t>
            </w:r>
            <w:r>
              <w:rPr>
                <w:rFonts w:hint="default" w:ascii="Times New Roman" w:hAnsi="Times New Roman" w:cs="Times New Roman"/>
                <w:b w:val="0"/>
                <w:bCs w:val="0"/>
                <w:smallCaps w:val="0"/>
                <w:snapToGrid w:val="0"/>
                <w:color w:val="auto"/>
                <w:spacing w:val="0"/>
                <w:kern w:val="0"/>
                <w:position w:val="0"/>
                <w:sz w:val="24"/>
                <w:szCs w:val="24"/>
                <w:highlight w:val="none"/>
                <w:lang w:val="en-US" w:eastAsia="zh-CN"/>
              </w:rPr>
              <w:t>气罩距离</w:t>
            </w:r>
            <w:r>
              <w:rPr>
                <w:rFonts w:hint="default" w:ascii="Times New Roman" w:hAnsi="Times New Roman" w:eastAsia="宋体" w:cs="Times New Roman"/>
                <w:b w:val="0"/>
                <w:bCs w:val="0"/>
                <w:smallCaps w:val="0"/>
                <w:snapToGrid w:val="0"/>
                <w:color w:val="auto"/>
                <w:spacing w:val="0"/>
                <w:kern w:val="0"/>
                <w:position w:val="0"/>
                <w:sz w:val="24"/>
                <w:szCs w:val="24"/>
                <w:highlight w:val="none"/>
                <w:lang w:val="en-US" w:eastAsia="zh-CN"/>
              </w:rPr>
              <w:t>剪切</w:t>
            </w:r>
            <w:r>
              <w:rPr>
                <w:rFonts w:hint="default" w:ascii="Times New Roman" w:hAnsi="Times New Roman" w:eastAsia="宋体" w:cs="Times New Roman"/>
                <w:b w:val="0"/>
                <w:bCs w:val="0"/>
                <w:smallCaps w:val="0"/>
                <w:snapToGrid w:val="0"/>
                <w:color w:val="auto"/>
                <w:spacing w:val="0"/>
                <w:kern w:val="0"/>
                <w:position w:val="0"/>
                <w:sz w:val="24"/>
                <w:szCs w:val="24"/>
                <w:highlight w:val="none"/>
              </w:rPr>
              <w:t>工序</w:t>
            </w:r>
            <w:r>
              <w:rPr>
                <w:rFonts w:hint="default" w:ascii="Times New Roman" w:hAnsi="Times New Roman" w:cs="Times New Roman"/>
                <w:b w:val="0"/>
                <w:bCs w:val="0"/>
                <w:smallCaps w:val="0"/>
                <w:snapToGrid w:val="0"/>
                <w:color w:val="auto"/>
                <w:spacing w:val="0"/>
                <w:kern w:val="0"/>
                <w:position w:val="0"/>
                <w:sz w:val="24"/>
                <w:szCs w:val="24"/>
                <w:highlight w:val="none"/>
                <w:lang w:val="en-US" w:eastAsia="zh-CN"/>
              </w:rPr>
              <w:t>工作面0.6m，</w:t>
            </w:r>
            <w:r>
              <w:rPr>
                <w:rFonts w:hint="default" w:ascii="Times New Roman" w:hAnsi="Times New Roman" w:cs="Times New Roman"/>
                <w:smallCaps w:val="0"/>
                <w:snapToGrid w:val="0"/>
                <w:color w:val="auto"/>
                <w:spacing w:val="0"/>
                <w:kern w:val="0"/>
                <w:position w:val="0"/>
                <w:sz w:val="24"/>
                <w:szCs w:val="24"/>
                <w:highlight w:val="none"/>
                <w:lang w:val="en-US" w:eastAsia="zh-CN"/>
              </w:rPr>
              <w:t>集</w:t>
            </w:r>
            <w:r>
              <w:rPr>
                <w:rFonts w:hint="default" w:ascii="Times New Roman" w:hAnsi="Times New Roman" w:cs="Times New Roman"/>
                <w:b w:val="0"/>
                <w:bCs w:val="0"/>
                <w:smallCaps w:val="0"/>
                <w:snapToGrid w:val="0"/>
                <w:color w:val="auto"/>
                <w:spacing w:val="0"/>
                <w:kern w:val="0"/>
                <w:position w:val="0"/>
                <w:sz w:val="24"/>
                <w:szCs w:val="24"/>
                <w:highlight w:val="none"/>
                <w:lang w:val="en-US" w:eastAsia="zh-CN"/>
              </w:rPr>
              <w:t>气罩面积不小于工作投影面积，因此，本项目集气罩收集效率取90%</w:t>
            </w:r>
          </w:p>
          <w:p w14:paraId="06DB87E1">
            <w:pPr>
              <w:keepNext w:val="0"/>
              <w:keepLines w:val="0"/>
              <w:widowControl/>
              <w:suppressLineNumbers w:val="0"/>
              <w:spacing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为减少</w:t>
            </w:r>
            <w:r>
              <w:rPr>
                <w:rFonts w:hint="default" w:ascii="Times New Roman" w:hAnsi="Times New Roman" w:eastAsia="宋体" w:cs="Times New Roman"/>
                <w:b w:val="0"/>
                <w:bCs w:val="0"/>
                <w:color w:val="auto"/>
                <w:sz w:val="24"/>
                <w:szCs w:val="24"/>
                <w:highlight w:val="none"/>
                <w:vertAlign w:val="baseline"/>
                <w:lang w:val="en-US" w:eastAsia="zh-CN"/>
              </w:rPr>
              <w:t>非甲烷总烃</w:t>
            </w:r>
            <w:r>
              <w:rPr>
                <w:rFonts w:hint="default" w:ascii="Times New Roman" w:hAnsi="Times New Roman" w:eastAsia="宋体" w:cs="Times New Roman"/>
                <w:b w:val="0"/>
                <w:bCs w:val="0"/>
                <w:color w:val="auto"/>
                <w:kern w:val="0"/>
                <w:sz w:val="24"/>
                <w:szCs w:val="24"/>
                <w:highlight w:val="none"/>
                <w:lang w:val="en-US" w:eastAsia="zh-CN" w:bidi="ar"/>
              </w:rPr>
              <w:t>直接排放影响，</w:t>
            </w:r>
            <w:r>
              <w:rPr>
                <w:rFonts w:hint="default" w:ascii="Times New Roman" w:hAnsi="Times New Roman" w:eastAsia="宋体" w:cs="Times New Roman"/>
                <w:b w:val="0"/>
                <w:bCs w:val="0"/>
                <w:smallCaps w:val="0"/>
                <w:snapToGrid w:val="0"/>
                <w:color w:val="auto"/>
                <w:spacing w:val="0"/>
                <w:kern w:val="0"/>
                <w:position w:val="0"/>
                <w:sz w:val="24"/>
                <w:szCs w:val="24"/>
                <w:highlight w:val="none"/>
                <w:lang w:val="en-US" w:eastAsia="zh-CN"/>
              </w:rPr>
              <w:t>企业拟在加热熔融工序设置集气罩。根据《局部排风设施控制风速检测与评估</w:t>
            </w:r>
            <w:r>
              <w:rPr>
                <w:rFonts w:hint="default" w:ascii="Times New Roman" w:hAnsi="Times New Roman" w:eastAsia="宋体" w:cs="Times New Roman"/>
                <w:b w:val="0"/>
                <w:bCs w:val="0"/>
                <w:color w:val="auto"/>
                <w:kern w:val="0"/>
                <w:sz w:val="24"/>
                <w:szCs w:val="24"/>
                <w:highlight w:val="none"/>
                <w:lang w:val="en-US" w:eastAsia="zh-CN" w:bidi="ar"/>
              </w:rPr>
              <w:t>技术规范》(AQ/T4274-2016)</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kern w:val="0"/>
                <w:sz w:val="24"/>
                <w:szCs w:val="24"/>
                <w:highlight w:val="none"/>
                <w:lang w:val="en-US" w:eastAsia="zh-CN" w:bidi="ar"/>
              </w:rPr>
              <w:t>集气罩收集的废气通过处理装置的控制风速要在0.5-1.0m/s之间，以保证收集效率。本报告按照《环境工程设计手册》中经验公式计算得出各废气收集装置所需的风量L。</w:t>
            </w:r>
          </w:p>
          <w:p w14:paraId="627AF8A8">
            <w:pPr>
              <w:keepNext w:val="0"/>
              <w:keepLines w:val="0"/>
              <w:widowControl/>
              <w:suppressLineNumbers w:val="0"/>
              <w:spacing w:line="360" w:lineRule="auto"/>
              <w:jc w:val="center"/>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L=3600(5X</w:t>
            </w:r>
            <w:r>
              <w:rPr>
                <w:rFonts w:hint="default" w:ascii="Times New Roman" w:hAnsi="Times New Roman" w:eastAsia="宋体" w:cs="Times New Roman"/>
                <w:b w:val="0"/>
                <w:bCs w:val="0"/>
                <w:color w:val="auto"/>
                <w:kern w:val="0"/>
                <w:sz w:val="24"/>
                <w:szCs w:val="24"/>
                <w:highlight w:val="none"/>
                <w:vertAlign w:val="superscript"/>
                <w:lang w:val="en-US" w:eastAsia="zh-CN" w:bidi="ar"/>
              </w:rPr>
              <w:t>2</w:t>
            </w:r>
            <w:r>
              <w:rPr>
                <w:rFonts w:hint="default" w:ascii="Times New Roman" w:hAnsi="Times New Roman" w:eastAsia="宋体" w:cs="Times New Roman"/>
                <w:b w:val="0"/>
                <w:bCs w:val="0"/>
                <w:color w:val="auto"/>
                <w:kern w:val="0"/>
                <w:sz w:val="24"/>
                <w:szCs w:val="24"/>
                <w:highlight w:val="none"/>
                <w:lang w:val="en-US" w:eastAsia="zh-CN" w:bidi="ar"/>
              </w:rPr>
              <w:t>+F)×Vx</w:t>
            </w:r>
          </w:p>
          <w:p w14:paraId="21E07539">
            <w:pPr>
              <w:keepNext w:val="0"/>
              <w:keepLines w:val="0"/>
              <w:widowControl/>
              <w:suppressLineNumbers w:val="0"/>
              <w:spacing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式中：X--集气罩至污染源的距离(</w:t>
            </w:r>
            <w:r>
              <w:rPr>
                <w:rFonts w:hint="default" w:ascii="Times New Roman" w:hAnsi="Times New Roman" w:cs="Times New Roman"/>
                <w:b w:val="0"/>
                <w:bCs w:val="0"/>
                <w:color w:val="auto"/>
                <w:kern w:val="0"/>
                <w:sz w:val="24"/>
                <w:szCs w:val="24"/>
                <w:highlight w:val="none"/>
                <w:lang w:val="en-US" w:eastAsia="zh-CN" w:bidi="ar"/>
              </w:rPr>
              <w:t>本次</w:t>
            </w:r>
            <w:r>
              <w:rPr>
                <w:rFonts w:hint="default" w:ascii="Times New Roman" w:hAnsi="Times New Roman" w:eastAsia="宋体" w:cs="Times New Roman"/>
                <w:b w:val="0"/>
                <w:bCs w:val="0"/>
                <w:color w:val="auto"/>
                <w:kern w:val="0"/>
                <w:sz w:val="24"/>
                <w:szCs w:val="24"/>
                <w:highlight w:val="none"/>
                <w:lang w:val="en-US" w:eastAsia="zh-CN" w:bidi="ar"/>
              </w:rPr>
              <w:t>取0.</w:t>
            </w:r>
            <w:r>
              <w:rPr>
                <w:rFonts w:hint="default" w:ascii="Times New Roman" w:hAnsi="Times New Roman" w:cs="Times New Roman"/>
                <w:b w:val="0"/>
                <w:bCs w:val="0"/>
                <w:color w:val="auto"/>
                <w:kern w:val="0"/>
                <w:sz w:val="24"/>
                <w:szCs w:val="24"/>
                <w:highlight w:val="none"/>
                <w:lang w:val="en-US" w:eastAsia="zh-CN" w:bidi="ar"/>
              </w:rPr>
              <w:t>6</w:t>
            </w:r>
            <w:r>
              <w:rPr>
                <w:rFonts w:hint="default" w:ascii="Times New Roman" w:hAnsi="Times New Roman" w:eastAsia="宋体" w:cs="Times New Roman"/>
                <w:b w:val="0"/>
                <w:bCs w:val="0"/>
                <w:color w:val="auto"/>
                <w:kern w:val="0"/>
                <w:sz w:val="24"/>
                <w:szCs w:val="24"/>
                <w:highlight w:val="none"/>
                <w:lang w:val="en-US" w:eastAsia="zh-CN" w:bidi="ar"/>
              </w:rPr>
              <w:t>m计)：</w:t>
            </w:r>
          </w:p>
          <w:p w14:paraId="79BF27D1">
            <w:pPr>
              <w:keepNext w:val="0"/>
              <w:keepLines w:val="0"/>
              <w:widowControl/>
              <w:suppressLineNumbers w:val="0"/>
              <w:spacing w:line="360" w:lineRule="auto"/>
              <w:ind w:firstLine="1200" w:firstLineChars="5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F--集气罩罩口面积(经核算，F=</w:t>
            </w:r>
            <w:r>
              <w:rPr>
                <w:rFonts w:hint="default" w:ascii="Times New Roman" w:hAnsi="Times New Roman" w:cs="Times New Roman"/>
                <w:b w:val="0"/>
                <w:bCs w:val="0"/>
                <w:color w:val="auto"/>
                <w:kern w:val="0"/>
                <w:sz w:val="24"/>
                <w:szCs w:val="24"/>
                <w:highlight w:val="none"/>
                <w:lang w:val="en-US" w:eastAsia="zh-CN" w:bidi="ar"/>
              </w:rPr>
              <w:t>4.0</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2</w:t>
            </w:r>
            <w:r>
              <w:rPr>
                <w:rFonts w:hint="default" w:ascii="Times New Roman" w:hAnsi="Times New Roman" w:eastAsia="宋体" w:cs="Times New Roman"/>
                <w:b w:val="0"/>
                <w:bCs w:val="0"/>
                <w:color w:val="auto"/>
                <w:kern w:val="0"/>
                <w:sz w:val="24"/>
                <w:szCs w:val="24"/>
                <w:highlight w:val="none"/>
                <w:lang w:val="en-US" w:eastAsia="zh-CN" w:bidi="ar"/>
              </w:rPr>
              <w:t>):</w:t>
            </w:r>
          </w:p>
          <w:p w14:paraId="3BD1E1E4">
            <w:pPr>
              <w:keepNext w:val="0"/>
              <w:keepLines w:val="0"/>
              <w:widowControl/>
              <w:suppressLineNumbers w:val="0"/>
              <w:spacing w:line="360" w:lineRule="auto"/>
              <w:ind w:firstLine="1200" w:firstLineChars="5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Vx--控制风速(本项目取1.8m/s).</w:t>
            </w:r>
          </w:p>
          <w:p w14:paraId="17CA7812">
            <w:pPr>
              <w:keepNext w:val="0"/>
              <w:keepLines w:val="0"/>
              <w:widowControl/>
              <w:suppressLineNumbers w:val="0"/>
              <w:spacing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代入相关数据经计算可知：</w:t>
            </w:r>
            <w:r>
              <w:rPr>
                <w:rFonts w:hint="default" w:ascii="Times New Roman" w:hAnsi="Times New Roman" w:cs="Times New Roman"/>
                <w:b w:val="0"/>
                <w:bCs w:val="0"/>
                <w:color w:val="auto"/>
                <w:kern w:val="0"/>
                <w:sz w:val="24"/>
                <w:szCs w:val="24"/>
                <w:highlight w:val="none"/>
                <w:lang w:val="en-US" w:eastAsia="zh-CN" w:bidi="ar"/>
              </w:rPr>
              <w:t>2</w:t>
            </w:r>
            <w:r>
              <w:rPr>
                <w:rFonts w:hint="default" w:ascii="Times New Roman" w:hAnsi="Times New Roman" w:eastAsia="宋体" w:cs="Times New Roman"/>
                <w:b w:val="0"/>
                <w:bCs w:val="0"/>
                <w:color w:val="auto"/>
                <w:kern w:val="0"/>
                <w:sz w:val="24"/>
                <w:szCs w:val="24"/>
                <w:highlight w:val="none"/>
                <w:lang w:val="en-US" w:eastAsia="zh-CN" w:bidi="ar"/>
              </w:rPr>
              <w:t>组集气罩所需风量合计为</w:t>
            </w:r>
            <w:r>
              <w:rPr>
                <w:rFonts w:hint="default" w:ascii="Times New Roman" w:hAnsi="Times New Roman" w:cs="Times New Roman"/>
                <w:b w:val="0"/>
                <w:bCs w:val="0"/>
                <w:color w:val="auto"/>
                <w:kern w:val="0"/>
                <w:sz w:val="24"/>
                <w:szCs w:val="24"/>
                <w:highlight w:val="none"/>
                <w:lang w:val="en-US" w:eastAsia="zh-CN" w:bidi="ar"/>
              </w:rPr>
              <w:t>37584</w:t>
            </w:r>
            <w:r>
              <w:rPr>
                <w:rFonts w:hint="default" w:ascii="Times New Roman" w:hAnsi="Times New Roman" w:eastAsia="宋体" w:cs="Times New Roman"/>
                <w:b w:val="0"/>
                <w:bCs w:val="0"/>
                <w:color w:val="auto"/>
                <w:kern w:val="0"/>
                <w:sz w:val="24"/>
                <w:szCs w:val="24"/>
                <w:highlight w:val="none"/>
                <w:lang w:val="en-US" w:eastAsia="zh-CN" w:bidi="ar"/>
              </w:rPr>
              <w:t>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cs="Times New Roman"/>
                <w:b w:val="0"/>
                <w:bCs w:val="0"/>
                <w:color w:val="auto"/>
                <w:kern w:val="0"/>
                <w:sz w:val="24"/>
                <w:szCs w:val="24"/>
                <w:highlight w:val="none"/>
                <w:vertAlign w:val="baseline"/>
                <w:lang w:val="en-US" w:eastAsia="zh-CN" w:bidi="ar"/>
              </w:rPr>
              <w:t>/</w:t>
            </w:r>
            <w:r>
              <w:rPr>
                <w:rFonts w:hint="default" w:ascii="Times New Roman" w:hAnsi="Times New Roman" w:eastAsia="宋体" w:cs="Times New Roman"/>
                <w:b w:val="0"/>
                <w:bCs w:val="0"/>
                <w:color w:val="auto"/>
                <w:kern w:val="0"/>
                <w:sz w:val="24"/>
                <w:szCs w:val="24"/>
                <w:highlight w:val="none"/>
                <w:lang w:val="en-US" w:eastAsia="zh-CN" w:bidi="ar"/>
              </w:rPr>
              <w:t>h。考虑到设备风阻，本次评价废气处理设备需配套风机风量按照</w:t>
            </w:r>
            <w:r>
              <w:rPr>
                <w:rFonts w:hint="default" w:ascii="Times New Roman" w:hAnsi="Times New Roman" w:cs="Times New Roman"/>
                <w:b w:val="0"/>
                <w:bCs w:val="0"/>
                <w:color w:val="auto"/>
                <w:kern w:val="0"/>
                <w:sz w:val="24"/>
                <w:szCs w:val="24"/>
                <w:highlight w:val="none"/>
                <w:lang w:val="en-US" w:eastAsia="zh-CN" w:bidi="ar"/>
              </w:rPr>
              <w:t>4</w:t>
            </w:r>
            <w:r>
              <w:rPr>
                <w:rFonts w:hint="default" w:ascii="Times New Roman" w:hAnsi="Times New Roman" w:eastAsia="宋体" w:cs="Times New Roman"/>
                <w:b w:val="0"/>
                <w:bCs w:val="0"/>
                <w:color w:val="auto"/>
                <w:kern w:val="0"/>
                <w:sz w:val="24"/>
                <w:szCs w:val="24"/>
                <w:highlight w:val="none"/>
                <w:lang w:val="en-US" w:eastAsia="zh-CN" w:bidi="ar"/>
              </w:rPr>
              <w:t>0000m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kern w:val="0"/>
                <w:sz w:val="24"/>
                <w:szCs w:val="24"/>
                <w:highlight w:val="none"/>
                <w:lang w:val="en-US" w:eastAsia="zh-CN" w:bidi="ar"/>
              </w:rPr>
              <w:t>h设计。</w:t>
            </w:r>
          </w:p>
          <w:p w14:paraId="494DBF7F">
            <w:pPr>
              <w:spacing w:line="360" w:lineRule="auto"/>
              <w:ind w:firstLine="480" w:firstLineChars="200"/>
              <w:rPr>
                <w:rFonts w:hint="default" w:ascii="Times New Roman" w:hAnsi="Times New Roman" w:eastAsia="宋体" w:cs="Times New Roman"/>
                <w:smallCaps w:val="0"/>
                <w:snapToGrid w:val="0"/>
                <w:color w:val="auto"/>
                <w:spacing w:val="0"/>
                <w:kern w:val="0"/>
                <w:position w:val="0"/>
                <w:sz w:val="24"/>
                <w:szCs w:val="24"/>
                <w:highlight w:val="none"/>
              </w:rPr>
            </w:pPr>
            <w:r>
              <w:rPr>
                <w:rFonts w:hint="default" w:ascii="Times New Roman" w:hAnsi="Times New Roman" w:cs="Times New Roman"/>
                <w:smallCaps w:val="0"/>
                <w:snapToGrid w:val="0"/>
                <w:color w:val="auto"/>
                <w:spacing w:val="0"/>
                <w:kern w:val="0"/>
                <w:position w:val="0"/>
                <w:sz w:val="24"/>
                <w:szCs w:val="24"/>
                <w:highlight w:val="none"/>
                <w:lang w:val="en-US" w:eastAsia="zh-CN"/>
              </w:rPr>
              <w:t>综上，本项目</w:t>
            </w:r>
            <w:r>
              <w:rPr>
                <w:rFonts w:hint="default" w:ascii="Times New Roman" w:hAnsi="Times New Roman" w:eastAsia="宋体" w:cs="Times New Roman"/>
                <w:smallCaps w:val="0"/>
                <w:snapToGrid w:val="0"/>
                <w:color w:val="auto"/>
                <w:spacing w:val="0"/>
                <w:kern w:val="0"/>
                <w:position w:val="0"/>
                <w:sz w:val="24"/>
                <w:szCs w:val="24"/>
                <w:highlight w:val="none"/>
                <w:lang w:val="en-US" w:eastAsia="zh-CN"/>
              </w:rPr>
              <w:t>在加热熔融工序各设置20</w:t>
            </w:r>
            <w:r>
              <w:rPr>
                <w:rFonts w:hint="default" w:ascii="Times New Roman" w:hAnsi="Times New Roman" w:eastAsia="宋体" w:cs="Times New Roman"/>
                <w:smallCaps w:val="0"/>
                <w:snapToGrid w:val="0"/>
                <w:color w:val="auto"/>
                <w:spacing w:val="0"/>
                <w:kern w:val="0"/>
                <w:position w:val="0"/>
                <w:sz w:val="24"/>
                <w:szCs w:val="24"/>
                <w:highlight w:val="none"/>
              </w:rPr>
              <w:t>套集气罩，集气罩</w:t>
            </w:r>
            <w:r>
              <w:rPr>
                <w:rFonts w:hint="default" w:ascii="Times New Roman" w:hAnsi="Times New Roman" w:eastAsia="宋体" w:cs="Times New Roman"/>
                <w:smallCaps w:val="0"/>
                <w:snapToGrid w:val="0"/>
                <w:color w:val="auto"/>
                <w:spacing w:val="0"/>
                <w:kern w:val="0"/>
                <w:position w:val="0"/>
                <w:sz w:val="24"/>
                <w:szCs w:val="24"/>
                <w:highlight w:val="none"/>
                <w:lang w:eastAsia="zh-CN"/>
              </w:rPr>
              <w:t>收集</w:t>
            </w:r>
            <w:r>
              <w:rPr>
                <w:rFonts w:hint="default" w:ascii="Times New Roman" w:hAnsi="Times New Roman" w:eastAsia="宋体" w:cs="Times New Roman"/>
                <w:smallCaps w:val="0"/>
                <w:snapToGrid w:val="0"/>
                <w:color w:val="auto"/>
                <w:spacing w:val="0"/>
                <w:kern w:val="0"/>
                <w:position w:val="0"/>
                <w:sz w:val="24"/>
                <w:szCs w:val="24"/>
                <w:highlight w:val="none"/>
              </w:rPr>
              <w:t>效率90%</w:t>
            </w:r>
            <w:r>
              <w:rPr>
                <w:rFonts w:hint="default" w:ascii="Times New Roman" w:hAnsi="Times New Roman" w:eastAsia="宋体" w:cs="Times New Roman"/>
                <w:smallCaps w:val="0"/>
                <w:snapToGrid w:val="0"/>
                <w:color w:val="auto"/>
                <w:spacing w:val="0"/>
                <w:kern w:val="0"/>
                <w:position w:val="0"/>
                <w:sz w:val="24"/>
                <w:szCs w:val="24"/>
                <w:highlight w:val="none"/>
                <w:lang w:eastAsia="zh-CN"/>
              </w:rPr>
              <w:t>，</w:t>
            </w:r>
            <w:r>
              <w:rPr>
                <w:rFonts w:hint="default" w:ascii="Times New Roman" w:hAnsi="Times New Roman" w:eastAsia="宋体" w:cs="Times New Roman"/>
                <w:b w:val="0"/>
                <w:bCs w:val="0"/>
                <w:color w:val="auto"/>
                <w:sz w:val="24"/>
                <w:szCs w:val="24"/>
                <w:highlight w:val="none"/>
              </w:rPr>
              <w:t>收集</w:t>
            </w:r>
            <w:r>
              <w:rPr>
                <w:rFonts w:hint="default" w:ascii="Times New Roman" w:hAnsi="Times New Roman" w:eastAsia="宋体" w:cs="Times New Roman"/>
                <w:b w:val="0"/>
                <w:bCs w:val="0"/>
                <w:color w:val="auto"/>
                <w:sz w:val="24"/>
                <w:szCs w:val="24"/>
                <w:highlight w:val="none"/>
                <w:lang w:val="en-US" w:eastAsia="zh-CN"/>
              </w:rPr>
              <w:t>并送</w:t>
            </w:r>
            <w:r>
              <w:rPr>
                <w:rFonts w:hint="default" w:ascii="Times New Roman" w:hAnsi="Times New Roman" w:eastAsia="宋体" w:cs="Times New Roman"/>
                <w:b w:val="0"/>
                <w:bCs w:val="0"/>
                <w:color w:val="auto"/>
                <w:sz w:val="24"/>
                <w:szCs w:val="24"/>
                <w:highlight w:val="none"/>
              </w:rPr>
              <w:t>至</w:t>
            </w:r>
            <w:r>
              <w:rPr>
                <w:rFonts w:hint="default" w:ascii="Times New Roman" w:hAnsi="Times New Roman" w:eastAsia="宋体" w:cs="Times New Roman"/>
                <w:b w:val="0"/>
                <w:bCs w:val="0"/>
                <w:color w:val="auto"/>
                <w:sz w:val="24"/>
                <w:szCs w:val="24"/>
                <w:highlight w:val="none"/>
                <w:lang w:val="en-US" w:eastAsia="zh-CN"/>
              </w:rPr>
              <w:t>活性炭吸附</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脱附+催化燃烧装置</w:t>
            </w:r>
            <w:r>
              <w:rPr>
                <w:rFonts w:hint="eastAsia" w:ascii="Times New Roman" w:hAnsi="Times New Roman" w:eastAsia="宋体" w:cs="Times New Roman"/>
                <w:b w:val="0"/>
                <w:bCs w:val="0"/>
                <w:color w:val="auto"/>
                <w:sz w:val="24"/>
                <w:szCs w:val="24"/>
                <w:highlight w:val="none"/>
                <w:lang w:val="en-US" w:eastAsia="zh-CN"/>
              </w:rPr>
              <w:t>（处理效率：85%）</w:t>
            </w:r>
            <w:r>
              <w:rPr>
                <w:rFonts w:hint="default" w:ascii="Times New Roman" w:hAnsi="Times New Roman" w:eastAsia="宋体" w:cs="Times New Roman"/>
                <w:b w:val="0"/>
                <w:bCs w:val="0"/>
                <w:color w:val="auto"/>
                <w:sz w:val="24"/>
                <w:szCs w:val="24"/>
                <w:highlight w:val="none"/>
                <w:lang w:val="en-US" w:eastAsia="zh-CN"/>
              </w:rPr>
              <w:t>（RCO）</w:t>
            </w:r>
            <w:r>
              <w:rPr>
                <w:rFonts w:hint="default" w:ascii="Times New Roman" w:hAnsi="Times New Roman" w:eastAsia="宋体" w:cs="Times New Roman"/>
                <w:b w:val="0"/>
                <w:bCs w:val="0"/>
                <w:color w:val="auto"/>
                <w:sz w:val="24"/>
                <w:szCs w:val="24"/>
                <w:highlight w:val="none"/>
                <w:vertAlign w:val="baseline"/>
                <w:lang w:val="en-US" w:eastAsia="zh-CN"/>
              </w:rPr>
              <w:t>处理后经1根15m高排气筒</w:t>
            </w:r>
            <w:r>
              <w:rPr>
                <w:rFonts w:hint="default" w:ascii="Times New Roman" w:hAnsi="Times New Roman" w:cs="Times New Roman"/>
                <w:b w:val="0"/>
                <w:bCs w:val="0"/>
                <w:color w:val="auto"/>
                <w:sz w:val="24"/>
                <w:szCs w:val="22"/>
                <w:highlight w:val="none"/>
                <w:lang w:val="en-US" w:eastAsia="zh-CN"/>
              </w:rPr>
              <w:t>（DA003）</w:t>
            </w:r>
            <w:r>
              <w:rPr>
                <w:rFonts w:hint="default" w:ascii="Times New Roman" w:hAnsi="Times New Roman" w:eastAsia="宋体" w:cs="Times New Roman"/>
                <w:b w:val="0"/>
                <w:bCs w:val="0"/>
                <w:color w:val="auto"/>
                <w:sz w:val="24"/>
                <w:szCs w:val="24"/>
                <w:highlight w:val="none"/>
              </w:rPr>
              <w:t>有组织排放</w:t>
            </w:r>
            <w:r>
              <w:rPr>
                <w:rFonts w:hint="default" w:ascii="Times New Roman" w:hAnsi="Times New Roman" w:eastAsia="宋体" w:cs="Times New Roman"/>
                <w:b w:val="0"/>
                <w:bCs w:val="0"/>
                <w:color w:val="auto"/>
                <w:sz w:val="24"/>
                <w:szCs w:val="24"/>
                <w:highlight w:val="none"/>
                <w:lang w:val="en-US" w:eastAsia="zh-CN"/>
              </w:rPr>
              <w:t>方式可行</w:t>
            </w:r>
            <w:r>
              <w:rPr>
                <w:rFonts w:hint="default" w:ascii="Times New Roman" w:hAnsi="Times New Roman" w:eastAsia="宋体" w:cs="Times New Roman"/>
                <w:b w:val="0"/>
                <w:bCs w:val="0"/>
                <w:color w:val="auto"/>
                <w:sz w:val="24"/>
                <w:szCs w:val="24"/>
                <w:highlight w:val="none"/>
              </w:rPr>
              <w:t>。</w:t>
            </w:r>
          </w:p>
          <w:p w14:paraId="59B8B6CA">
            <w:pPr>
              <w:keepNext w:val="0"/>
              <w:keepLines w:val="0"/>
              <w:pageBreakBefore w:val="0"/>
              <w:widowControl w:val="0"/>
              <w:shd w:val="clear" w:color="auto" w:fill="auto"/>
              <w:kinsoku/>
              <w:wordWrap/>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②催化燃烧装置</w:t>
            </w:r>
            <w:r>
              <w:rPr>
                <w:rFonts w:hint="eastAsia" w:ascii="Times New Roman" w:hAnsi="Times New Roman" w:cs="Times New Roman"/>
                <w:b/>
                <w:bCs/>
                <w:color w:val="auto"/>
                <w:kern w:val="2"/>
                <w:sz w:val="24"/>
                <w:szCs w:val="24"/>
                <w:highlight w:val="none"/>
                <w:lang w:val="en-US" w:eastAsia="zh-CN" w:bidi="ar-SA"/>
              </w:rPr>
              <w:t>分类</w:t>
            </w:r>
            <w:r>
              <w:rPr>
                <w:rFonts w:hint="default" w:ascii="Times New Roman" w:hAnsi="Times New Roman" w:cs="Times New Roman"/>
                <w:b/>
                <w:bCs/>
                <w:color w:val="auto"/>
                <w:kern w:val="2"/>
                <w:sz w:val="24"/>
                <w:szCs w:val="24"/>
                <w:highlight w:val="none"/>
                <w:lang w:val="en-US" w:eastAsia="zh-CN" w:bidi="ar-SA"/>
              </w:rPr>
              <w:t>的确定</w:t>
            </w:r>
          </w:p>
          <w:p w14:paraId="3B429AD5">
            <w:pPr>
              <w:keepNext w:val="0"/>
              <w:keepLines w:val="0"/>
              <w:pageBreakBefore w:val="0"/>
              <w:widowControl w:val="0"/>
              <w:shd w:val="clear" w:color="auto" w:fill="auto"/>
              <w:kinsoku/>
              <w:wordWrap/>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本项目采用</w:t>
            </w:r>
            <w:r>
              <w:rPr>
                <w:rFonts w:hint="eastAsia" w:ascii="Times New Roman" w:hAnsi="Times New Roman" w:cs="Times New Roman"/>
                <w:b w:val="0"/>
                <w:color w:val="auto"/>
                <w:kern w:val="2"/>
                <w:sz w:val="24"/>
                <w:szCs w:val="24"/>
                <w:highlight w:val="none"/>
                <w:lang w:val="en-US" w:eastAsia="zh-CN" w:bidi="ar-SA"/>
              </w:rPr>
              <w:t>活性炭吸附+脱附+催化燃烧</w:t>
            </w:r>
            <w:r>
              <w:rPr>
                <w:rFonts w:hint="eastAsia" w:ascii="Times New Roman" w:hAnsi="Times New Roman" w:eastAsia="宋体" w:cs="Times New Roman"/>
                <w:b w:val="0"/>
                <w:bCs w:val="0"/>
                <w:color w:val="auto"/>
                <w:sz w:val="24"/>
                <w:szCs w:val="24"/>
                <w:highlight w:val="none"/>
                <w:lang w:val="en-US" w:eastAsia="zh-CN"/>
              </w:rPr>
              <w:t>（处理效率：85%）</w:t>
            </w:r>
            <w:r>
              <w:rPr>
                <w:rFonts w:hint="default" w:ascii="Times New Roman" w:hAnsi="Times New Roman" w:eastAsia="宋体" w:cs="Times New Roman"/>
                <w:b w:val="0"/>
                <w:color w:val="auto"/>
                <w:kern w:val="2"/>
                <w:sz w:val="24"/>
                <w:szCs w:val="24"/>
                <w:highlight w:val="none"/>
                <w:lang w:val="en-US" w:eastAsia="zh-CN" w:bidi="ar-SA"/>
              </w:rPr>
              <w:t>（RCO）作为废气治理设置处理</w:t>
            </w:r>
            <w:r>
              <w:rPr>
                <w:rFonts w:hint="default" w:ascii="Times New Roman" w:hAnsi="Times New Roman" w:cs="Times New Roman"/>
                <w:b w:val="0"/>
                <w:color w:val="auto"/>
                <w:kern w:val="2"/>
                <w:sz w:val="24"/>
                <w:szCs w:val="24"/>
                <w:highlight w:val="none"/>
                <w:lang w:val="en-US" w:eastAsia="zh-CN" w:bidi="ar-SA"/>
              </w:rPr>
              <w:t>VOCs（以非甲烷总烃计）</w:t>
            </w:r>
            <w:r>
              <w:rPr>
                <w:rFonts w:hint="default" w:ascii="Times New Roman" w:hAnsi="Times New Roman" w:eastAsia="宋体" w:cs="Times New Roman"/>
                <w:b w:val="0"/>
                <w:color w:val="auto"/>
                <w:kern w:val="2"/>
                <w:sz w:val="24"/>
                <w:szCs w:val="24"/>
                <w:highlight w:val="none"/>
                <w:lang w:val="en-US" w:eastAsia="zh-CN" w:bidi="ar-SA"/>
              </w:rPr>
              <w:t>，具体工艺流程如下：</w:t>
            </w:r>
          </w:p>
          <w:p w14:paraId="3DC60339">
            <w:pPr>
              <w:keepNext w:val="0"/>
              <w:keepLines w:val="0"/>
              <w:pageBreakBefore w:val="0"/>
              <w:widowControl w:val="0"/>
              <w:shd w:val="clear" w:color="auto" w:fill="auto"/>
              <w:kinsoku/>
              <w:wordWrap/>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w:t>
            </w:r>
            <w:r>
              <w:rPr>
                <w:rFonts w:hint="eastAsia" w:ascii="Times New Roman" w:hAnsi="Times New Roman" w:cs="Times New Roman"/>
                <w:b w:val="0"/>
                <w:color w:val="auto"/>
                <w:kern w:val="2"/>
                <w:sz w:val="24"/>
                <w:szCs w:val="24"/>
                <w:highlight w:val="none"/>
                <w:lang w:val="en-US" w:eastAsia="zh-CN" w:bidi="ar-SA"/>
              </w:rPr>
              <w:t>活性炭吸附+脱附+催化燃烧</w:t>
            </w:r>
            <w:r>
              <w:rPr>
                <w:rFonts w:hint="eastAsia" w:ascii="Times New Roman" w:hAnsi="Times New Roman" w:eastAsia="宋体" w:cs="Times New Roman"/>
                <w:b w:val="0"/>
                <w:bCs w:val="0"/>
                <w:color w:val="auto"/>
                <w:sz w:val="24"/>
                <w:szCs w:val="24"/>
                <w:highlight w:val="none"/>
                <w:lang w:val="en-US" w:eastAsia="zh-CN"/>
              </w:rPr>
              <w:t>（处理效率：85%）</w:t>
            </w:r>
            <w:r>
              <w:rPr>
                <w:rFonts w:hint="default" w:ascii="Times New Roman" w:hAnsi="Times New Roman" w:eastAsia="宋体" w:cs="Times New Roman"/>
                <w:b w:val="0"/>
                <w:color w:val="auto"/>
                <w:kern w:val="2"/>
                <w:sz w:val="24"/>
                <w:szCs w:val="24"/>
                <w:highlight w:val="none"/>
                <w:lang w:val="en-US" w:eastAsia="zh-CN" w:bidi="ar-SA"/>
              </w:rPr>
              <w:t>(RCO)”技术是一种高效</w:t>
            </w:r>
            <w:r>
              <w:rPr>
                <w:rFonts w:hint="default" w:ascii="Times New Roman" w:hAnsi="Times New Roman" w:cs="Times New Roman"/>
                <w:b w:val="0"/>
                <w:color w:val="auto"/>
                <w:kern w:val="2"/>
                <w:sz w:val="24"/>
                <w:szCs w:val="24"/>
                <w:highlight w:val="none"/>
                <w:lang w:val="en-US" w:eastAsia="zh-CN" w:bidi="ar-SA"/>
              </w:rPr>
              <w:t>VOCs（以非甲烷总烃计）</w:t>
            </w:r>
            <w:r>
              <w:rPr>
                <w:rFonts w:hint="default" w:ascii="Times New Roman" w:hAnsi="Times New Roman" w:eastAsia="宋体" w:cs="Times New Roman"/>
                <w:b w:val="0"/>
                <w:color w:val="auto"/>
                <w:kern w:val="2"/>
                <w:sz w:val="24"/>
                <w:szCs w:val="24"/>
                <w:highlight w:val="none"/>
                <w:lang w:val="en-US" w:eastAsia="zh-CN" w:bidi="ar-SA"/>
              </w:rPr>
              <w:t>治理设备。与传统的催化燃烧、直燃式热氧化炉(TO)相比，具有热效率高(≥</w:t>
            </w:r>
            <w:r>
              <w:rPr>
                <w:rFonts w:hint="default" w:ascii="Times New Roman" w:hAnsi="Times New Roman" w:cs="Times New Roman"/>
                <w:b w:val="0"/>
                <w:color w:val="auto"/>
                <w:kern w:val="2"/>
                <w:sz w:val="24"/>
                <w:szCs w:val="24"/>
                <w:highlight w:val="none"/>
                <w:lang w:val="en-US" w:eastAsia="zh-CN" w:bidi="ar-SA"/>
              </w:rPr>
              <w:t>8</w:t>
            </w:r>
            <w:r>
              <w:rPr>
                <w:rFonts w:hint="default" w:ascii="Times New Roman" w:hAnsi="Times New Roman" w:eastAsia="宋体" w:cs="Times New Roman"/>
                <w:b w:val="0"/>
                <w:color w:val="auto"/>
                <w:kern w:val="2"/>
                <w:sz w:val="24"/>
                <w:szCs w:val="24"/>
                <w:highlight w:val="none"/>
                <w:lang w:val="en-US" w:eastAsia="zh-CN" w:bidi="ar-SA"/>
              </w:rPr>
              <w:t>5%)、运行成本低、能处理大风量中低浓度废气等特点，浓度稍高时，还可进行二次余热回收，大大降低生产运营成本。</w:t>
            </w:r>
          </w:p>
          <w:p w14:paraId="2D29BA8B">
            <w:pPr>
              <w:keepNext w:val="0"/>
              <w:keepLines w:val="0"/>
              <w:pageBreakBefore w:val="0"/>
              <w:widowControl w:val="0"/>
              <w:shd w:val="clear" w:color="auto" w:fill="auto"/>
              <w:kinsoku/>
              <w:wordWrap/>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第一步是催化剂对</w:t>
            </w:r>
            <w:r>
              <w:rPr>
                <w:rFonts w:hint="default" w:ascii="Times New Roman" w:hAnsi="Times New Roman" w:cs="Times New Roman"/>
                <w:b w:val="0"/>
                <w:color w:val="auto"/>
                <w:kern w:val="2"/>
                <w:sz w:val="24"/>
                <w:szCs w:val="24"/>
                <w:highlight w:val="none"/>
                <w:lang w:val="en-US" w:eastAsia="zh-CN" w:bidi="ar-SA"/>
              </w:rPr>
              <w:t>VOCs（以非甲烷总烃计）</w:t>
            </w:r>
            <w:r>
              <w:rPr>
                <w:rFonts w:hint="default" w:ascii="Times New Roman" w:hAnsi="Times New Roman" w:eastAsia="宋体" w:cs="Times New Roman"/>
                <w:b w:val="0"/>
                <w:color w:val="auto"/>
                <w:kern w:val="2"/>
                <w:sz w:val="24"/>
                <w:szCs w:val="24"/>
                <w:highlight w:val="none"/>
                <w:lang w:val="en-US" w:eastAsia="zh-CN" w:bidi="ar-SA"/>
              </w:rPr>
              <w:t>分子的吸附，提高了反应物的浓度，第二步是催化氧化阶段降低反应的活化能，提高了反应速率。借助催化剂可使</w:t>
            </w:r>
            <w:r>
              <w:rPr>
                <w:rFonts w:hint="default" w:ascii="Times New Roman" w:hAnsi="Times New Roman" w:cs="Times New Roman"/>
                <w:b w:val="0"/>
                <w:color w:val="auto"/>
                <w:kern w:val="2"/>
                <w:sz w:val="24"/>
                <w:szCs w:val="24"/>
                <w:highlight w:val="none"/>
                <w:lang w:val="en-US" w:eastAsia="zh-CN" w:bidi="ar-SA"/>
              </w:rPr>
              <w:t>VOCs（以非甲烷总烃计）</w:t>
            </w:r>
            <w:r>
              <w:rPr>
                <w:rFonts w:hint="default" w:ascii="Times New Roman" w:hAnsi="Times New Roman" w:eastAsia="宋体" w:cs="Times New Roman"/>
                <w:b w:val="0"/>
                <w:color w:val="auto"/>
                <w:kern w:val="2"/>
                <w:sz w:val="24"/>
                <w:szCs w:val="24"/>
                <w:highlight w:val="none"/>
                <w:lang w:val="en-US" w:eastAsia="zh-CN" w:bidi="ar-SA"/>
              </w:rPr>
              <w:t>在较低的起燃温度下，发生无氧燃烧，分解成CO₂和H₂O放出大量的热，反应温度在250～400℃。</w:t>
            </w:r>
          </w:p>
          <w:p w14:paraId="6EEA50B4">
            <w:pPr>
              <w:pStyle w:val="5"/>
              <w:keepNext w:val="0"/>
              <w:keepLines w:val="0"/>
              <w:pageBreakBefore w:val="0"/>
              <w:shd w:val="clear" w:color="auto" w:fill="auto"/>
              <w:kinsoku/>
              <w:wordWrap/>
              <w:overflowPunct/>
              <w:topLinePunct w:val="0"/>
              <w:autoSpaceDE/>
              <w:autoSpaceDN/>
              <w:bidi w:val="0"/>
              <w:adjustRightInd/>
              <w:spacing w:before="0" w:after="0" w:line="360" w:lineRule="auto"/>
              <w:ind w:right="0" w:firstLine="0" w:firstLineChars="0"/>
              <w:jc w:val="center"/>
              <w:textAlignment w:val="auto"/>
              <w:rPr>
                <w:rFonts w:hint="default" w:ascii="Times New Roman" w:hAnsi="Times New Roman" w:eastAsia="宋体" w:cs="Times New Roman"/>
                <w:b/>
                <w:color w:val="auto"/>
                <w:spacing w:val="0"/>
                <w:sz w:val="24"/>
                <w:szCs w:val="24"/>
                <w:highlight w:val="none"/>
                <w:lang w:eastAsia="zh-CN"/>
              </w:rPr>
            </w:pPr>
            <w:r>
              <w:rPr>
                <w:rFonts w:hint="default" w:ascii="Times New Roman" w:hAnsi="Times New Roman" w:cs="Times New Roman"/>
                <w:color w:val="auto"/>
                <w:sz w:val="24"/>
                <w:szCs w:val="24"/>
                <w:highlight w:val="none"/>
              </w:rPr>
              <w:drawing>
                <wp:inline distT="0" distB="0" distL="114300" distR="114300">
                  <wp:extent cx="4536440" cy="1827530"/>
                  <wp:effectExtent l="0" t="0" r="16510" b="127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16"/>
                          <a:stretch>
                            <a:fillRect/>
                          </a:stretch>
                        </pic:blipFill>
                        <pic:spPr>
                          <a:xfrm>
                            <a:off x="0" y="0"/>
                            <a:ext cx="4536440" cy="1827530"/>
                          </a:xfrm>
                          <a:prstGeom prst="rect">
                            <a:avLst/>
                          </a:prstGeom>
                          <a:noFill/>
                          <a:ln>
                            <a:noFill/>
                          </a:ln>
                        </pic:spPr>
                      </pic:pic>
                    </a:graphicData>
                  </a:graphic>
                </wp:inline>
              </w:drawing>
            </w:r>
          </w:p>
          <w:p w14:paraId="4331CD74">
            <w:pPr>
              <w:pStyle w:val="21"/>
              <w:keepNext w:val="0"/>
              <w:keepLines w:val="0"/>
              <w:pageBreakBefore w:val="0"/>
              <w:widowControl w:val="0"/>
              <w:shd w:val="clear" w:color="auto" w:fill="auto"/>
              <w:kinsoku/>
              <w:wordWrap/>
              <w:overflowPunct/>
              <w:topLinePunct w:val="0"/>
              <w:autoSpaceDE/>
              <w:autoSpaceDN/>
              <w:bidi w:val="0"/>
              <w:adjustRightInd/>
              <w:snapToGrid/>
              <w:spacing w:after="0" w:line="240" w:lineRule="auto"/>
              <w:ind w:right="0" w:firstLine="0" w:firstLineChars="0"/>
              <w:jc w:val="center"/>
              <w:textAlignment w:val="auto"/>
              <w:rPr>
                <w:rFonts w:hint="default" w:ascii="Times New Roman" w:hAnsi="Times New Roman" w:eastAsia="宋体" w:cs="Times New Roman"/>
                <w:b/>
                <w:color w:val="auto"/>
                <w:spacing w:val="0"/>
                <w:sz w:val="21"/>
                <w:szCs w:val="21"/>
                <w:highlight w:val="none"/>
                <w:lang w:val="en-US" w:eastAsia="zh-CN"/>
              </w:rPr>
            </w:pPr>
            <w:r>
              <w:rPr>
                <w:rFonts w:hint="default" w:ascii="Times New Roman" w:hAnsi="Times New Roman" w:eastAsia="宋体" w:cs="Times New Roman"/>
                <w:b/>
                <w:color w:val="auto"/>
                <w:spacing w:val="0"/>
                <w:sz w:val="21"/>
                <w:szCs w:val="21"/>
                <w:highlight w:val="none"/>
                <w:lang w:eastAsia="zh-CN"/>
              </w:rPr>
              <w:t>图</w:t>
            </w:r>
            <w:r>
              <w:rPr>
                <w:rFonts w:hint="default" w:ascii="Times New Roman" w:hAnsi="Times New Roman" w:eastAsia="宋体" w:cs="Times New Roman"/>
                <w:b/>
                <w:color w:val="auto"/>
                <w:spacing w:val="0"/>
                <w:sz w:val="21"/>
                <w:szCs w:val="21"/>
                <w:highlight w:val="none"/>
                <w:lang w:val="en-US" w:eastAsia="zh-CN"/>
              </w:rPr>
              <w:t>4-1   催化燃烧工艺流程图</w:t>
            </w:r>
          </w:p>
          <w:p w14:paraId="2F3F035E">
            <w:pPr>
              <w:keepNext w:val="0"/>
              <w:keepLines w:val="0"/>
              <w:pageBreakBefore w:val="0"/>
              <w:widowControl w:val="0"/>
              <w:shd w:val="clear" w:color="auto" w:fill="auto"/>
              <w:kinsoku/>
              <w:wordWrap/>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过程如下：启动脱附风机、开启相应阀门和远红外电加热器，对催化燃烧床内部的催化剂进行预热，同时产生一定量的热空气，当床层温度达到设定值时将热空气送入吸附床，活性炭受热解吸出高浓度的有机气体，经脱附风机引入催化燃烧床，在贵金属催化剂的作用下于一个较低的温度进行无焰催化燃烧，将有机成分转化为无毒、无害的CO</w:t>
            </w:r>
            <w:r>
              <w:rPr>
                <w:rFonts w:hint="default" w:ascii="Times New Roman" w:hAnsi="Times New Roman" w:eastAsia="宋体" w:cs="Times New Roman"/>
                <w:b w:val="0"/>
                <w:color w:val="auto"/>
                <w:kern w:val="2"/>
                <w:sz w:val="24"/>
                <w:szCs w:val="24"/>
                <w:highlight w:val="none"/>
                <w:vertAlign w:val="subscript"/>
                <w:lang w:val="en-US" w:eastAsia="zh-CN" w:bidi="ar-SA"/>
              </w:rPr>
              <w:t>2</w:t>
            </w:r>
            <w:r>
              <w:rPr>
                <w:rFonts w:hint="default" w:ascii="Times New Roman" w:hAnsi="Times New Roman" w:eastAsia="宋体" w:cs="Times New Roman"/>
                <w:b w:val="0"/>
                <w:color w:val="auto"/>
                <w:kern w:val="2"/>
                <w:sz w:val="24"/>
                <w:szCs w:val="24"/>
                <w:highlight w:val="none"/>
                <w:lang w:val="en-US" w:eastAsia="zh-CN" w:bidi="ar-SA"/>
              </w:rPr>
              <w:t>和H</w:t>
            </w:r>
            <w:r>
              <w:rPr>
                <w:rFonts w:hint="default" w:ascii="Times New Roman" w:hAnsi="Times New Roman" w:eastAsia="宋体" w:cs="Times New Roman"/>
                <w:b w:val="0"/>
                <w:color w:val="auto"/>
                <w:kern w:val="2"/>
                <w:sz w:val="24"/>
                <w:szCs w:val="24"/>
                <w:highlight w:val="none"/>
                <w:vertAlign w:val="subscript"/>
                <w:lang w:val="en-US" w:eastAsia="zh-CN" w:bidi="ar-SA"/>
              </w:rPr>
              <w:t>2</w:t>
            </w:r>
            <w:r>
              <w:rPr>
                <w:rFonts w:hint="default" w:ascii="Times New Roman" w:hAnsi="Times New Roman" w:eastAsia="宋体" w:cs="Times New Roman"/>
                <w:b w:val="0"/>
                <w:color w:val="auto"/>
                <w:kern w:val="2"/>
                <w:sz w:val="24"/>
                <w:szCs w:val="24"/>
                <w:highlight w:val="none"/>
                <w:lang w:val="en-US" w:eastAsia="zh-CN" w:bidi="ar-SA"/>
              </w:rPr>
              <w:t>O，同时释放出大量的热量，可维持催化燃烧所需的起燃温度，使废气燃烧过程基本不需外加的能耗（电能），并将部分热量回用于吸附床内活性炭的解吸再生，从而大大降低了能耗。净化系统催化燃烧床内，有远红外电加热器多组，预热时远红外电加热器全部开启，可实现在较短时间内将废气从室温加热到既定温度；而在稳定燃烧阶段，由于燃烧过程发出大量能量，电加热器只需开启一小部分或无需开启，从而达到节能降耗的控制目标。当燃烧废气浓度较高、反应温度较高时，混流风机自动开启，补充新鲜的冷空气以降低温度、确保催化燃烧床安全、高效运行。</w:t>
            </w:r>
          </w:p>
          <w:p w14:paraId="3F2FA0BA">
            <w:pPr>
              <w:pStyle w:val="21"/>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b w:val="0"/>
                <w:color w:val="auto"/>
                <w:kern w:val="2"/>
                <w:sz w:val="24"/>
                <w:szCs w:val="24"/>
                <w:highlight w:val="none"/>
                <w:lang w:val="en-US" w:eastAsia="zh-CN" w:bidi="ar-SA"/>
              </w:rPr>
              <w:t>本项目废气主要为非甲烷总烃，根据《排污许可证申请与核发技术规范 总则》（HJ942-2018）等相关规范可知，挥发性有机物处理的可行技术为吸附法、燃烧法、催化燃烧等工艺。本项目产生的废气治理技术采用“</w:t>
            </w:r>
            <w:r>
              <w:rPr>
                <w:rFonts w:hint="eastAsia" w:ascii="Times New Roman" w:hAnsi="Times New Roman" w:cs="Times New Roman"/>
                <w:b w:val="0"/>
                <w:color w:val="auto"/>
                <w:kern w:val="2"/>
                <w:sz w:val="24"/>
                <w:szCs w:val="24"/>
                <w:highlight w:val="none"/>
                <w:lang w:val="en-US" w:eastAsia="zh-CN" w:bidi="ar-SA"/>
              </w:rPr>
              <w:t>活性炭吸附+脱附+催化燃烧</w:t>
            </w:r>
            <w:r>
              <w:rPr>
                <w:rFonts w:hint="default" w:ascii="Times New Roman" w:hAnsi="Times New Roman" w:eastAsia="宋体" w:cs="Times New Roman"/>
                <w:b w:val="0"/>
                <w:color w:val="auto"/>
                <w:kern w:val="2"/>
                <w:sz w:val="24"/>
                <w:szCs w:val="24"/>
                <w:highlight w:val="none"/>
                <w:lang w:val="en-US" w:eastAsia="zh-CN" w:bidi="ar-SA"/>
              </w:rPr>
              <w:t>”技术，故项目采取的污染防治技术为可行性技术。</w:t>
            </w:r>
          </w:p>
          <w:p w14:paraId="5D92629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综上所述，本项目废气处理措施可行。</w:t>
            </w:r>
          </w:p>
          <w:p w14:paraId="653389E1">
            <w:pPr>
              <w:pStyle w:val="64"/>
              <w:ind w:firstLine="0" w:firstLineChars="0"/>
              <w:rPr>
                <w:rFonts w:hint="default" w:ascii="Times New Roman" w:hAnsi="Times New Roman" w:cs="Times New Roman"/>
                <w:b/>
                <w:bCs/>
                <w:color w:val="auto"/>
                <w:highlight w:val="none"/>
              </w:rPr>
            </w:pPr>
            <w:r>
              <w:rPr>
                <w:rFonts w:hint="default" w:ascii="Times New Roman" w:hAnsi="Times New Roman" w:cs="Times New Roman"/>
                <w:b/>
                <w:bCs/>
                <w:color w:val="auto"/>
                <w:szCs w:val="32"/>
                <w:highlight w:val="none"/>
              </w:rPr>
              <w:t>1.</w:t>
            </w:r>
            <w:r>
              <w:rPr>
                <w:rFonts w:hint="default" w:ascii="Times New Roman" w:hAnsi="Times New Roman" w:cs="Times New Roman"/>
                <w:b/>
                <w:bCs/>
                <w:color w:val="auto"/>
                <w:szCs w:val="32"/>
                <w:highlight w:val="none"/>
                <w:lang w:val="en-US" w:eastAsia="zh-CN"/>
              </w:rPr>
              <w:t>4</w:t>
            </w:r>
            <w:r>
              <w:rPr>
                <w:rFonts w:hint="default" w:ascii="Times New Roman" w:hAnsi="Times New Roman" w:cs="Times New Roman"/>
                <w:b/>
                <w:bCs/>
                <w:color w:val="auto"/>
                <w:highlight w:val="none"/>
              </w:rPr>
              <w:t>排放口设置情况</w:t>
            </w:r>
          </w:p>
          <w:p w14:paraId="4DCD51F9">
            <w:pPr>
              <w:pStyle w:val="64"/>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本项目废气排放口基本情况见表4-</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p>
          <w:p w14:paraId="12E2D5D3">
            <w:pPr>
              <w:pStyle w:val="1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default" w:ascii="Times New Roman" w:hAnsi="Times New Roman" w:cs="Times New Roman"/>
                <w:b/>
                <w:color w:val="auto"/>
                <w:sz w:val="21"/>
                <w:szCs w:val="21"/>
                <w:highlight w:val="none"/>
                <w:lang w:val="en-US" w:eastAsia="zh-CN"/>
              </w:rPr>
              <w:t>2</w:t>
            </w:r>
            <w:r>
              <w:rPr>
                <w:rFonts w:hint="default" w:ascii="Times New Roman" w:hAnsi="Times New Roman" w:cs="Times New Roman"/>
                <w:b/>
                <w:color w:val="auto"/>
                <w:sz w:val="21"/>
                <w:szCs w:val="21"/>
                <w:highlight w:val="none"/>
              </w:rPr>
              <w:t xml:space="preserve">    有组织废气排放口基本情况表</w:t>
            </w:r>
          </w:p>
          <w:tbl>
            <w:tblPr>
              <w:tblStyle w:val="24"/>
              <w:tblW w:w="494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495"/>
              <w:gridCol w:w="585"/>
              <w:gridCol w:w="518"/>
              <w:gridCol w:w="517"/>
              <w:gridCol w:w="616"/>
              <w:gridCol w:w="622"/>
              <w:gridCol w:w="629"/>
              <w:gridCol w:w="600"/>
              <w:gridCol w:w="577"/>
              <w:gridCol w:w="592"/>
              <w:gridCol w:w="435"/>
              <w:gridCol w:w="468"/>
              <w:gridCol w:w="727"/>
            </w:tblGrid>
            <w:tr w14:paraId="6BE16F0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95" w:type="dxa"/>
                  <w:vMerge w:val="restart"/>
                  <w:noWrap w:val="0"/>
                  <w:vAlign w:val="center"/>
                </w:tcPr>
                <w:p w14:paraId="31516D42">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排放口编号</w:t>
                  </w:r>
                </w:p>
              </w:tc>
              <w:tc>
                <w:tcPr>
                  <w:tcW w:w="585" w:type="dxa"/>
                  <w:vMerge w:val="restart"/>
                  <w:noWrap w:val="0"/>
                  <w:vAlign w:val="center"/>
                </w:tcPr>
                <w:p w14:paraId="4947E113">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排放口名称</w:t>
                  </w:r>
                </w:p>
              </w:tc>
              <w:tc>
                <w:tcPr>
                  <w:tcW w:w="1035" w:type="dxa"/>
                  <w:gridSpan w:val="2"/>
                  <w:noWrap w:val="0"/>
                  <w:vAlign w:val="center"/>
                </w:tcPr>
                <w:p w14:paraId="06A1BDF0">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排气筒底部中心坐标</w:t>
                  </w:r>
                </w:p>
              </w:tc>
              <w:tc>
                <w:tcPr>
                  <w:tcW w:w="616" w:type="dxa"/>
                  <w:vMerge w:val="restart"/>
                  <w:noWrap w:val="0"/>
                  <w:vAlign w:val="center"/>
                </w:tcPr>
                <w:p w14:paraId="6DF7C4BA">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排气筒底部</w:t>
                  </w:r>
                  <w:r>
                    <w:rPr>
                      <w:rFonts w:hint="default" w:ascii="Times New Roman" w:hAnsi="Times New Roman" w:cs="Times New Roman"/>
                      <w:b/>
                      <w:bCs/>
                      <w:color w:val="auto"/>
                      <w:sz w:val="21"/>
                      <w:szCs w:val="21"/>
                      <w:highlight w:val="none"/>
                      <w:lang w:eastAsia="zh-CN"/>
                    </w:rPr>
                    <w:t>海拔</w:t>
                  </w:r>
                  <w:r>
                    <w:rPr>
                      <w:rFonts w:hint="default" w:ascii="Times New Roman" w:hAnsi="Times New Roman" w:cs="Times New Roman"/>
                      <w:b/>
                      <w:bCs/>
                      <w:color w:val="auto"/>
                      <w:sz w:val="21"/>
                      <w:szCs w:val="21"/>
                      <w:highlight w:val="none"/>
                    </w:rPr>
                    <w:t>(m)</w:t>
                  </w:r>
                </w:p>
              </w:tc>
              <w:tc>
                <w:tcPr>
                  <w:tcW w:w="2428" w:type="dxa"/>
                  <w:gridSpan w:val="4"/>
                  <w:noWrap w:val="0"/>
                  <w:vAlign w:val="center"/>
                </w:tcPr>
                <w:p w14:paraId="5C7E591C">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排气筒参数</w:t>
                  </w:r>
                </w:p>
              </w:tc>
              <w:tc>
                <w:tcPr>
                  <w:tcW w:w="1027" w:type="dxa"/>
                  <w:gridSpan w:val="2"/>
                  <w:noWrap w:val="0"/>
                  <w:vAlign w:val="center"/>
                </w:tcPr>
                <w:p w14:paraId="029FF49E">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运行参数</w:t>
                  </w:r>
                </w:p>
              </w:tc>
              <w:tc>
                <w:tcPr>
                  <w:tcW w:w="1195" w:type="dxa"/>
                  <w:gridSpan w:val="2"/>
                  <w:noWrap w:val="0"/>
                  <w:vAlign w:val="center"/>
                </w:tcPr>
                <w:p w14:paraId="42328223">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污染物参数</w:t>
                  </w:r>
                </w:p>
              </w:tc>
            </w:tr>
            <w:tr w14:paraId="78080A9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95" w:type="dxa"/>
                  <w:vMerge w:val="continue"/>
                  <w:tcBorders>
                    <w:bottom w:val="single" w:color="auto" w:sz="12" w:space="0"/>
                  </w:tcBorders>
                  <w:noWrap w:val="0"/>
                  <w:vAlign w:val="center"/>
                </w:tcPr>
                <w:p w14:paraId="46FE2998">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p>
              </w:tc>
              <w:tc>
                <w:tcPr>
                  <w:tcW w:w="585" w:type="dxa"/>
                  <w:vMerge w:val="continue"/>
                  <w:tcBorders>
                    <w:bottom w:val="single" w:color="auto" w:sz="12" w:space="0"/>
                  </w:tcBorders>
                  <w:noWrap w:val="0"/>
                  <w:vAlign w:val="center"/>
                </w:tcPr>
                <w:p w14:paraId="7F42C2B7">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p>
              </w:tc>
              <w:tc>
                <w:tcPr>
                  <w:tcW w:w="518" w:type="dxa"/>
                  <w:tcBorders>
                    <w:bottom w:val="single" w:color="auto" w:sz="12" w:space="0"/>
                  </w:tcBorders>
                  <w:noWrap w:val="0"/>
                  <w:vAlign w:val="center"/>
                </w:tcPr>
                <w:p w14:paraId="126965DC">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经度</w:t>
                  </w:r>
                </w:p>
              </w:tc>
              <w:tc>
                <w:tcPr>
                  <w:tcW w:w="517" w:type="dxa"/>
                  <w:tcBorders>
                    <w:bottom w:val="single" w:color="auto" w:sz="12" w:space="0"/>
                  </w:tcBorders>
                  <w:noWrap w:val="0"/>
                  <w:vAlign w:val="center"/>
                </w:tcPr>
                <w:p w14:paraId="5A9BDD36">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纬度</w:t>
                  </w:r>
                </w:p>
              </w:tc>
              <w:tc>
                <w:tcPr>
                  <w:tcW w:w="616" w:type="dxa"/>
                  <w:vMerge w:val="continue"/>
                  <w:tcBorders>
                    <w:bottom w:val="single" w:color="auto" w:sz="12" w:space="0"/>
                  </w:tcBorders>
                  <w:noWrap w:val="0"/>
                  <w:vAlign w:val="center"/>
                </w:tcPr>
                <w:p w14:paraId="35FFB59D">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p>
              </w:tc>
              <w:tc>
                <w:tcPr>
                  <w:tcW w:w="622" w:type="dxa"/>
                  <w:tcBorders>
                    <w:bottom w:val="single" w:color="auto" w:sz="12" w:space="0"/>
                  </w:tcBorders>
                  <w:noWrap w:val="0"/>
                  <w:vAlign w:val="center"/>
                </w:tcPr>
                <w:p w14:paraId="7262A7B3">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排气筒高度(m)</w:t>
                  </w:r>
                </w:p>
              </w:tc>
              <w:tc>
                <w:tcPr>
                  <w:tcW w:w="629" w:type="dxa"/>
                  <w:tcBorders>
                    <w:bottom w:val="single" w:color="auto" w:sz="12" w:space="0"/>
                  </w:tcBorders>
                  <w:noWrap w:val="0"/>
                  <w:vAlign w:val="center"/>
                </w:tcPr>
                <w:p w14:paraId="7A53A235">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排气筒出口内径(m)</w:t>
                  </w:r>
                </w:p>
              </w:tc>
              <w:tc>
                <w:tcPr>
                  <w:tcW w:w="600" w:type="dxa"/>
                  <w:tcBorders>
                    <w:bottom w:val="single" w:color="auto" w:sz="12" w:space="0"/>
                  </w:tcBorders>
                  <w:noWrap w:val="0"/>
                  <w:vAlign w:val="center"/>
                </w:tcPr>
                <w:p w14:paraId="36BD34D5">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烟气流速(m/s)</w:t>
                  </w:r>
                </w:p>
              </w:tc>
              <w:tc>
                <w:tcPr>
                  <w:tcW w:w="577" w:type="dxa"/>
                  <w:tcBorders>
                    <w:bottom w:val="single" w:color="auto" w:sz="12" w:space="0"/>
                  </w:tcBorders>
                  <w:noWrap w:val="0"/>
                  <w:vAlign w:val="center"/>
                </w:tcPr>
                <w:p w14:paraId="71E0366F">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烟气温度(℃)</w:t>
                  </w:r>
                </w:p>
              </w:tc>
              <w:tc>
                <w:tcPr>
                  <w:tcW w:w="592" w:type="dxa"/>
                  <w:tcBorders>
                    <w:bottom w:val="single" w:color="auto" w:sz="12" w:space="0"/>
                  </w:tcBorders>
                  <w:noWrap w:val="0"/>
                  <w:vAlign w:val="center"/>
                </w:tcPr>
                <w:p w14:paraId="79A33141">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年排放小时数(h)</w:t>
                  </w:r>
                </w:p>
              </w:tc>
              <w:tc>
                <w:tcPr>
                  <w:tcW w:w="435" w:type="dxa"/>
                  <w:tcBorders>
                    <w:bottom w:val="single" w:color="auto" w:sz="12" w:space="0"/>
                  </w:tcBorders>
                  <w:noWrap w:val="0"/>
                  <w:vAlign w:val="center"/>
                </w:tcPr>
                <w:p w14:paraId="1D1FE47A">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排放工况</w:t>
                  </w:r>
                </w:p>
              </w:tc>
              <w:tc>
                <w:tcPr>
                  <w:tcW w:w="468" w:type="dxa"/>
                  <w:tcBorders>
                    <w:bottom w:val="single" w:color="auto" w:sz="12" w:space="0"/>
                  </w:tcBorders>
                  <w:noWrap w:val="0"/>
                  <w:vAlign w:val="center"/>
                </w:tcPr>
                <w:p w14:paraId="0466FE8B">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污染源名称</w:t>
                  </w:r>
                </w:p>
              </w:tc>
              <w:tc>
                <w:tcPr>
                  <w:tcW w:w="727" w:type="dxa"/>
                  <w:tcBorders>
                    <w:bottom w:val="single" w:color="auto" w:sz="12" w:space="0"/>
                  </w:tcBorders>
                  <w:noWrap w:val="0"/>
                  <w:vAlign w:val="center"/>
                </w:tcPr>
                <w:p w14:paraId="31D9E7F0">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污染物排放速率(kg/h)</w:t>
                  </w:r>
                </w:p>
              </w:tc>
            </w:tr>
            <w:tr w14:paraId="36554FA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495" w:type="dxa"/>
                  <w:tcBorders>
                    <w:top w:val="single" w:color="auto" w:sz="4" w:space="0"/>
                    <w:bottom w:val="single" w:color="auto" w:sz="4" w:space="0"/>
                    <w:right w:val="single" w:color="auto" w:sz="4" w:space="0"/>
                  </w:tcBorders>
                  <w:noWrap w:val="0"/>
                  <w:vAlign w:val="center"/>
                </w:tcPr>
                <w:p w14:paraId="56453B7A">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DA003</w:t>
                  </w:r>
                </w:p>
              </w:tc>
              <w:tc>
                <w:tcPr>
                  <w:tcW w:w="585" w:type="dxa"/>
                  <w:tcBorders>
                    <w:top w:val="single" w:color="auto" w:sz="4" w:space="0"/>
                    <w:left w:val="single" w:color="auto" w:sz="4" w:space="0"/>
                    <w:right w:val="single" w:color="auto" w:sz="4" w:space="0"/>
                  </w:tcBorders>
                  <w:noWrap w:val="0"/>
                  <w:vAlign w:val="center"/>
                </w:tcPr>
                <w:p w14:paraId="734A363D">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催化燃烧装置</w:t>
                  </w:r>
                  <w:r>
                    <w:rPr>
                      <w:rFonts w:hint="default" w:ascii="Times New Roman" w:hAnsi="Times New Roman" w:cs="Times New Roman"/>
                      <w:color w:val="auto"/>
                      <w:sz w:val="21"/>
                      <w:szCs w:val="21"/>
                      <w:highlight w:val="none"/>
                    </w:rPr>
                    <w:t>排气口</w:t>
                  </w:r>
                </w:p>
              </w:tc>
              <w:tc>
                <w:tcPr>
                  <w:tcW w:w="518" w:type="dxa"/>
                  <w:tcBorders>
                    <w:top w:val="single" w:color="auto" w:sz="4" w:space="0"/>
                    <w:left w:val="single" w:color="auto" w:sz="4" w:space="0"/>
                    <w:bottom w:val="single" w:color="auto" w:sz="4" w:space="0"/>
                    <w:right w:val="single" w:color="auto" w:sz="4" w:space="0"/>
                  </w:tcBorders>
                  <w:noWrap w:val="0"/>
                  <w:vAlign w:val="center"/>
                </w:tcPr>
                <w:p w14:paraId="33A082CE">
                  <w:pPr>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eastAsia" w:ascii="Times New Roman" w:hAnsi="Times New Roman" w:cs="Times New Roman"/>
                      <w:color w:val="auto"/>
                      <w:sz w:val="24"/>
                      <w:szCs w:val="24"/>
                      <w:highlight w:val="none"/>
                      <w:lang w:val="en-US" w:eastAsia="zh-CN"/>
                    </w:rPr>
                    <w:t>****</w:t>
                  </w:r>
                </w:p>
              </w:tc>
              <w:tc>
                <w:tcPr>
                  <w:tcW w:w="517" w:type="dxa"/>
                  <w:tcBorders>
                    <w:top w:val="single" w:color="auto" w:sz="4" w:space="0"/>
                    <w:left w:val="single" w:color="auto" w:sz="4" w:space="0"/>
                    <w:bottom w:val="single" w:color="auto" w:sz="4" w:space="0"/>
                    <w:right w:val="single" w:color="auto" w:sz="4" w:space="0"/>
                  </w:tcBorders>
                  <w:noWrap w:val="0"/>
                  <w:vAlign w:val="center"/>
                </w:tcPr>
                <w:p w14:paraId="727C399F">
                  <w:pPr>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eastAsia" w:ascii="Times New Roman" w:hAnsi="Times New Roman" w:cs="Times New Roman"/>
                      <w:color w:val="auto"/>
                      <w:sz w:val="24"/>
                      <w:szCs w:val="24"/>
                      <w:highlight w:val="none"/>
                      <w:lang w:val="en-US" w:eastAsia="zh-CN"/>
                    </w:rPr>
                    <w:t>****</w:t>
                  </w:r>
                </w:p>
              </w:tc>
              <w:tc>
                <w:tcPr>
                  <w:tcW w:w="616" w:type="dxa"/>
                  <w:tcBorders>
                    <w:top w:val="single" w:color="auto" w:sz="4" w:space="0"/>
                    <w:left w:val="single" w:color="auto" w:sz="4" w:space="0"/>
                    <w:bottom w:val="single" w:color="auto" w:sz="4" w:space="0"/>
                    <w:right w:val="single" w:color="auto" w:sz="4" w:space="0"/>
                  </w:tcBorders>
                  <w:noWrap w:val="0"/>
                  <w:vAlign w:val="center"/>
                </w:tcPr>
                <w:p w14:paraId="7BF89BF7">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625</w:t>
                  </w:r>
                </w:p>
              </w:tc>
              <w:tc>
                <w:tcPr>
                  <w:tcW w:w="622" w:type="dxa"/>
                  <w:tcBorders>
                    <w:top w:val="single" w:color="auto" w:sz="4" w:space="0"/>
                    <w:left w:val="single" w:color="auto" w:sz="4" w:space="0"/>
                    <w:bottom w:val="single" w:color="auto" w:sz="4" w:space="0"/>
                    <w:right w:val="single" w:color="auto" w:sz="4" w:space="0"/>
                  </w:tcBorders>
                  <w:noWrap w:val="0"/>
                  <w:vAlign w:val="center"/>
                </w:tcPr>
                <w:p w14:paraId="7721C0D1">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29" w:type="dxa"/>
                  <w:tcBorders>
                    <w:top w:val="single" w:color="auto" w:sz="4" w:space="0"/>
                    <w:left w:val="single" w:color="auto" w:sz="4" w:space="0"/>
                    <w:bottom w:val="single" w:color="auto" w:sz="4" w:space="0"/>
                    <w:right w:val="single" w:color="auto" w:sz="4" w:space="0"/>
                  </w:tcBorders>
                  <w:noWrap w:val="0"/>
                  <w:vAlign w:val="center"/>
                </w:tcPr>
                <w:p w14:paraId="04A4F0D3">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w:t>
                  </w:r>
                </w:p>
              </w:tc>
              <w:tc>
                <w:tcPr>
                  <w:tcW w:w="600" w:type="dxa"/>
                  <w:tcBorders>
                    <w:top w:val="single" w:color="auto" w:sz="4" w:space="0"/>
                    <w:left w:val="single" w:color="auto" w:sz="4" w:space="0"/>
                    <w:bottom w:val="single" w:color="auto" w:sz="4" w:space="0"/>
                    <w:right w:val="single" w:color="auto" w:sz="4" w:space="0"/>
                  </w:tcBorders>
                  <w:noWrap w:val="0"/>
                  <w:vAlign w:val="center"/>
                </w:tcPr>
                <w:p w14:paraId="49406CB4">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12.29</w:t>
                  </w:r>
                </w:p>
              </w:tc>
              <w:tc>
                <w:tcPr>
                  <w:tcW w:w="577" w:type="dxa"/>
                  <w:tcBorders>
                    <w:top w:val="single" w:color="auto" w:sz="4" w:space="0"/>
                    <w:left w:val="single" w:color="auto" w:sz="4" w:space="0"/>
                    <w:bottom w:val="single" w:color="auto" w:sz="4" w:space="0"/>
                    <w:right w:val="single" w:color="auto" w:sz="4" w:space="0"/>
                  </w:tcBorders>
                  <w:noWrap w:val="0"/>
                  <w:vAlign w:val="center"/>
                </w:tcPr>
                <w:p w14:paraId="1E7131B7">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26</w:t>
                  </w:r>
                </w:p>
              </w:tc>
              <w:tc>
                <w:tcPr>
                  <w:tcW w:w="592" w:type="dxa"/>
                  <w:tcBorders>
                    <w:top w:val="single" w:color="auto" w:sz="4" w:space="0"/>
                    <w:left w:val="single" w:color="auto" w:sz="4" w:space="0"/>
                    <w:bottom w:val="single" w:color="auto" w:sz="4" w:space="0"/>
                    <w:right w:val="single" w:color="auto" w:sz="4" w:space="0"/>
                  </w:tcBorders>
                  <w:noWrap w:val="0"/>
                  <w:vAlign w:val="center"/>
                </w:tcPr>
                <w:p w14:paraId="1868A9FB">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2400</w:t>
                  </w:r>
                </w:p>
              </w:tc>
              <w:tc>
                <w:tcPr>
                  <w:tcW w:w="435" w:type="dxa"/>
                  <w:tcBorders>
                    <w:top w:val="single" w:color="auto" w:sz="4" w:space="0"/>
                    <w:left w:val="single" w:color="auto" w:sz="4" w:space="0"/>
                    <w:bottom w:val="single" w:color="auto" w:sz="4" w:space="0"/>
                    <w:right w:val="single" w:color="auto" w:sz="4" w:space="0"/>
                  </w:tcBorders>
                  <w:noWrap w:val="0"/>
                  <w:vAlign w:val="center"/>
                </w:tcPr>
                <w:p w14:paraId="021C419E">
                  <w:pPr>
                    <w:pStyle w:val="37"/>
                    <w:keepNext w:val="0"/>
                    <w:keepLines w:val="0"/>
                    <w:pageBreakBefore w:val="0"/>
                    <w:kinsoku/>
                    <w:wordWrap/>
                    <w:overflowPunct/>
                    <w:topLinePunct w:val="0"/>
                    <w:bidi w:val="0"/>
                    <w:spacing w:beforeLines="0" w:afterLines="0" w:line="240" w:lineRule="auto"/>
                    <w:ind w:lef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正常</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1A8D91C4">
                  <w:pPr>
                    <w:keepNext w:val="0"/>
                    <w:keepLines w:val="0"/>
                    <w:pageBreakBefore w:val="0"/>
                    <w:kinsoku/>
                    <w:wordWrap/>
                    <w:overflowPunct/>
                    <w:topLinePunct w:val="0"/>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非甲烷总烃</w:t>
                  </w:r>
                </w:p>
              </w:tc>
              <w:tc>
                <w:tcPr>
                  <w:tcW w:w="727" w:type="dxa"/>
                  <w:tcBorders>
                    <w:top w:val="single" w:color="auto" w:sz="4" w:space="0"/>
                    <w:left w:val="single" w:color="auto" w:sz="4" w:space="0"/>
                    <w:bottom w:val="single" w:color="auto" w:sz="4" w:space="0"/>
                  </w:tcBorders>
                  <w:noWrap w:val="0"/>
                  <w:vAlign w:val="center"/>
                </w:tcPr>
                <w:p w14:paraId="345BDEFF">
                  <w:pPr>
                    <w:pStyle w:val="64"/>
                    <w:keepNext w:val="0"/>
                    <w:keepLines w:val="0"/>
                    <w:pageBreakBefore w:val="0"/>
                    <w:kinsoku/>
                    <w:wordWrap/>
                    <w:overflowPunct/>
                    <w:topLinePunct w:val="0"/>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0.919</w:t>
                  </w:r>
                </w:p>
              </w:tc>
            </w:tr>
          </w:tbl>
          <w:p w14:paraId="10D83FD4">
            <w:pPr>
              <w:pStyle w:val="31"/>
              <w:keepNext w:val="0"/>
              <w:keepLines w:val="0"/>
              <w:pageBreakBefore w:val="0"/>
              <w:widowControl w:val="0"/>
              <w:tabs>
                <w:tab w:val="left" w:pos="2760"/>
              </w:tabs>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b/>
                <w:bCs/>
                <w:color w:val="auto"/>
                <w:sz w:val="24"/>
                <w:highlight w:val="none"/>
              </w:rPr>
            </w:pPr>
            <w:r>
              <w:rPr>
                <w:rFonts w:hint="default" w:ascii="Times New Roman" w:hAnsi="Times New Roman" w:eastAsia="宋体"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highlight w:val="none"/>
              </w:rPr>
              <w:t>非正常工况污染物排放情况</w:t>
            </w:r>
          </w:p>
          <w:p w14:paraId="1C4D406D">
            <w:pPr>
              <w:pStyle w:val="31"/>
              <w:keepNext w:val="0"/>
              <w:keepLines w:val="0"/>
              <w:pageBreakBefore w:val="0"/>
              <w:widowControl w:val="0"/>
              <w:tabs>
                <w:tab w:val="left" w:pos="2760"/>
              </w:tabs>
              <w:kinsoku/>
              <w:wordWrap/>
              <w:overflowPunct/>
              <w:topLinePunct w:val="0"/>
              <w:autoSpaceDE w:val="0"/>
              <w:autoSpaceDN w:val="0"/>
              <w:bidi w:val="0"/>
              <w:adjustRightInd w:val="0"/>
              <w:snapToGrid/>
              <w:spacing w:line="360" w:lineRule="auto"/>
              <w:ind w:firstLine="480" w:firstLineChars="200"/>
              <w:jc w:val="left"/>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根据《环境影响评价技术导则大气环境》（HJ2.2-2018），非正常排放包括设备检修、污染物排放控制措施达不到应有效率、工艺设备运转异常等本项目非正常工况主要为</w:t>
            </w:r>
            <w:r>
              <w:rPr>
                <w:rFonts w:hint="default" w:ascii="Times New Roman" w:hAnsi="Times New Roman" w:cs="Times New Roman"/>
                <w:b w:val="0"/>
                <w:bCs/>
                <w:color w:val="auto"/>
                <w:sz w:val="24"/>
                <w:highlight w:val="none"/>
                <w:lang w:val="en-US" w:eastAsia="zh-CN"/>
              </w:rPr>
              <w:t>活性炭吸附脱附+催化燃烧装置中活性炭</w:t>
            </w:r>
            <w:r>
              <w:rPr>
                <w:rFonts w:hint="default" w:ascii="Times New Roman" w:hAnsi="Times New Roman" w:cs="Times New Roman"/>
                <w:b w:val="0"/>
                <w:bCs/>
                <w:color w:val="auto"/>
                <w:sz w:val="24"/>
                <w:highlight w:val="none"/>
              </w:rPr>
              <w:t>失效。在此情景下，本项目废气污染物产生情况及排放情况，具体见下表。</w:t>
            </w:r>
          </w:p>
          <w:p w14:paraId="5F739467">
            <w:pPr>
              <w:jc w:val="center"/>
              <w:rPr>
                <w:rFonts w:hint="default" w:ascii="Times New Roman" w:hAnsi="Times New Roman" w:cs="Times New Roman"/>
                <w:b/>
                <w:bCs/>
                <w:color w:val="auto"/>
                <w:sz w:val="24"/>
                <w:highlight w:val="none"/>
              </w:rPr>
            </w:pPr>
            <w:r>
              <w:rPr>
                <w:rFonts w:hint="default" w:ascii="Times New Roman" w:hAnsi="Times New Roman" w:eastAsia="黑体" w:cs="Times New Roman"/>
                <w:b w:val="0"/>
                <w:bCs w:val="0"/>
                <w:color w:val="auto"/>
                <w:sz w:val="21"/>
                <w:szCs w:val="21"/>
                <w:highlight w:val="none"/>
              </w:rPr>
              <w:t>表</w:t>
            </w:r>
            <w:r>
              <w:rPr>
                <w:rFonts w:hint="default" w:ascii="Times New Roman" w:hAnsi="Times New Roman" w:eastAsia="黑体" w:cs="Times New Roman"/>
                <w:b w:val="0"/>
                <w:bCs w:val="0"/>
                <w:color w:val="auto"/>
                <w:sz w:val="21"/>
                <w:szCs w:val="21"/>
                <w:highlight w:val="none"/>
                <w:lang w:val="en-US" w:eastAsia="zh-CN"/>
              </w:rPr>
              <w:t>4-3</w:t>
            </w:r>
            <w:r>
              <w:rPr>
                <w:rFonts w:hint="default" w:ascii="Times New Roman" w:hAnsi="Times New Roman" w:eastAsia="黑体" w:cs="Times New Roman"/>
                <w:b w:val="0"/>
                <w:bCs w:val="0"/>
                <w:color w:val="auto"/>
                <w:sz w:val="21"/>
                <w:szCs w:val="21"/>
                <w:highlight w:val="none"/>
              </w:rPr>
              <w:t>本项目有组织废气产生、排放情况表</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1"/>
              <w:gridCol w:w="738"/>
              <w:gridCol w:w="575"/>
              <w:gridCol w:w="837"/>
              <w:gridCol w:w="1313"/>
              <w:gridCol w:w="1162"/>
              <w:gridCol w:w="688"/>
              <w:gridCol w:w="762"/>
              <w:gridCol w:w="739"/>
            </w:tblGrid>
            <w:tr w14:paraId="0554AA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Merge w:val="restart"/>
                  <w:noWrap w:val="0"/>
                  <w:vAlign w:val="center"/>
                </w:tcPr>
                <w:p w14:paraId="48D26EB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污染源</w:t>
                  </w:r>
                </w:p>
              </w:tc>
              <w:tc>
                <w:tcPr>
                  <w:tcW w:w="494" w:type="pct"/>
                  <w:vMerge w:val="restart"/>
                  <w:noWrap w:val="0"/>
                  <w:vAlign w:val="center"/>
                </w:tcPr>
                <w:p w14:paraId="4D4E1D5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385" w:type="pct"/>
                  <w:vMerge w:val="restart"/>
                  <w:noWrap w:val="0"/>
                  <w:vAlign w:val="center"/>
                </w:tcPr>
                <w:p w14:paraId="62A6CE6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排放方式</w:t>
                  </w:r>
                </w:p>
              </w:tc>
              <w:tc>
                <w:tcPr>
                  <w:tcW w:w="1441" w:type="pct"/>
                  <w:gridSpan w:val="2"/>
                  <w:noWrap w:val="0"/>
                  <w:vAlign w:val="center"/>
                </w:tcPr>
                <w:p w14:paraId="4F91D96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污染物产生</w:t>
                  </w:r>
                </w:p>
              </w:tc>
              <w:tc>
                <w:tcPr>
                  <w:tcW w:w="779" w:type="pct"/>
                  <w:noWrap w:val="0"/>
                  <w:vAlign w:val="center"/>
                </w:tcPr>
                <w:p w14:paraId="78833834">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排放标准</w:t>
                  </w:r>
                </w:p>
              </w:tc>
              <w:tc>
                <w:tcPr>
                  <w:tcW w:w="461" w:type="pct"/>
                  <w:vMerge w:val="restart"/>
                  <w:noWrap w:val="0"/>
                  <w:vAlign w:val="center"/>
                </w:tcPr>
                <w:p w14:paraId="27121AD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w:t>
                  </w:r>
                </w:p>
                <w:p w14:paraId="6B8A5B68">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情况</w:t>
                  </w:r>
                </w:p>
              </w:tc>
              <w:tc>
                <w:tcPr>
                  <w:tcW w:w="511" w:type="pct"/>
                  <w:vMerge w:val="restart"/>
                  <w:noWrap w:val="0"/>
                  <w:vAlign w:val="center"/>
                </w:tcPr>
                <w:p w14:paraId="1415AEC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持续</w:t>
                  </w:r>
                </w:p>
                <w:p w14:paraId="0C2BBD09">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时间</w:t>
                  </w:r>
                </w:p>
              </w:tc>
              <w:tc>
                <w:tcPr>
                  <w:tcW w:w="495" w:type="pct"/>
                  <w:vMerge w:val="restart"/>
                  <w:noWrap w:val="0"/>
                  <w:vAlign w:val="center"/>
                </w:tcPr>
                <w:p w14:paraId="5009B12E">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发生频</w:t>
                  </w:r>
                </w:p>
                <w:p w14:paraId="15D7BFE5">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次</w:t>
                  </w:r>
                </w:p>
              </w:tc>
            </w:tr>
            <w:tr w14:paraId="6EE1FF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429" w:type="pct"/>
                  <w:vMerge w:val="continue"/>
                  <w:noWrap w:val="0"/>
                  <w:vAlign w:val="center"/>
                </w:tcPr>
                <w:p w14:paraId="6D576139">
                  <w:pPr>
                    <w:jc w:val="center"/>
                    <w:rPr>
                      <w:rFonts w:hint="default" w:ascii="Times New Roman" w:hAnsi="Times New Roman" w:cs="Times New Roman"/>
                      <w:color w:val="auto"/>
                      <w:szCs w:val="21"/>
                      <w:highlight w:val="none"/>
                    </w:rPr>
                  </w:pPr>
                </w:p>
              </w:tc>
              <w:tc>
                <w:tcPr>
                  <w:tcW w:w="494" w:type="pct"/>
                  <w:vMerge w:val="continue"/>
                  <w:noWrap w:val="0"/>
                  <w:vAlign w:val="center"/>
                </w:tcPr>
                <w:p w14:paraId="7E804E24">
                  <w:pPr>
                    <w:jc w:val="center"/>
                    <w:rPr>
                      <w:rFonts w:hint="default" w:ascii="Times New Roman" w:hAnsi="Times New Roman" w:cs="Times New Roman"/>
                      <w:color w:val="auto"/>
                      <w:sz w:val="21"/>
                      <w:szCs w:val="21"/>
                      <w:highlight w:val="none"/>
                    </w:rPr>
                  </w:pPr>
                </w:p>
              </w:tc>
              <w:tc>
                <w:tcPr>
                  <w:tcW w:w="385" w:type="pct"/>
                  <w:vMerge w:val="continue"/>
                  <w:noWrap w:val="0"/>
                  <w:vAlign w:val="center"/>
                </w:tcPr>
                <w:p w14:paraId="51300615">
                  <w:pPr>
                    <w:jc w:val="center"/>
                    <w:rPr>
                      <w:rFonts w:hint="default" w:ascii="Times New Roman" w:hAnsi="Times New Roman" w:cs="Times New Roman"/>
                      <w:color w:val="auto"/>
                      <w:sz w:val="21"/>
                      <w:szCs w:val="21"/>
                      <w:highlight w:val="none"/>
                    </w:rPr>
                  </w:pPr>
                </w:p>
              </w:tc>
              <w:tc>
                <w:tcPr>
                  <w:tcW w:w="561" w:type="pct"/>
                  <w:noWrap w:val="0"/>
                  <w:vAlign w:val="center"/>
                </w:tcPr>
                <w:p w14:paraId="019D290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产生速率kg/h</w:t>
                  </w:r>
                </w:p>
              </w:tc>
              <w:tc>
                <w:tcPr>
                  <w:tcW w:w="880" w:type="pct"/>
                  <w:noWrap w:val="0"/>
                  <w:vAlign w:val="center"/>
                </w:tcPr>
                <w:p w14:paraId="3163540C">
                  <w:pPr>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eastAsia="zh-CN"/>
                    </w:rPr>
                    <w:t>非正常工况的排放浓度</w:t>
                  </w:r>
                </w:p>
              </w:tc>
              <w:tc>
                <w:tcPr>
                  <w:tcW w:w="779" w:type="pct"/>
                  <w:noWrap w:val="0"/>
                  <w:vAlign w:val="center"/>
                </w:tcPr>
                <w:p w14:paraId="035C17E2">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排放浓度</w:t>
                  </w:r>
                </w:p>
              </w:tc>
              <w:tc>
                <w:tcPr>
                  <w:tcW w:w="461" w:type="pct"/>
                  <w:vMerge w:val="continue"/>
                  <w:noWrap w:val="0"/>
                  <w:vAlign w:val="center"/>
                </w:tcPr>
                <w:p w14:paraId="5BA20B65">
                  <w:pPr>
                    <w:jc w:val="center"/>
                    <w:rPr>
                      <w:rFonts w:hint="default" w:ascii="Times New Roman" w:hAnsi="Times New Roman" w:cs="Times New Roman"/>
                      <w:color w:val="auto"/>
                      <w:szCs w:val="21"/>
                      <w:highlight w:val="none"/>
                    </w:rPr>
                  </w:pPr>
                </w:p>
              </w:tc>
              <w:tc>
                <w:tcPr>
                  <w:tcW w:w="511" w:type="pct"/>
                  <w:vMerge w:val="continue"/>
                  <w:noWrap w:val="0"/>
                  <w:vAlign w:val="center"/>
                </w:tcPr>
                <w:p w14:paraId="6D25B586">
                  <w:pPr>
                    <w:jc w:val="center"/>
                    <w:rPr>
                      <w:rFonts w:hint="default" w:ascii="Times New Roman" w:hAnsi="Times New Roman" w:cs="Times New Roman"/>
                      <w:color w:val="auto"/>
                      <w:szCs w:val="21"/>
                      <w:highlight w:val="none"/>
                    </w:rPr>
                  </w:pPr>
                </w:p>
              </w:tc>
              <w:tc>
                <w:tcPr>
                  <w:tcW w:w="495" w:type="pct"/>
                  <w:vMerge w:val="continue"/>
                  <w:noWrap w:val="0"/>
                  <w:vAlign w:val="center"/>
                </w:tcPr>
                <w:p w14:paraId="34914E8D">
                  <w:pPr>
                    <w:jc w:val="center"/>
                    <w:rPr>
                      <w:rFonts w:hint="default" w:ascii="Times New Roman" w:hAnsi="Times New Roman" w:cs="Times New Roman"/>
                      <w:color w:val="auto"/>
                      <w:szCs w:val="21"/>
                      <w:highlight w:val="none"/>
                    </w:rPr>
                  </w:pPr>
                </w:p>
              </w:tc>
            </w:tr>
            <w:tr w14:paraId="671D2D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29" w:type="pct"/>
                  <w:noWrap w:val="0"/>
                  <w:vAlign w:val="center"/>
                </w:tcPr>
                <w:p w14:paraId="5C60298A">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挤</w:t>
                  </w:r>
                  <w:r>
                    <w:rPr>
                      <w:rFonts w:hint="default" w:ascii="Times New Roman" w:hAnsi="Times New Roman" w:eastAsia="宋体" w:cs="Times New Roman"/>
                      <w:color w:val="auto"/>
                      <w:sz w:val="21"/>
                      <w:szCs w:val="21"/>
                      <w:highlight w:val="none"/>
                      <w:lang w:val="en-US" w:eastAsia="zh-CN"/>
                    </w:rPr>
                    <w:t>塑热熔工序</w:t>
                  </w:r>
                </w:p>
              </w:tc>
              <w:tc>
                <w:tcPr>
                  <w:tcW w:w="494" w:type="pct"/>
                  <w:noWrap w:val="0"/>
                  <w:vAlign w:val="center"/>
                </w:tcPr>
                <w:p w14:paraId="2A2EBE35">
                  <w:pPr>
                    <w:keepNext w:val="0"/>
                    <w:keepLines w:val="0"/>
                    <w:pageBreakBefore w:val="0"/>
                    <w:widowControl w:val="0"/>
                    <w:kinsoku/>
                    <w:wordWrap/>
                    <w:overflowPunct w:val="0"/>
                    <w:topLinePunct w:val="0"/>
                    <w:autoSpaceDE/>
                    <w:autoSpaceDN/>
                    <w:bidi w:val="0"/>
                    <w:adjustRightInd/>
                    <w:snapToGrid/>
                    <w:spacing w:line="240" w:lineRule="auto"/>
                    <w:contextualSpacing/>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非甲烷总烃</w:t>
                  </w:r>
                </w:p>
              </w:tc>
              <w:tc>
                <w:tcPr>
                  <w:tcW w:w="385" w:type="pct"/>
                  <w:noWrap w:val="0"/>
                  <w:vAlign w:val="center"/>
                </w:tcPr>
                <w:p w14:paraId="12C90FF9">
                  <w:pPr>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有</w:t>
                  </w:r>
                  <w:r>
                    <w:rPr>
                      <w:rFonts w:hint="default" w:ascii="Times New Roman" w:hAnsi="Times New Roman" w:eastAsia="宋体" w:cs="Times New Roman"/>
                      <w:color w:val="auto"/>
                      <w:sz w:val="21"/>
                      <w:szCs w:val="21"/>
                      <w:highlight w:val="none"/>
                    </w:rPr>
                    <w:t>组织</w:t>
                  </w:r>
                </w:p>
              </w:tc>
              <w:tc>
                <w:tcPr>
                  <w:tcW w:w="561" w:type="pct"/>
                  <w:noWrap w:val="0"/>
                  <w:vAlign w:val="center"/>
                </w:tcPr>
                <w:p w14:paraId="79C309A5">
                  <w:pPr>
                    <w:keepNext w:val="0"/>
                    <w:keepLines w:val="0"/>
                    <w:pageBreakBefore w:val="0"/>
                    <w:widowControl w:val="0"/>
                    <w:kinsoku/>
                    <w:wordWrap/>
                    <w:overflowPunct w:val="0"/>
                    <w:topLinePunct w:val="0"/>
                    <w:autoSpaceDE/>
                    <w:autoSpaceDN/>
                    <w:bidi w:val="0"/>
                    <w:adjustRightInd/>
                    <w:snapToGrid/>
                    <w:spacing w:line="240" w:lineRule="auto"/>
                    <w:contextualSpacing/>
                    <w:jc w:val="center"/>
                    <w:textAlignment w:val="auto"/>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6.25</w:t>
                  </w:r>
                </w:p>
              </w:tc>
              <w:tc>
                <w:tcPr>
                  <w:tcW w:w="880" w:type="pct"/>
                  <w:noWrap w:val="0"/>
                  <w:vAlign w:val="center"/>
                </w:tcPr>
                <w:p w14:paraId="4D5E2C6B">
                  <w:pPr>
                    <w:keepNext w:val="0"/>
                    <w:keepLines w:val="0"/>
                    <w:pageBreakBefore w:val="0"/>
                    <w:widowControl w:val="0"/>
                    <w:kinsoku/>
                    <w:wordWrap/>
                    <w:overflowPunct w:val="0"/>
                    <w:topLinePunct w:val="0"/>
                    <w:autoSpaceDE/>
                    <w:autoSpaceDN/>
                    <w:bidi w:val="0"/>
                    <w:adjustRightInd/>
                    <w:snapToGrid/>
                    <w:spacing w:line="240" w:lineRule="auto"/>
                    <w:contextualSpacing/>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3050.5</w:t>
                  </w:r>
                </w:p>
              </w:tc>
              <w:tc>
                <w:tcPr>
                  <w:tcW w:w="779" w:type="pct"/>
                  <w:noWrap w:val="0"/>
                  <w:vAlign w:val="center"/>
                </w:tcPr>
                <w:p w14:paraId="5254CADD">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60</w:t>
                  </w:r>
                </w:p>
              </w:tc>
              <w:tc>
                <w:tcPr>
                  <w:tcW w:w="461" w:type="pct"/>
                  <w:noWrap w:val="0"/>
                  <w:vAlign w:val="center"/>
                </w:tcPr>
                <w:p w14:paraId="62E28365">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超标</w:t>
                  </w:r>
                </w:p>
              </w:tc>
              <w:tc>
                <w:tcPr>
                  <w:tcW w:w="511" w:type="pct"/>
                  <w:noWrap w:val="0"/>
                  <w:vAlign w:val="center"/>
                </w:tcPr>
                <w:p w14:paraId="3FADF3BE">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&lt;1h</w:t>
                  </w:r>
                </w:p>
              </w:tc>
              <w:tc>
                <w:tcPr>
                  <w:tcW w:w="495" w:type="pct"/>
                  <w:noWrap w:val="0"/>
                  <w:vAlign w:val="center"/>
                </w:tcPr>
                <w:p w14:paraId="106046AA">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1次/a</w:t>
                  </w:r>
                </w:p>
              </w:tc>
            </w:tr>
          </w:tbl>
          <w:p w14:paraId="48C7E6CE">
            <w:pPr>
              <w:adjustRightInd w:val="0"/>
              <w:snapToGrid w:val="0"/>
              <w:spacing w:line="360" w:lineRule="auto"/>
              <w:rPr>
                <w:rFonts w:hint="default" w:ascii="Times New Roman" w:hAnsi="Times New Roman" w:cs="Times New Roman"/>
                <w:b/>
                <w:bCs w:val="0"/>
                <w:color w:val="auto"/>
                <w:sz w:val="24"/>
                <w:szCs w:val="24"/>
                <w:highlight w:val="none"/>
              </w:rPr>
            </w:pPr>
            <w:r>
              <w:rPr>
                <w:rFonts w:hint="default" w:ascii="Times New Roman" w:hAnsi="Times New Roman" w:cs="Times New Roman"/>
                <w:b/>
                <w:bCs w:val="0"/>
                <w:color w:val="auto"/>
                <w:sz w:val="24"/>
                <w:szCs w:val="24"/>
                <w:highlight w:val="none"/>
                <w:lang w:val="en-US" w:eastAsia="zh-CN"/>
              </w:rPr>
              <w:t>1.6</w:t>
            </w:r>
            <w:r>
              <w:rPr>
                <w:rFonts w:hint="default" w:ascii="Times New Roman" w:hAnsi="Times New Roman" w:cs="Times New Roman"/>
                <w:b/>
                <w:bCs w:val="0"/>
                <w:color w:val="auto"/>
                <w:sz w:val="24"/>
                <w:szCs w:val="24"/>
                <w:highlight w:val="none"/>
              </w:rPr>
              <w:t>监测计划</w:t>
            </w:r>
          </w:p>
          <w:p w14:paraId="0DD8964C">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根据《建设项目环境影响评价技术导则总纲》（HJ2.1-2016）及《排污单位自行监测技术指南总则》（HJ819-2017）、《排污许可证申请与核发技术规范橡胶和塑料制品工业》（HJ1122-2020）等要求，本次评价针对项目运营期提出监测计划要求，具体监测计划见下</w:t>
            </w:r>
            <w:r>
              <w:rPr>
                <w:rFonts w:hint="default" w:ascii="Times New Roman" w:hAnsi="Times New Roman" w:eastAsia="宋体" w:cs="Times New Roman"/>
                <w:color w:val="auto"/>
                <w:sz w:val="24"/>
                <w:szCs w:val="24"/>
                <w:highlight w:val="none"/>
                <w:lang w:eastAsia="zh-CN"/>
              </w:rPr>
              <w:t>。</w:t>
            </w:r>
          </w:p>
          <w:p w14:paraId="2A920F09">
            <w:pPr>
              <w:adjustRightInd w:val="0"/>
              <w:snapToGrid w:val="0"/>
              <w:jc w:val="center"/>
              <w:rPr>
                <w:rFonts w:hint="default"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表</w:t>
            </w:r>
            <w:r>
              <w:rPr>
                <w:rFonts w:hint="default" w:ascii="Times New Roman" w:hAnsi="Times New Roman" w:eastAsia="黑体" w:cs="Times New Roman"/>
                <w:bCs/>
                <w:color w:val="auto"/>
                <w:sz w:val="21"/>
                <w:szCs w:val="21"/>
                <w:highlight w:val="none"/>
                <w:lang w:val="en-US" w:eastAsia="zh-CN"/>
              </w:rPr>
              <w:t>4-4</w:t>
            </w:r>
            <w:r>
              <w:rPr>
                <w:rFonts w:hint="default" w:ascii="Times New Roman" w:hAnsi="Times New Roman" w:eastAsia="黑体" w:cs="Times New Roman"/>
                <w:bCs/>
                <w:color w:val="auto"/>
                <w:sz w:val="21"/>
                <w:szCs w:val="21"/>
                <w:highlight w:val="none"/>
              </w:rPr>
              <w:t>项目运营期废气污染物监测计划一览表</w:t>
            </w:r>
          </w:p>
          <w:tbl>
            <w:tblPr>
              <w:tblStyle w:val="24"/>
              <w:tblW w:w="4951"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9"/>
              <w:gridCol w:w="822"/>
              <w:gridCol w:w="1479"/>
              <w:gridCol w:w="934"/>
              <w:gridCol w:w="1188"/>
              <w:gridCol w:w="1372"/>
              <w:gridCol w:w="682"/>
            </w:tblGrid>
            <w:tr w14:paraId="44C14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1" w:type="pct"/>
                  <w:gridSpan w:val="2"/>
                  <w:tcBorders>
                    <w:bottom w:val="single" w:color="auto" w:sz="12" w:space="0"/>
                  </w:tcBorders>
                  <w:noWrap w:val="0"/>
                  <w:vAlign w:val="center"/>
                </w:tcPr>
                <w:p w14:paraId="42583E9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1001" w:type="pct"/>
                  <w:tcBorders>
                    <w:bottom w:val="single" w:color="auto" w:sz="12" w:space="0"/>
                  </w:tcBorders>
                  <w:noWrap w:val="0"/>
                  <w:vAlign w:val="center"/>
                </w:tcPr>
                <w:p w14:paraId="63DB860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监测位置</w:t>
                  </w:r>
                </w:p>
              </w:tc>
              <w:tc>
                <w:tcPr>
                  <w:tcW w:w="632" w:type="pct"/>
                  <w:tcBorders>
                    <w:bottom w:val="single" w:color="auto" w:sz="12" w:space="0"/>
                  </w:tcBorders>
                  <w:noWrap w:val="0"/>
                  <w:vAlign w:val="center"/>
                </w:tcPr>
                <w:p w14:paraId="05C36F7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编号</w:t>
                  </w:r>
                </w:p>
              </w:tc>
              <w:tc>
                <w:tcPr>
                  <w:tcW w:w="804" w:type="pct"/>
                  <w:tcBorders>
                    <w:bottom w:val="single" w:color="auto" w:sz="12" w:space="0"/>
                  </w:tcBorders>
                  <w:noWrap w:val="0"/>
                  <w:vAlign w:val="center"/>
                </w:tcPr>
                <w:p w14:paraId="434A51F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监测项目</w:t>
                  </w:r>
                </w:p>
              </w:tc>
              <w:tc>
                <w:tcPr>
                  <w:tcW w:w="928" w:type="pct"/>
                  <w:tcBorders>
                    <w:bottom w:val="single" w:color="auto" w:sz="12" w:space="0"/>
                  </w:tcBorders>
                  <w:noWrap w:val="0"/>
                  <w:vAlign w:val="center"/>
                </w:tcPr>
                <w:p w14:paraId="4EA8566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监测频率</w:t>
                  </w:r>
                </w:p>
              </w:tc>
              <w:tc>
                <w:tcPr>
                  <w:tcW w:w="461" w:type="pct"/>
                  <w:tcBorders>
                    <w:bottom w:val="single" w:color="auto" w:sz="12" w:space="0"/>
                  </w:tcBorders>
                  <w:noWrap w:val="0"/>
                  <w:vAlign w:val="center"/>
                </w:tcPr>
                <w:p w14:paraId="1745006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实施单位</w:t>
                  </w:r>
                </w:p>
              </w:tc>
            </w:tr>
            <w:tr w14:paraId="73FF3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5" w:type="pct"/>
                  <w:vMerge w:val="restart"/>
                  <w:tcBorders>
                    <w:top w:val="single" w:color="auto" w:sz="12" w:space="0"/>
                    <w:tl2br w:val="nil"/>
                    <w:tr2bl w:val="nil"/>
                  </w:tcBorders>
                  <w:noWrap w:val="0"/>
                  <w:vAlign w:val="center"/>
                </w:tcPr>
                <w:p w14:paraId="15968DA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污染源监测</w:t>
                  </w:r>
                </w:p>
              </w:tc>
              <w:tc>
                <w:tcPr>
                  <w:tcW w:w="556" w:type="pct"/>
                  <w:tcBorders>
                    <w:top w:val="single" w:color="auto" w:sz="12" w:space="0"/>
                    <w:tl2br w:val="nil"/>
                    <w:tr2bl w:val="nil"/>
                  </w:tcBorders>
                  <w:noWrap w:val="0"/>
                  <w:vAlign w:val="center"/>
                </w:tcPr>
                <w:p w14:paraId="4E1622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1001" w:type="pct"/>
                  <w:tcBorders>
                    <w:top w:val="single" w:color="auto" w:sz="12" w:space="0"/>
                    <w:tl2br w:val="nil"/>
                    <w:tr2bl w:val="nil"/>
                  </w:tcBorders>
                  <w:noWrap w:val="0"/>
                  <w:vAlign w:val="center"/>
                </w:tcPr>
                <w:p w14:paraId="1F005B1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VOCs（以非甲烷总烃计）</w:t>
                  </w:r>
                  <w:r>
                    <w:rPr>
                      <w:rFonts w:hint="default" w:ascii="Times New Roman" w:hAnsi="Times New Roman" w:eastAsia="宋体" w:cs="Times New Roman"/>
                      <w:color w:val="auto"/>
                      <w:sz w:val="21"/>
                      <w:szCs w:val="21"/>
                      <w:highlight w:val="none"/>
                      <w:lang w:val="en-US" w:eastAsia="zh-CN"/>
                    </w:rPr>
                    <w:t>处理措施排气筒</w:t>
                  </w:r>
                </w:p>
              </w:tc>
              <w:tc>
                <w:tcPr>
                  <w:tcW w:w="632" w:type="pct"/>
                  <w:tcBorders>
                    <w:top w:val="single" w:color="auto" w:sz="12" w:space="0"/>
                    <w:tl2br w:val="nil"/>
                    <w:tr2bl w:val="nil"/>
                  </w:tcBorders>
                  <w:noWrap w:val="0"/>
                  <w:vAlign w:val="center"/>
                </w:tcPr>
                <w:p w14:paraId="334AB8DB">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DA003</w:t>
                  </w:r>
                </w:p>
              </w:tc>
              <w:tc>
                <w:tcPr>
                  <w:tcW w:w="804" w:type="pct"/>
                  <w:tcBorders>
                    <w:top w:val="single" w:color="auto" w:sz="12" w:space="0"/>
                    <w:tl2br w:val="nil"/>
                    <w:tr2bl w:val="nil"/>
                  </w:tcBorders>
                  <w:noWrap w:val="0"/>
                  <w:vAlign w:val="center"/>
                </w:tcPr>
                <w:p w14:paraId="328B9C6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非甲烷总烃</w:t>
                  </w:r>
                </w:p>
              </w:tc>
              <w:tc>
                <w:tcPr>
                  <w:tcW w:w="928" w:type="pct"/>
                  <w:tcBorders>
                    <w:top w:val="single" w:color="auto" w:sz="12" w:space="0"/>
                    <w:tl2br w:val="nil"/>
                    <w:tr2bl w:val="nil"/>
                  </w:tcBorders>
                  <w:noWrap w:val="0"/>
                  <w:vAlign w:val="center"/>
                </w:tcPr>
                <w:p w14:paraId="0F12D65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次/</w:t>
                  </w:r>
                  <w:r>
                    <w:rPr>
                      <w:rFonts w:hint="default" w:ascii="Times New Roman" w:hAnsi="Times New Roman" w:eastAsia="宋体" w:cs="Times New Roman"/>
                      <w:color w:val="auto"/>
                      <w:sz w:val="21"/>
                      <w:szCs w:val="21"/>
                      <w:highlight w:val="none"/>
                      <w:lang w:val="en-US" w:eastAsia="zh-CN"/>
                    </w:rPr>
                    <w:t>半年</w:t>
                  </w:r>
                </w:p>
              </w:tc>
              <w:tc>
                <w:tcPr>
                  <w:tcW w:w="461" w:type="pct"/>
                  <w:vMerge w:val="restart"/>
                  <w:tcBorders>
                    <w:top w:val="single" w:color="auto" w:sz="12" w:space="0"/>
                    <w:tl2br w:val="nil"/>
                    <w:tr2bl w:val="nil"/>
                  </w:tcBorders>
                  <w:noWrap w:val="0"/>
                  <w:vAlign w:val="center"/>
                </w:tcPr>
                <w:p w14:paraId="17509CD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企业自行委托</w:t>
                  </w:r>
                </w:p>
              </w:tc>
            </w:tr>
            <w:tr w14:paraId="182563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15" w:type="pct"/>
                  <w:vMerge w:val="continue"/>
                  <w:tcBorders>
                    <w:tl2br w:val="nil"/>
                    <w:tr2bl w:val="nil"/>
                  </w:tcBorders>
                  <w:noWrap w:val="0"/>
                  <w:vAlign w:val="center"/>
                </w:tcPr>
                <w:p w14:paraId="28FEC30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p>
              </w:tc>
              <w:tc>
                <w:tcPr>
                  <w:tcW w:w="556" w:type="pct"/>
                  <w:tcBorders>
                    <w:tl2br w:val="nil"/>
                    <w:tr2bl w:val="nil"/>
                  </w:tcBorders>
                  <w:noWrap w:val="0"/>
                  <w:vAlign w:val="center"/>
                </w:tcPr>
                <w:p w14:paraId="329BB9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1001" w:type="pct"/>
                  <w:tcBorders>
                    <w:tl2br w:val="nil"/>
                    <w:tr2bl w:val="nil"/>
                  </w:tcBorders>
                  <w:noWrap w:val="0"/>
                  <w:vAlign w:val="center"/>
                </w:tcPr>
                <w:p w14:paraId="6A3E304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厂界、车间外</w:t>
                  </w:r>
                </w:p>
              </w:tc>
              <w:tc>
                <w:tcPr>
                  <w:tcW w:w="632" w:type="pct"/>
                  <w:tcBorders>
                    <w:tl2br w:val="nil"/>
                    <w:tr2bl w:val="nil"/>
                  </w:tcBorders>
                  <w:noWrap w:val="0"/>
                  <w:vAlign w:val="center"/>
                </w:tcPr>
                <w:p w14:paraId="37B667A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804" w:type="pct"/>
                  <w:tcBorders>
                    <w:tl2br w:val="nil"/>
                    <w:tr2bl w:val="nil"/>
                  </w:tcBorders>
                  <w:noWrap w:val="0"/>
                  <w:vAlign w:val="center"/>
                </w:tcPr>
                <w:p w14:paraId="2C47A75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非甲烷总烃、颗粒物</w:t>
                  </w:r>
                </w:p>
              </w:tc>
              <w:tc>
                <w:tcPr>
                  <w:tcW w:w="928" w:type="pct"/>
                  <w:tcBorders>
                    <w:tl2br w:val="nil"/>
                    <w:tr2bl w:val="nil"/>
                  </w:tcBorders>
                  <w:noWrap w:val="0"/>
                  <w:vAlign w:val="center"/>
                </w:tcPr>
                <w:p w14:paraId="796A339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次/</w:t>
                  </w:r>
                  <w:r>
                    <w:rPr>
                      <w:rFonts w:hint="default" w:ascii="Times New Roman" w:hAnsi="Times New Roman" w:eastAsia="宋体" w:cs="Times New Roman"/>
                      <w:color w:val="auto"/>
                      <w:sz w:val="21"/>
                      <w:szCs w:val="21"/>
                      <w:highlight w:val="none"/>
                      <w:lang w:val="en-US" w:eastAsia="zh-CN"/>
                    </w:rPr>
                    <w:t>年</w:t>
                  </w:r>
                </w:p>
              </w:tc>
              <w:tc>
                <w:tcPr>
                  <w:tcW w:w="461" w:type="pct"/>
                  <w:vMerge w:val="continue"/>
                  <w:tcBorders>
                    <w:tl2br w:val="nil"/>
                    <w:tr2bl w:val="nil"/>
                  </w:tcBorders>
                  <w:noWrap w:val="0"/>
                  <w:vAlign w:val="center"/>
                </w:tcPr>
                <w:p w14:paraId="6EC2866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p>
              </w:tc>
            </w:tr>
          </w:tbl>
          <w:p w14:paraId="214FC238">
            <w:pPr>
              <w:adjustRightInd w:val="0"/>
              <w:snapToGrid w:val="0"/>
              <w:spacing w:line="360" w:lineRule="auto"/>
              <w:ind w:firstLine="482" w:firstLineChars="200"/>
              <w:rPr>
                <w:rFonts w:hint="default" w:ascii="Times New Roman" w:hAnsi="Times New Roman" w:cs="Times New Roman"/>
                <w:b/>
                <w:bCs/>
                <w:color w:val="auto"/>
                <w:sz w:val="24"/>
                <w:szCs w:val="24"/>
                <w:highlight w:val="none"/>
                <w:lang w:val="en-US" w:eastAsia="zh-CN"/>
              </w:rPr>
            </w:pPr>
          </w:p>
          <w:p w14:paraId="2C22D38E">
            <w:pPr>
              <w:keepNext w:val="0"/>
              <w:keepLines w:val="0"/>
              <w:pageBreakBefore w:val="0"/>
              <w:widowControl w:val="0"/>
              <w:kinsoku/>
              <w:wordWrap/>
              <w:overflowPunct/>
              <w:topLinePunct w:val="0"/>
              <w:autoSpaceDE/>
              <w:autoSpaceDN/>
              <w:bidi w:val="0"/>
              <w:adjustRightInd/>
              <w:snapToGrid/>
              <w:spacing w:line="360" w:lineRule="auto"/>
              <w:ind w:left="0" w:right="0" w:firstLine="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2</w:t>
            </w:r>
            <w:r>
              <w:rPr>
                <w:rFonts w:hint="default" w:ascii="Times New Roman" w:hAnsi="Times New Roman" w:eastAsia="宋体" w:cs="Times New Roman"/>
                <w:b/>
                <w:bCs/>
                <w:color w:val="auto"/>
                <w:spacing w:val="-2"/>
                <w:sz w:val="24"/>
                <w:szCs w:val="24"/>
                <w:highlight w:val="none"/>
              </w:rPr>
              <w:t>水环境影响分析及防治措施</w:t>
            </w:r>
          </w:p>
          <w:p w14:paraId="76BA7EDB">
            <w:pPr>
              <w:keepNext w:val="0"/>
              <w:keepLines w:val="0"/>
              <w:pageBreakBefore w:val="0"/>
              <w:widowControl w:val="0"/>
              <w:kinsoku/>
              <w:wordWrap/>
              <w:overflowPunct/>
              <w:topLinePunct w:val="0"/>
              <w:autoSpaceDE/>
              <w:autoSpaceDN/>
              <w:bidi w:val="0"/>
              <w:adjustRightInd/>
              <w:snapToGrid/>
              <w:spacing w:line="360" w:lineRule="auto"/>
              <w:ind w:left="0" w:right="0" w:firstLine="0"/>
              <w:textAlignment w:val="auto"/>
              <w:outlineLvl w:val="1"/>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2.1</w:t>
            </w:r>
            <w:r>
              <w:rPr>
                <w:rFonts w:hint="default" w:ascii="Times New Roman" w:hAnsi="Times New Roman" w:eastAsia="宋体" w:cs="Times New Roman"/>
                <w:b/>
                <w:bCs/>
                <w:color w:val="auto"/>
                <w:spacing w:val="-2"/>
                <w:sz w:val="24"/>
                <w:szCs w:val="24"/>
                <w:highlight w:val="none"/>
              </w:rPr>
              <w:t>废水产生、处置及排放情况</w:t>
            </w:r>
          </w:p>
          <w:p w14:paraId="25B6B597">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1</w:t>
            </w:r>
            <w:r>
              <w:rPr>
                <w:rFonts w:hint="default" w:ascii="Times New Roman" w:hAnsi="Times New Roman" w:eastAsia="宋体" w:cs="Times New Roman"/>
                <w:color w:val="auto"/>
                <w:spacing w:val="-3"/>
                <w:sz w:val="24"/>
                <w:szCs w:val="24"/>
                <w:highlight w:val="none"/>
              </w:rPr>
              <w:t>）生产废水</w:t>
            </w:r>
          </w:p>
          <w:p w14:paraId="4777C128">
            <w:pPr>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default" w:ascii="Times New Roman" w:hAnsi="Times New Roman" w:eastAsia="宋体" w:cs="Times New Roman"/>
                <w:color w:val="auto"/>
                <w:spacing w:val="1"/>
                <w:sz w:val="24"/>
                <w:szCs w:val="24"/>
                <w:highlight w:val="none"/>
                <w:lang w:val="en-US" w:eastAsia="zh-CN"/>
              </w:rPr>
            </w:pPr>
            <w:r>
              <w:rPr>
                <w:rFonts w:hint="eastAsia" w:ascii="Times New Roman" w:hAnsi="Times New Roman" w:cs="Times New Roman"/>
                <w:color w:val="auto"/>
                <w:spacing w:val="1"/>
                <w:sz w:val="24"/>
                <w:szCs w:val="24"/>
                <w:highlight w:val="none"/>
                <w:lang w:val="en-US" w:eastAsia="zh-CN"/>
              </w:rPr>
              <w:t>根据工艺流程描述，本项目</w:t>
            </w:r>
            <w:r>
              <w:rPr>
                <w:rFonts w:hint="default" w:ascii="Times New Roman" w:hAnsi="Times New Roman" w:eastAsia="宋体" w:cs="Times New Roman"/>
                <w:color w:val="auto"/>
                <w:spacing w:val="1"/>
                <w:sz w:val="24"/>
                <w:szCs w:val="24"/>
                <w:highlight w:val="none"/>
              </w:rPr>
              <w:t>生产废水主要为设备</w:t>
            </w:r>
            <w:r>
              <w:rPr>
                <w:rFonts w:hint="eastAsia" w:ascii="Times New Roman" w:hAnsi="Times New Roman" w:cs="Times New Roman"/>
                <w:color w:val="auto"/>
                <w:spacing w:val="1"/>
                <w:sz w:val="24"/>
                <w:szCs w:val="24"/>
                <w:highlight w:val="none"/>
                <w:lang w:val="en-US" w:eastAsia="zh-CN"/>
              </w:rPr>
              <w:t>循环冷却水，循环冷却水循环使用不外排，定期对循环水进行补充，因此本项目的建设无生产废水排放。</w:t>
            </w:r>
          </w:p>
          <w:p w14:paraId="55311BE8">
            <w:pPr>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default" w:ascii="Times New Roman" w:hAnsi="Times New Roman" w:eastAsia="宋体" w:cs="Times New Roman"/>
                <w:color w:val="auto"/>
                <w:spacing w:val="1"/>
                <w:sz w:val="24"/>
                <w:szCs w:val="24"/>
                <w:highlight w:val="none"/>
              </w:rPr>
            </w:pPr>
            <w:r>
              <w:rPr>
                <w:rFonts w:hint="eastAsia" w:ascii="Times New Roman" w:hAnsi="Times New Roman" w:cs="Times New Roman"/>
                <w:color w:val="auto"/>
                <w:spacing w:val="1"/>
                <w:sz w:val="24"/>
                <w:szCs w:val="24"/>
                <w:highlight w:val="none"/>
                <w:lang w:val="en-US" w:eastAsia="zh-CN"/>
              </w:rPr>
              <w:t>现有项目</w:t>
            </w:r>
            <w:r>
              <w:rPr>
                <w:rFonts w:hint="default" w:ascii="Times New Roman" w:hAnsi="Times New Roman" w:eastAsia="宋体" w:cs="Times New Roman"/>
                <w:color w:val="auto"/>
                <w:spacing w:val="1"/>
                <w:sz w:val="24"/>
                <w:szCs w:val="24"/>
                <w:highlight w:val="none"/>
              </w:rPr>
              <w:t>车间地面冲洗废水，主要污染物为悬浮物，生产废水排入沉淀池后，悬浮物在重力的作用下，悬浮物会逐渐下沉到池底，而清水则会逐渐上升，当沉淀过程完成后，清水则循环使用，沉淀物会定期清理。综上所述，生产废水经三级沉淀池沉淀后循环使用不外排，无生产废水产生。</w:t>
            </w:r>
          </w:p>
          <w:p w14:paraId="58E37D88">
            <w:pPr>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宋体" w:cs="Times New Roman"/>
                <w:color w:val="auto"/>
                <w:spacing w:val="1"/>
                <w:sz w:val="24"/>
                <w:szCs w:val="24"/>
                <w:highlight w:val="none"/>
                <w:lang w:eastAsia="zh-CN"/>
              </w:rPr>
              <w:t>三</w:t>
            </w:r>
            <w:r>
              <w:rPr>
                <w:rFonts w:hint="default" w:ascii="Times New Roman" w:hAnsi="Times New Roman" w:eastAsia="宋体" w:cs="Times New Roman"/>
                <w:color w:val="auto"/>
                <w:spacing w:val="1"/>
                <w:sz w:val="24"/>
                <w:szCs w:val="24"/>
                <w:highlight w:val="none"/>
              </w:rPr>
              <w:t>级沉淀池（</w:t>
            </w:r>
            <w:r>
              <w:rPr>
                <w:rFonts w:hint="default" w:ascii="Times New Roman" w:hAnsi="Times New Roman" w:eastAsia="宋体" w:cs="Times New Roman"/>
                <w:color w:val="auto"/>
                <w:spacing w:val="1"/>
                <w:sz w:val="24"/>
                <w:szCs w:val="24"/>
                <w:highlight w:val="none"/>
                <w:lang w:val="en-US" w:eastAsia="zh-CN"/>
              </w:rPr>
              <w:t>2</w:t>
            </w:r>
            <w:r>
              <w:rPr>
                <w:rFonts w:hint="default" w:ascii="Times New Roman" w:hAnsi="Times New Roman" w:eastAsia="宋体" w:cs="Times New Roman"/>
                <w:color w:val="auto"/>
                <w:spacing w:val="1"/>
                <w:sz w:val="24"/>
                <w:szCs w:val="24"/>
                <w:highlight w:val="none"/>
              </w:rPr>
              <w:t>00m</w:t>
            </w:r>
            <w:r>
              <w:rPr>
                <w:rFonts w:hint="default" w:ascii="Times New Roman" w:hAnsi="Times New Roman" w:eastAsia="宋体" w:cs="Times New Roman"/>
                <w:color w:val="auto"/>
                <w:spacing w:val="1"/>
                <w:sz w:val="24"/>
                <w:szCs w:val="24"/>
                <w:highlight w:val="none"/>
                <w:vertAlign w:val="superscript"/>
              </w:rPr>
              <w:t>3</w:t>
            </w:r>
            <w:r>
              <w:rPr>
                <w:rFonts w:hint="default" w:ascii="Times New Roman" w:hAnsi="Times New Roman" w:eastAsia="宋体" w:cs="Times New Roman"/>
                <w:color w:val="auto"/>
                <w:spacing w:val="1"/>
                <w:sz w:val="24"/>
                <w:szCs w:val="24"/>
                <w:highlight w:val="none"/>
              </w:rPr>
              <w:t>）沉淀处理后循环利用，无废水排放；工艺冷却循环水利用一个循环水池（40m</w:t>
            </w:r>
            <w:r>
              <w:rPr>
                <w:rFonts w:hint="default" w:ascii="Times New Roman" w:hAnsi="Times New Roman" w:eastAsia="宋体" w:cs="Times New Roman"/>
                <w:color w:val="auto"/>
                <w:spacing w:val="1"/>
                <w:sz w:val="24"/>
                <w:szCs w:val="24"/>
                <w:highlight w:val="none"/>
                <w:vertAlign w:val="superscript"/>
              </w:rPr>
              <w:t>3</w:t>
            </w:r>
            <w:r>
              <w:rPr>
                <w:rFonts w:hint="default" w:ascii="Times New Roman" w:hAnsi="Times New Roman" w:eastAsia="宋体" w:cs="Times New Roman"/>
                <w:color w:val="auto"/>
                <w:spacing w:val="1"/>
                <w:sz w:val="24"/>
                <w:szCs w:val="24"/>
                <w:highlight w:val="none"/>
              </w:rPr>
              <w:t>）循环使用，不外排，一个生产周期结束后，循环池内的水自然蒸发。本项目清洗废水经</w:t>
            </w:r>
            <w:r>
              <w:rPr>
                <w:rFonts w:hint="default" w:ascii="Times New Roman" w:hAnsi="Times New Roman" w:eastAsia="宋体" w:cs="Times New Roman"/>
                <w:color w:val="auto"/>
                <w:spacing w:val="1"/>
                <w:sz w:val="24"/>
                <w:szCs w:val="24"/>
                <w:highlight w:val="none"/>
                <w:lang w:eastAsia="zh-CN"/>
              </w:rPr>
              <w:t>三</w:t>
            </w:r>
            <w:r>
              <w:rPr>
                <w:rFonts w:hint="default" w:ascii="Times New Roman" w:hAnsi="Times New Roman" w:eastAsia="宋体" w:cs="Times New Roman"/>
                <w:color w:val="auto"/>
                <w:spacing w:val="1"/>
                <w:sz w:val="24"/>
                <w:szCs w:val="24"/>
                <w:highlight w:val="none"/>
              </w:rPr>
              <w:t>级沉淀池处理后全部回用于清洗工段，不外排。循环水池（40m</w:t>
            </w:r>
            <w:r>
              <w:rPr>
                <w:rFonts w:hint="default" w:ascii="Times New Roman" w:hAnsi="Times New Roman" w:eastAsia="宋体" w:cs="Times New Roman"/>
                <w:color w:val="auto"/>
                <w:spacing w:val="1"/>
                <w:sz w:val="24"/>
                <w:szCs w:val="24"/>
                <w:highlight w:val="none"/>
                <w:vertAlign w:val="superscript"/>
              </w:rPr>
              <w:t>3</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lang w:val="en-US" w:eastAsia="zh-CN"/>
              </w:rPr>
              <w:t>及</w:t>
            </w:r>
            <w:r>
              <w:rPr>
                <w:rFonts w:hint="default" w:ascii="Times New Roman" w:hAnsi="Times New Roman" w:eastAsia="宋体" w:cs="Times New Roman"/>
                <w:color w:val="auto"/>
                <w:spacing w:val="1"/>
                <w:sz w:val="24"/>
                <w:szCs w:val="24"/>
                <w:highlight w:val="none"/>
                <w:lang w:eastAsia="zh-CN"/>
              </w:rPr>
              <w:t>三</w:t>
            </w:r>
            <w:r>
              <w:rPr>
                <w:rFonts w:hint="default" w:ascii="Times New Roman" w:hAnsi="Times New Roman" w:eastAsia="宋体" w:cs="Times New Roman"/>
                <w:color w:val="auto"/>
                <w:spacing w:val="1"/>
                <w:sz w:val="24"/>
                <w:szCs w:val="24"/>
                <w:highlight w:val="none"/>
              </w:rPr>
              <w:t>级沉淀池</w:t>
            </w:r>
            <w:r>
              <w:rPr>
                <w:rFonts w:hint="default" w:ascii="Times New Roman" w:hAnsi="Times New Roman" w:eastAsia="宋体" w:cs="Times New Roman"/>
                <w:color w:val="auto"/>
                <w:spacing w:val="1"/>
                <w:sz w:val="24"/>
                <w:szCs w:val="24"/>
                <w:highlight w:val="none"/>
                <w:lang w:val="en-US" w:eastAsia="zh-CN"/>
              </w:rPr>
              <w:t>已通过竣工和环境保护验收，综上，现有项目</w:t>
            </w:r>
            <w:r>
              <w:rPr>
                <w:rFonts w:hint="default" w:ascii="Times New Roman" w:hAnsi="Times New Roman" w:eastAsia="宋体" w:cs="Times New Roman"/>
                <w:color w:val="auto"/>
                <w:spacing w:val="1"/>
                <w:sz w:val="24"/>
                <w:szCs w:val="24"/>
                <w:highlight w:val="none"/>
              </w:rPr>
              <w:t>生产废水经三级沉淀池沉淀后循环使用不外排</w:t>
            </w:r>
            <w:r>
              <w:rPr>
                <w:rFonts w:hint="default" w:ascii="Times New Roman" w:hAnsi="Times New Roman" w:eastAsia="宋体" w:cs="Times New Roman"/>
                <w:color w:val="auto"/>
                <w:spacing w:val="1"/>
                <w:sz w:val="24"/>
                <w:szCs w:val="24"/>
                <w:highlight w:val="none"/>
                <w:lang w:val="en-US" w:eastAsia="zh-CN"/>
              </w:rPr>
              <w:t>方式可行。</w:t>
            </w:r>
          </w:p>
          <w:p w14:paraId="55DF76E2">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2</w:t>
            </w:r>
            <w:r>
              <w:rPr>
                <w:rFonts w:hint="default" w:ascii="Times New Roman" w:hAnsi="Times New Roman" w:eastAsia="宋体" w:cs="Times New Roman"/>
                <w:color w:val="auto"/>
                <w:spacing w:val="-3"/>
                <w:sz w:val="24"/>
                <w:szCs w:val="24"/>
                <w:highlight w:val="none"/>
              </w:rPr>
              <w:t>）生活污水</w:t>
            </w:r>
          </w:p>
          <w:p w14:paraId="5BE7D642">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default" w:ascii="Times New Roman" w:hAnsi="Times New Roman" w:eastAsia="宋体" w:cs="Times New Roman"/>
                <w:color w:val="auto"/>
                <w:spacing w:val="1"/>
                <w:sz w:val="24"/>
                <w:szCs w:val="24"/>
                <w:highlight w:val="none"/>
              </w:rPr>
            </w:pPr>
            <w:r>
              <w:rPr>
                <w:rFonts w:hint="default" w:ascii="Times New Roman" w:hAnsi="Times New Roman" w:cs="Times New Roman"/>
                <w:color w:val="auto"/>
                <w:spacing w:val="-3"/>
                <w:sz w:val="24"/>
                <w:szCs w:val="24"/>
                <w:highlight w:val="none"/>
                <w:lang w:val="en-US" w:eastAsia="zh-CN"/>
              </w:rPr>
              <w:t>本项目不新增劳动定员，因此不新增生活污水，现有项目生活污水排放量：</w:t>
            </w:r>
            <w:r>
              <w:rPr>
                <w:rFonts w:hint="default" w:ascii="Times New Roman" w:hAnsi="Times New Roman" w:eastAsia="宋体" w:cs="Times New Roman"/>
                <w:color w:val="auto"/>
                <w:kern w:val="2"/>
                <w:sz w:val="24"/>
                <w:szCs w:val="24"/>
                <w:highlight w:val="none"/>
                <w:lang w:val="en-US" w:eastAsia="zh-CN" w:bidi="ar-SA"/>
              </w:rPr>
              <w:t>342</w:t>
            </w:r>
            <w:r>
              <w:rPr>
                <w:rFonts w:hint="default" w:ascii="Times New Roman" w:hAnsi="Times New Roman" w:cs="Times New Roman"/>
                <w:color w:val="auto"/>
                <w:spacing w:val="-3"/>
                <w:sz w:val="24"/>
                <w:szCs w:val="24"/>
                <w:highlight w:val="none"/>
                <w:lang w:val="en-US" w:eastAsia="zh-CN"/>
              </w:rPr>
              <w:t>m</w:t>
            </w:r>
            <w:r>
              <w:rPr>
                <w:rFonts w:hint="default" w:ascii="Times New Roman" w:hAnsi="Times New Roman" w:cs="Times New Roman"/>
                <w:color w:val="auto"/>
                <w:spacing w:val="-3"/>
                <w:sz w:val="24"/>
                <w:szCs w:val="24"/>
                <w:highlight w:val="none"/>
                <w:vertAlign w:val="superscript"/>
                <w:lang w:val="en-US" w:eastAsia="zh-CN"/>
              </w:rPr>
              <w:t>3</w:t>
            </w:r>
            <w:r>
              <w:rPr>
                <w:rFonts w:hint="default" w:ascii="Times New Roman" w:hAnsi="Times New Roman" w:cs="Times New Roman"/>
                <w:color w:val="auto"/>
                <w:spacing w:val="-3"/>
                <w:sz w:val="24"/>
                <w:szCs w:val="24"/>
                <w:highlight w:val="none"/>
                <w:lang w:val="en-US" w:eastAsia="zh-CN"/>
              </w:rPr>
              <w:t>/a，现有项目运营期产生的生活污水</w:t>
            </w:r>
            <w:r>
              <w:rPr>
                <w:rFonts w:hint="default" w:ascii="Times New Roman" w:hAnsi="Times New Roman" w:eastAsia="宋体" w:cs="Times New Roman"/>
                <w:color w:val="auto"/>
                <w:spacing w:val="1"/>
                <w:sz w:val="24"/>
                <w:szCs w:val="24"/>
                <w:highlight w:val="none"/>
              </w:rPr>
              <w:t>排</w:t>
            </w:r>
            <w:r>
              <w:rPr>
                <w:rFonts w:hint="default" w:ascii="Times New Roman" w:hAnsi="Times New Roman" w:cs="Times New Roman"/>
                <w:color w:val="auto"/>
                <w:spacing w:val="1"/>
                <w:sz w:val="24"/>
                <w:szCs w:val="24"/>
                <w:highlight w:val="none"/>
                <w:lang w:val="en-US" w:eastAsia="zh-CN"/>
              </w:rPr>
              <w:t>入</w:t>
            </w:r>
            <w:r>
              <w:rPr>
                <w:rFonts w:hint="default" w:ascii="Times New Roman" w:hAnsi="Times New Roman" w:eastAsia="宋体" w:cs="Times New Roman"/>
                <w:color w:val="auto"/>
                <w:spacing w:val="1"/>
                <w:sz w:val="24"/>
                <w:szCs w:val="24"/>
                <w:highlight w:val="none"/>
              </w:rPr>
              <w:t>污水管网，最终排入</w:t>
            </w:r>
            <w:r>
              <w:rPr>
                <w:rFonts w:hint="default" w:ascii="Times New Roman" w:hAnsi="Times New Roman" w:eastAsia="宋体" w:cs="Times New Roman"/>
                <w:color w:val="auto"/>
                <w:spacing w:val="1"/>
                <w:sz w:val="24"/>
                <w:szCs w:val="24"/>
                <w:highlight w:val="none"/>
                <w:lang w:eastAsia="zh-CN"/>
              </w:rPr>
              <w:t>昌吉市第二污水处理厂</w:t>
            </w:r>
            <w:r>
              <w:rPr>
                <w:rFonts w:hint="default" w:ascii="Times New Roman" w:hAnsi="Times New Roman" w:eastAsia="宋体" w:cs="Times New Roman"/>
                <w:color w:val="auto"/>
                <w:spacing w:val="1"/>
                <w:sz w:val="24"/>
                <w:szCs w:val="24"/>
                <w:highlight w:val="none"/>
              </w:rPr>
              <w:t>处理。</w:t>
            </w:r>
          </w:p>
          <w:p w14:paraId="14F7BDAF">
            <w:pPr>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生活</w:t>
            </w:r>
            <w:r>
              <w:rPr>
                <w:rFonts w:hint="default" w:ascii="Times New Roman" w:hAnsi="Times New Roman" w:eastAsia="宋体" w:cs="Times New Roman"/>
                <w:color w:val="auto"/>
                <w:sz w:val="24"/>
                <w:szCs w:val="24"/>
                <w:highlight w:val="none"/>
              </w:rPr>
              <w:t>污水的</w:t>
            </w:r>
            <w:r>
              <w:rPr>
                <w:rFonts w:hint="default" w:ascii="Times New Roman" w:hAnsi="Times New Roman" w:eastAsia="宋体" w:cs="Times New Roman"/>
                <w:color w:val="auto"/>
                <w:spacing w:val="1"/>
                <w:sz w:val="24"/>
                <w:szCs w:val="24"/>
                <w:highlight w:val="none"/>
              </w:rPr>
              <w:t>排放标准执行《污水排入城市下水道水质标准》（</w:t>
            </w:r>
            <w:r>
              <w:rPr>
                <w:rFonts w:hint="default" w:ascii="Times New Roman" w:hAnsi="Times New Roman" w:eastAsia="Times New Roman" w:cs="Times New Roman"/>
                <w:color w:val="auto"/>
                <w:sz w:val="24"/>
                <w:szCs w:val="24"/>
                <w:highlight w:val="none"/>
              </w:rPr>
              <w:t>GB</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Times New Roman" w:cs="Times New Roman"/>
                <w:color w:val="auto"/>
                <w:sz w:val="24"/>
                <w:szCs w:val="24"/>
                <w:highlight w:val="none"/>
              </w:rPr>
              <w:t>T31962-2015</w:t>
            </w:r>
            <w:r>
              <w:rPr>
                <w:rFonts w:hint="default" w:ascii="Times New Roman" w:hAnsi="Times New Roman" w:eastAsia="宋体" w:cs="Times New Roman"/>
                <w:color w:val="auto"/>
                <w:sz w:val="24"/>
                <w:szCs w:val="24"/>
                <w:highlight w:val="none"/>
              </w:rPr>
              <w:t>）</w:t>
            </w:r>
            <w:r>
              <w:rPr>
                <w:rFonts w:hint="default" w:ascii="Times New Roman" w:hAnsi="Times New Roman" w:eastAsia="Times New Roman" w:cs="Times New Roman"/>
                <w:color w:val="auto"/>
                <w:sz w:val="24"/>
                <w:szCs w:val="24"/>
                <w:highlight w:val="none"/>
              </w:rPr>
              <w:t>B</w:t>
            </w:r>
            <w:r>
              <w:rPr>
                <w:rFonts w:hint="default" w:ascii="Times New Roman" w:hAnsi="Times New Roman" w:eastAsia="宋体" w:cs="Times New Roman"/>
                <w:color w:val="auto"/>
                <w:sz w:val="24"/>
                <w:szCs w:val="24"/>
                <w:highlight w:val="none"/>
              </w:rPr>
              <w:t>级标</w:t>
            </w:r>
            <w:r>
              <w:rPr>
                <w:rFonts w:hint="default" w:ascii="Times New Roman" w:hAnsi="Times New Roman" w:eastAsia="宋体" w:cs="Times New Roman"/>
                <w:color w:val="auto"/>
                <w:spacing w:val="-3"/>
                <w:sz w:val="24"/>
                <w:szCs w:val="24"/>
                <w:highlight w:val="none"/>
              </w:rPr>
              <w:t>准限值。</w:t>
            </w:r>
            <w:r>
              <w:rPr>
                <w:rFonts w:hint="default" w:ascii="Times New Roman" w:hAnsi="Times New Roman" w:eastAsia="宋体" w:cs="Times New Roman"/>
                <w:color w:val="auto"/>
                <w:spacing w:val="-1"/>
                <w:sz w:val="24"/>
                <w:szCs w:val="24"/>
                <w:highlight w:val="none"/>
              </w:rPr>
              <w:t>本项目产生的生活污水产排情况详见表</w:t>
            </w:r>
            <w:r>
              <w:rPr>
                <w:rFonts w:hint="default" w:ascii="Times New Roman" w:hAnsi="Times New Roman" w:eastAsia="Times New Roman" w:cs="Times New Roman"/>
                <w:color w:val="auto"/>
                <w:spacing w:val="-1"/>
                <w:sz w:val="24"/>
                <w:szCs w:val="24"/>
                <w:highlight w:val="none"/>
              </w:rPr>
              <w:t>4-</w:t>
            </w:r>
            <w:r>
              <w:rPr>
                <w:rFonts w:hint="default" w:ascii="Times New Roman" w:hAnsi="Times New Roman" w:eastAsia="宋体" w:cs="Times New Roman"/>
                <w:color w:val="auto"/>
                <w:spacing w:val="-1"/>
                <w:sz w:val="24"/>
                <w:szCs w:val="24"/>
                <w:highlight w:val="none"/>
                <w:lang w:val="en-US" w:eastAsia="zh-CN"/>
              </w:rPr>
              <w:t>5</w:t>
            </w:r>
            <w:r>
              <w:rPr>
                <w:rFonts w:hint="default" w:ascii="Times New Roman" w:hAnsi="Times New Roman" w:eastAsia="宋体" w:cs="Times New Roman"/>
                <w:color w:val="auto"/>
                <w:spacing w:val="-1"/>
                <w:sz w:val="24"/>
                <w:szCs w:val="24"/>
                <w:highlight w:val="none"/>
              </w:rPr>
              <w:t>。</w:t>
            </w:r>
          </w:p>
          <w:p w14:paraId="0376754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pacing w:val="5"/>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b/>
                <w:bCs/>
                <w:color w:val="auto"/>
                <w:spacing w:val="5"/>
                <w:sz w:val="21"/>
                <w:szCs w:val="21"/>
                <w:highlight w:val="none"/>
              </w:rPr>
              <w:t>4-</w:t>
            </w:r>
            <w:r>
              <w:rPr>
                <w:rFonts w:hint="default" w:ascii="Times New Roman" w:hAnsi="Times New Roman" w:eastAsia="宋体" w:cs="Times New Roman"/>
                <w:b/>
                <w:bCs/>
                <w:color w:val="auto"/>
                <w:spacing w:val="5"/>
                <w:sz w:val="21"/>
                <w:szCs w:val="21"/>
                <w:highlight w:val="none"/>
                <w:lang w:val="en-US" w:eastAsia="zh-CN"/>
              </w:rPr>
              <w:t>5</w:t>
            </w:r>
            <w:r>
              <w:rPr>
                <w:rFonts w:hint="default" w:ascii="Times New Roman" w:hAnsi="Times New Roman" w:eastAsia="宋体" w:cs="Times New Roman"/>
                <w:b/>
                <w:bCs/>
                <w:color w:val="auto"/>
                <w:spacing w:val="5"/>
                <w:sz w:val="21"/>
                <w:szCs w:val="21"/>
                <w:highlight w:val="none"/>
              </w:rPr>
              <w:t>生活污水产排情况一览表</w:t>
            </w:r>
          </w:p>
          <w:tbl>
            <w:tblPr>
              <w:tblStyle w:val="54"/>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978"/>
              <w:gridCol w:w="1042"/>
              <w:gridCol w:w="1052"/>
              <w:gridCol w:w="1052"/>
              <w:gridCol w:w="1047"/>
              <w:gridCol w:w="1212"/>
            </w:tblGrid>
            <w:tr w14:paraId="717579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78" w:type="dxa"/>
                  <w:tcBorders>
                    <w:bottom w:val="single" w:color="000000" w:sz="12" w:space="0"/>
                  </w:tcBorders>
                  <w:vAlign w:val="center"/>
                </w:tcPr>
                <w:p w14:paraId="5364BF0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rPr>
                    <w:t>项目</w:t>
                  </w:r>
                </w:p>
              </w:tc>
              <w:tc>
                <w:tcPr>
                  <w:tcW w:w="1042" w:type="dxa"/>
                  <w:tcBorders>
                    <w:bottom w:val="single" w:color="000000" w:sz="12" w:space="0"/>
                  </w:tcBorders>
                  <w:vAlign w:val="center"/>
                </w:tcPr>
                <w:p w14:paraId="77D2EFB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污水量</w:t>
                  </w:r>
                </w:p>
              </w:tc>
              <w:tc>
                <w:tcPr>
                  <w:tcW w:w="1052" w:type="dxa"/>
                  <w:tcBorders>
                    <w:bottom w:val="single" w:color="000000" w:sz="12" w:space="0"/>
                  </w:tcBorders>
                  <w:vAlign w:val="center"/>
                </w:tcPr>
                <w:p w14:paraId="6D9A0B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4"/>
                      <w:sz w:val="21"/>
                      <w:szCs w:val="21"/>
                      <w:highlight w:val="none"/>
                    </w:rPr>
                    <w:t>CODcr</w:t>
                  </w:r>
                </w:p>
              </w:tc>
              <w:tc>
                <w:tcPr>
                  <w:tcW w:w="1052" w:type="dxa"/>
                  <w:tcBorders>
                    <w:bottom w:val="single" w:color="000000" w:sz="12" w:space="0"/>
                  </w:tcBorders>
                  <w:vAlign w:val="center"/>
                </w:tcPr>
                <w:p w14:paraId="38DFA87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5"/>
                      <w:sz w:val="21"/>
                      <w:szCs w:val="21"/>
                      <w:highlight w:val="none"/>
                    </w:rPr>
                    <w:t>BOD</w:t>
                  </w:r>
                  <w:r>
                    <w:rPr>
                      <w:rFonts w:hint="default" w:ascii="Times New Roman" w:hAnsi="Times New Roman" w:eastAsia="Times New Roman" w:cs="Times New Roman"/>
                      <w:b/>
                      <w:bCs/>
                      <w:color w:val="auto"/>
                      <w:spacing w:val="5"/>
                      <w:position w:val="-1"/>
                      <w:sz w:val="21"/>
                      <w:szCs w:val="21"/>
                      <w:highlight w:val="none"/>
                      <w:vertAlign w:val="subscript"/>
                    </w:rPr>
                    <w:t>5</w:t>
                  </w:r>
                </w:p>
              </w:tc>
              <w:tc>
                <w:tcPr>
                  <w:tcW w:w="1047" w:type="dxa"/>
                  <w:tcBorders>
                    <w:bottom w:val="single" w:color="000000" w:sz="12" w:space="0"/>
                  </w:tcBorders>
                  <w:vAlign w:val="center"/>
                </w:tcPr>
                <w:p w14:paraId="2D591A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z w:val="21"/>
                      <w:szCs w:val="21"/>
                      <w:highlight w:val="none"/>
                    </w:rPr>
                    <w:t>NH</w:t>
                  </w:r>
                  <w:r>
                    <w:rPr>
                      <w:rFonts w:hint="default" w:ascii="Times New Roman" w:hAnsi="Times New Roman" w:eastAsia="Times New Roman" w:cs="Times New Roman"/>
                      <w:b/>
                      <w:bCs/>
                      <w:color w:val="auto"/>
                      <w:spacing w:val="7"/>
                      <w:sz w:val="21"/>
                      <w:szCs w:val="21"/>
                      <w:highlight w:val="none"/>
                      <w:vertAlign w:val="subscript"/>
                    </w:rPr>
                    <w:t>3</w:t>
                  </w:r>
                  <w:r>
                    <w:rPr>
                      <w:rFonts w:hint="default" w:ascii="Times New Roman" w:hAnsi="Times New Roman" w:eastAsia="Times New Roman" w:cs="Times New Roman"/>
                      <w:b/>
                      <w:bCs/>
                      <w:color w:val="auto"/>
                      <w:spacing w:val="7"/>
                      <w:sz w:val="21"/>
                      <w:szCs w:val="21"/>
                      <w:highlight w:val="none"/>
                    </w:rPr>
                    <w:t>-N</w:t>
                  </w:r>
                </w:p>
              </w:tc>
              <w:tc>
                <w:tcPr>
                  <w:tcW w:w="1212" w:type="dxa"/>
                  <w:tcBorders>
                    <w:bottom w:val="single" w:color="000000" w:sz="12" w:space="0"/>
                  </w:tcBorders>
                  <w:vAlign w:val="center"/>
                </w:tcPr>
                <w:p w14:paraId="1C15198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1"/>
                      <w:sz w:val="21"/>
                      <w:szCs w:val="21"/>
                      <w:highlight w:val="none"/>
                    </w:rPr>
                    <w:t>SS</w:t>
                  </w:r>
                </w:p>
              </w:tc>
            </w:tr>
            <w:tr w14:paraId="2712C8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78" w:type="dxa"/>
                  <w:tcBorders>
                    <w:top w:val="single" w:color="000000" w:sz="12" w:space="0"/>
                    <w:tl2br w:val="nil"/>
                    <w:tr2bl w:val="nil"/>
                  </w:tcBorders>
                  <w:vAlign w:val="center"/>
                </w:tcPr>
                <w:p w14:paraId="0B14B3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产生浓度（</w:t>
                  </w:r>
                  <w:r>
                    <w:rPr>
                      <w:rFonts w:hint="default" w:ascii="Times New Roman" w:hAnsi="Times New Roman" w:eastAsia="Times New Roman" w:cs="Times New Roman"/>
                      <w:color w:val="auto"/>
                      <w:sz w:val="21"/>
                      <w:szCs w:val="21"/>
                      <w:highlight w:val="none"/>
                    </w:rPr>
                    <w:t>mg</w:t>
                  </w:r>
                  <w:r>
                    <w:rPr>
                      <w:rFonts w:hint="default" w:ascii="Times New Roman" w:hAnsi="Times New Roman" w:eastAsia="Times New Roman" w:cs="Times New Roman"/>
                      <w:color w:val="auto"/>
                      <w:spacing w:val="7"/>
                      <w:sz w:val="21"/>
                      <w:szCs w:val="21"/>
                      <w:highlight w:val="none"/>
                    </w:rPr>
                    <w:t>/L</w:t>
                  </w:r>
                  <w:r>
                    <w:rPr>
                      <w:rFonts w:hint="default" w:ascii="Times New Roman" w:hAnsi="Times New Roman" w:eastAsia="宋体" w:cs="Times New Roman"/>
                      <w:color w:val="auto"/>
                      <w:spacing w:val="7"/>
                      <w:sz w:val="21"/>
                      <w:szCs w:val="21"/>
                      <w:highlight w:val="none"/>
                    </w:rPr>
                    <w:t>）</w:t>
                  </w:r>
                </w:p>
              </w:tc>
              <w:tc>
                <w:tcPr>
                  <w:tcW w:w="1042" w:type="dxa"/>
                  <w:tcBorders>
                    <w:top w:val="single" w:color="000000" w:sz="12" w:space="0"/>
                    <w:tl2br w:val="nil"/>
                    <w:tr2bl w:val="nil"/>
                  </w:tcBorders>
                  <w:vAlign w:val="center"/>
                </w:tcPr>
                <w:p w14:paraId="6D2CB4F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1052" w:type="dxa"/>
                  <w:tcBorders>
                    <w:top w:val="single" w:color="000000" w:sz="12" w:space="0"/>
                    <w:tl2br w:val="nil"/>
                    <w:tr2bl w:val="nil"/>
                  </w:tcBorders>
                  <w:vAlign w:val="center"/>
                </w:tcPr>
                <w:p w14:paraId="207AE0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400</w:t>
                  </w:r>
                </w:p>
              </w:tc>
              <w:tc>
                <w:tcPr>
                  <w:tcW w:w="1052" w:type="dxa"/>
                  <w:tcBorders>
                    <w:top w:val="single" w:color="000000" w:sz="12" w:space="0"/>
                    <w:tl2br w:val="nil"/>
                    <w:tr2bl w:val="nil"/>
                  </w:tcBorders>
                  <w:vAlign w:val="center"/>
                </w:tcPr>
                <w:p w14:paraId="6DFB66C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200</w:t>
                  </w:r>
                </w:p>
              </w:tc>
              <w:tc>
                <w:tcPr>
                  <w:tcW w:w="1047" w:type="dxa"/>
                  <w:tcBorders>
                    <w:top w:val="single" w:color="000000" w:sz="12" w:space="0"/>
                    <w:tl2br w:val="nil"/>
                    <w:tr2bl w:val="nil"/>
                  </w:tcBorders>
                  <w:vAlign w:val="center"/>
                </w:tcPr>
                <w:p w14:paraId="767645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35</w:t>
                  </w:r>
                </w:p>
              </w:tc>
              <w:tc>
                <w:tcPr>
                  <w:tcW w:w="1212" w:type="dxa"/>
                  <w:tcBorders>
                    <w:top w:val="single" w:color="000000" w:sz="12" w:space="0"/>
                    <w:tl2br w:val="nil"/>
                    <w:tr2bl w:val="nil"/>
                  </w:tcBorders>
                  <w:vAlign w:val="center"/>
                </w:tcPr>
                <w:p w14:paraId="430CCA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200</w:t>
                  </w:r>
                </w:p>
              </w:tc>
            </w:tr>
            <w:tr w14:paraId="1D27AC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78" w:type="dxa"/>
                  <w:tcBorders>
                    <w:tl2br w:val="nil"/>
                    <w:tr2bl w:val="nil"/>
                  </w:tcBorders>
                  <w:vAlign w:val="center"/>
                </w:tcPr>
                <w:p w14:paraId="3D2C59D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产生量（</w:t>
                  </w:r>
                  <w:r>
                    <w:rPr>
                      <w:rFonts w:hint="default" w:ascii="Times New Roman" w:hAnsi="Times New Roman" w:eastAsia="Times New Roman" w:cs="Times New Roman"/>
                      <w:color w:val="auto"/>
                      <w:spacing w:val="4"/>
                      <w:sz w:val="21"/>
                      <w:szCs w:val="21"/>
                      <w:highlight w:val="none"/>
                    </w:rPr>
                    <w:t>t/a</w:t>
                  </w:r>
                  <w:r>
                    <w:rPr>
                      <w:rFonts w:hint="default" w:ascii="Times New Roman" w:hAnsi="Times New Roman" w:eastAsia="宋体" w:cs="Times New Roman"/>
                      <w:color w:val="auto"/>
                      <w:spacing w:val="4"/>
                      <w:sz w:val="21"/>
                      <w:szCs w:val="21"/>
                      <w:highlight w:val="none"/>
                    </w:rPr>
                    <w:t>）</w:t>
                  </w:r>
                </w:p>
              </w:tc>
              <w:tc>
                <w:tcPr>
                  <w:tcW w:w="1042" w:type="dxa"/>
                  <w:tcBorders>
                    <w:tl2br w:val="nil"/>
                    <w:tr2bl w:val="nil"/>
                  </w:tcBorders>
                  <w:vAlign w:val="center"/>
                </w:tcPr>
                <w:p w14:paraId="6D45043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342</w:t>
                  </w:r>
                </w:p>
              </w:tc>
              <w:tc>
                <w:tcPr>
                  <w:tcW w:w="1052" w:type="dxa"/>
                  <w:tcBorders>
                    <w:tl2br w:val="nil"/>
                    <w:tr2bl w:val="nil"/>
                  </w:tcBorders>
                  <w:vAlign w:val="center"/>
                </w:tcPr>
                <w:p w14:paraId="7E6AA3D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0.15</w:t>
                  </w:r>
                </w:p>
              </w:tc>
              <w:tc>
                <w:tcPr>
                  <w:tcW w:w="1052" w:type="dxa"/>
                  <w:tcBorders>
                    <w:tl2br w:val="nil"/>
                    <w:tr2bl w:val="nil"/>
                  </w:tcBorders>
                  <w:vAlign w:val="center"/>
                </w:tcPr>
                <w:p w14:paraId="0BF83F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0.07</w:t>
                  </w:r>
                </w:p>
              </w:tc>
              <w:tc>
                <w:tcPr>
                  <w:tcW w:w="1047" w:type="dxa"/>
                  <w:tcBorders>
                    <w:tl2br w:val="nil"/>
                    <w:tr2bl w:val="nil"/>
                  </w:tcBorders>
                  <w:vAlign w:val="center"/>
                </w:tcPr>
                <w:p w14:paraId="76F6957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0.02</w:t>
                  </w:r>
                </w:p>
              </w:tc>
              <w:tc>
                <w:tcPr>
                  <w:tcW w:w="1212" w:type="dxa"/>
                  <w:tcBorders>
                    <w:tl2br w:val="nil"/>
                    <w:tr2bl w:val="nil"/>
                  </w:tcBorders>
                  <w:vAlign w:val="center"/>
                </w:tcPr>
                <w:p w14:paraId="50D332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0.07</w:t>
                  </w:r>
                </w:p>
              </w:tc>
            </w:tr>
            <w:tr w14:paraId="36C763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78" w:type="dxa"/>
                  <w:tcBorders>
                    <w:tl2br w:val="nil"/>
                    <w:tr2bl w:val="nil"/>
                  </w:tcBorders>
                  <w:vAlign w:val="center"/>
                </w:tcPr>
                <w:p w14:paraId="015417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排放浓度（</w:t>
                  </w:r>
                  <w:r>
                    <w:rPr>
                      <w:rFonts w:hint="default" w:ascii="Times New Roman" w:hAnsi="Times New Roman" w:eastAsia="Times New Roman" w:cs="Times New Roman"/>
                      <w:color w:val="auto"/>
                      <w:sz w:val="21"/>
                      <w:szCs w:val="21"/>
                      <w:highlight w:val="none"/>
                    </w:rPr>
                    <w:t>mg</w:t>
                  </w:r>
                  <w:r>
                    <w:rPr>
                      <w:rFonts w:hint="default" w:ascii="Times New Roman" w:hAnsi="Times New Roman" w:eastAsia="Times New Roman" w:cs="Times New Roman"/>
                      <w:color w:val="auto"/>
                      <w:spacing w:val="7"/>
                      <w:sz w:val="21"/>
                      <w:szCs w:val="21"/>
                      <w:highlight w:val="none"/>
                    </w:rPr>
                    <w:t>/L</w:t>
                  </w:r>
                  <w:r>
                    <w:rPr>
                      <w:rFonts w:hint="default" w:ascii="Times New Roman" w:hAnsi="Times New Roman" w:eastAsia="宋体" w:cs="Times New Roman"/>
                      <w:color w:val="auto"/>
                      <w:spacing w:val="7"/>
                      <w:sz w:val="21"/>
                      <w:szCs w:val="21"/>
                      <w:highlight w:val="none"/>
                    </w:rPr>
                    <w:t>）</w:t>
                  </w:r>
                </w:p>
              </w:tc>
              <w:tc>
                <w:tcPr>
                  <w:tcW w:w="1042" w:type="dxa"/>
                  <w:tcBorders>
                    <w:tl2br w:val="nil"/>
                    <w:tr2bl w:val="nil"/>
                  </w:tcBorders>
                  <w:vAlign w:val="center"/>
                </w:tcPr>
                <w:p w14:paraId="7DB4DD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1052" w:type="dxa"/>
                  <w:tcBorders>
                    <w:tl2br w:val="nil"/>
                    <w:tr2bl w:val="nil"/>
                  </w:tcBorders>
                  <w:vAlign w:val="center"/>
                </w:tcPr>
                <w:p w14:paraId="4D81CAE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400</w:t>
                  </w:r>
                </w:p>
              </w:tc>
              <w:tc>
                <w:tcPr>
                  <w:tcW w:w="1052" w:type="dxa"/>
                  <w:tcBorders>
                    <w:tl2br w:val="nil"/>
                    <w:tr2bl w:val="nil"/>
                  </w:tcBorders>
                  <w:vAlign w:val="center"/>
                </w:tcPr>
                <w:p w14:paraId="472F554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200</w:t>
                  </w:r>
                </w:p>
              </w:tc>
              <w:tc>
                <w:tcPr>
                  <w:tcW w:w="1047" w:type="dxa"/>
                  <w:tcBorders>
                    <w:tl2br w:val="nil"/>
                    <w:tr2bl w:val="nil"/>
                  </w:tcBorders>
                  <w:vAlign w:val="center"/>
                </w:tcPr>
                <w:p w14:paraId="6E47E53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35</w:t>
                  </w:r>
                </w:p>
              </w:tc>
              <w:tc>
                <w:tcPr>
                  <w:tcW w:w="1212" w:type="dxa"/>
                  <w:tcBorders>
                    <w:tl2br w:val="nil"/>
                    <w:tr2bl w:val="nil"/>
                  </w:tcBorders>
                  <w:vAlign w:val="center"/>
                </w:tcPr>
                <w:p w14:paraId="4B350C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200</w:t>
                  </w:r>
                </w:p>
              </w:tc>
            </w:tr>
            <w:tr w14:paraId="2D67CD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78" w:type="dxa"/>
                  <w:tcBorders>
                    <w:tl2br w:val="nil"/>
                    <w:tr2bl w:val="nil"/>
                  </w:tcBorders>
                  <w:vAlign w:val="center"/>
                </w:tcPr>
                <w:p w14:paraId="171CED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排放量（</w:t>
                  </w:r>
                  <w:r>
                    <w:rPr>
                      <w:rFonts w:hint="default" w:ascii="Times New Roman" w:hAnsi="Times New Roman" w:eastAsia="Times New Roman" w:cs="Times New Roman"/>
                      <w:color w:val="auto"/>
                      <w:spacing w:val="4"/>
                      <w:sz w:val="21"/>
                      <w:szCs w:val="21"/>
                      <w:highlight w:val="none"/>
                    </w:rPr>
                    <w:t>t/a</w:t>
                  </w:r>
                  <w:r>
                    <w:rPr>
                      <w:rFonts w:hint="default" w:ascii="Times New Roman" w:hAnsi="Times New Roman" w:eastAsia="宋体" w:cs="Times New Roman"/>
                      <w:color w:val="auto"/>
                      <w:spacing w:val="4"/>
                      <w:sz w:val="21"/>
                      <w:szCs w:val="21"/>
                      <w:highlight w:val="none"/>
                    </w:rPr>
                    <w:t>）</w:t>
                  </w:r>
                </w:p>
              </w:tc>
              <w:tc>
                <w:tcPr>
                  <w:tcW w:w="1042" w:type="dxa"/>
                  <w:tcBorders>
                    <w:tl2br w:val="nil"/>
                    <w:tr2bl w:val="nil"/>
                  </w:tcBorders>
                  <w:vAlign w:val="center"/>
                </w:tcPr>
                <w:p w14:paraId="0AC1802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342</w:t>
                  </w:r>
                </w:p>
              </w:tc>
              <w:tc>
                <w:tcPr>
                  <w:tcW w:w="1052" w:type="dxa"/>
                  <w:tcBorders>
                    <w:tl2br w:val="nil"/>
                    <w:tr2bl w:val="nil"/>
                  </w:tcBorders>
                  <w:vAlign w:val="center"/>
                </w:tcPr>
                <w:p w14:paraId="06CFBF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0.15</w:t>
                  </w:r>
                </w:p>
              </w:tc>
              <w:tc>
                <w:tcPr>
                  <w:tcW w:w="1052" w:type="dxa"/>
                  <w:tcBorders>
                    <w:tl2br w:val="nil"/>
                    <w:tr2bl w:val="nil"/>
                  </w:tcBorders>
                  <w:vAlign w:val="center"/>
                </w:tcPr>
                <w:p w14:paraId="566F3F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0.07</w:t>
                  </w:r>
                </w:p>
              </w:tc>
              <w:tc>
                <w:tcPr>
                  <w:tcW w:w="1047" w:type="dxa"/>
                  <w:tcBorders>
                    <w:tl2br w:val="nil"/>
                    <w:tr2bl w:val="nil"/>
                  </w:tcBorders>
                  <w:vAlign w:val="center"/>
                </w:tcPr>
                <w:p w14:paraId="54F828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0.02</w:t>
                  </w:r>
                </w:p>
              </w:tc>
              <w:tc>
                <w:tcPr>
                  <w:tcW w:w="1212" w:type="dxa"/>
                  <w:tcBorders>
                    <w:tl2br w:val="nil"/>
                    <w:tr2bl w:val="nil"/>
                  </w:tcBorders>
                  <w:vAlign w:val="center"/>
                </w:tcPr>
                <w:p w14:paraId="337572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0.07</w:t>
                  </w:r>
                </w:p>
              </w:tc>
            </w:tr>
          </w:tbl>
          <w:p w14:paraId="181F788A">
            <w:pPr>
              <w:rPr>
                <w:rFonts w:hint="default" w:ascii="Times New Roman" w:hAnsi="Times New Roman" w:eastAsia="宋体" w:cs="Times New Roman"/>
                <w:b/>
                <w:bCs/>
                <w:color w:val="auto"/>
                <w:spacing w:val="5"/>
                <w:sz w:val="20"/>
                <w:szCs w:val="20"/>
                <w:highlight w:val="none"/>
              </w:rPr>
            </w:pPr>
          </w:p>
          <w:p w14:paraId="175FE578">
            <w:pPr>
              <w:spacing w:before="115" w:line="219" w:lineRule="auto"/>
              <w:ind w:left="105"/>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2.2</w:t>
            </w:r>
            <w:r>
              <w:rPr>
                <w:rFonts w:hint="default" w:ascii="Times New Roman" w:hAnsi="Times New Roman" w:eastAsia="宋体" w:cs="Times New Roman"/>
                <w:b/>
                <w:bCs/>
                <w:color w:val="auto"/>
                <w:spacing w:val="-2"/>
                <w:sz w:val="24"/>
                <w:szCs w:val="24"/>
                <w:highlight w:val="none"/>
              </w:rPr>
              <w:t>废水治理措施的可行性分析</w:t>
            </w:r>
          </w:p>
          <w:p w14:paraId="44C5E26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本项目生活</w:t>
            </w:r>
            <w:r>
              <w:rPr>
                <w:rFonts w:hint="default" w:ascii="Times New Roman" w:hAnsi="Times New Roman" w:eastAsia="宋体" w:cs="Times New Roman"/>
                <w:color w:val="auto"/>
                <w:spacing w:val="-1"/>
                <w:sz w:val="24"/>
                <w:szCs w:val="24"/>
                <w:highlight w:val="none"/>
              </w:rPr>
              <w:t>污水达到《污水排入城市下</w:t>
            </w:r>
            <w:r>
              <w:rPr>
                <w:rFonts w:hint="default" w:ascii="Times New Roman" w:hAnsi="Times New Roman" w:eastAsia="宋体" w:cs="Times New Roman"/>
                <w:color w:val="auto"/>
                <w:sz w:val="24"/>
                <w:szCs w:val="24"/>
                <w:highlight w:val="none"/>
              </w:rPr>
              <w:t>水道水质标准》（</w:t>
            </w:r>
            <w:r>
              <w:rPr>
                <w:rFonts w:hint="default" w:ascii="Times New Roman" w:hAnsi="Times New Roman" w:eastAsia="Times New Roman" w:cs="Times New Roman"/>
                <w:color w:val="auto"/>
                <w:sz w:val="24"/>
                <w:szCs w:val="24"/>
                <w:highlight w:val="none"/>
              </w:rPr>
              <w:t>GB/T31962-2015</w:t>
            </w:r>
            <w:r>
              <w:rPr>
                <w:rFonts w:hint="default" w:ascii="Times New Roman" w:hAnsi="Times New Roman" w:eastAsia="宋体" w:cs="Times New Roman"/>
                <w:color w:val="auto"/>
                <w:sz w:val="24"/>
                <w:szCs w:val="24"/>
                <w:highlight w:val="none"/>
              </w:rPr>
              <w:t>）B级标准限值标准后，排入污水管网，最终进入</w:t>
            </w:r>
            <w:r>
              <w:rPr>
                <w:rFonts w:hint="default" w:ascii="Times New Roman" w:hAnsi="Times New Roman" w:eastAsia="宋体" w:cs="Times New Roman"/>
                <w:color w:val="auto"/>
                <w:sz w:val="24"/>
                <w:szCs w:val="24"/>
                <w:highlight w:val="none"/>
                <w:lang w:eastAsia="zh-CN"/>
              </w:rPr>
              <w:t>昌吉市第二污水处理厂</w:t>
            </w:r>
            <w:r>
              <w:rPr>
                <w:rFonts w:hint="default" w:ascii="Times New Roman" w:hAnsi="Times New Roman" w:eastAsia="宋体" w:cs="Times New Roman"/>
                <w:color w:val="auto"/>
                <w:sz w:val="24"/>
                <w:szCs w:val="24"/>
                <w:highlight w:val="none"/>
              </w:rPr>
              <w:t>处理。</w:t>
            </w:r>
          </w:p>
          <w:p w14:paraId="5515C99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昌吉市第二污水处理厂处理规模为10万立方米/日，实际处理量为8.6万立方米/日，尚有余量，可满足本项目2.728m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/d的污水量。</w:t>
            </w:r>
            <w:r>
              <w:rPr>
                <w:rFonts w:hint="default" w:ascii="Times New Roman" w:hAnsi="Times New Roman" w:eastAsia="宋体" w:cs="Times New Roman"/>
                <w:color w:val="auto"/>
                <w:sz w:val="24"/>
                <w:szCs w:val="24"/>
                <w:highlight w:val="none"/>
              </w:rPr>
              <w:t>2017年6月30日。于2018年8月通过项目竣工环境保护验收，预处理工艺为“粗细格栅+曝气沉砂池+初沉池+膜格栅”，污水处理工艺为“水解酸化+A</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O+MBR”，经处理后，出水水质达到《城镇污水处理厂污染物排放标准》（GB18918-2002）一级A后排放回用，一级A后排放回用。回用于城市绿化、冲厕、道路清扫、消防的污水必须满足《城市污水再生利用城市杂用水水质》（GB/T18920-2002），回用于工业生产的污水必须满足《城市污水再生利用工业用水水质》（CB/T19923-2005）。无法利用的污水达到城镇污水处理厂污染物排放标准》（GB18918-2002）一级A标准后排放至荒漠戈壁。本项目生活污水排放量为1.84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/d，生活污水水质简单。因此本项目进入</w:t>
            </w:r>
            <w:r>
              <w:rPr>
                <w:rFonts w:hint="default" w:ascii="Times New Roman" w:hAnsi="Times New Roman" w:eastAsia="宋体" w:cs="Times New Roman"/>
                <w:color w:val="auto"/>
                <w:sz w:val="24"/>
                <w:szCs w:val="24"/>
                <w:highlight w:val="none"/>
                <w:lang w:eastAsia="zh-CN"/>
              </w:rPr>
              <w:t>昌吉市第二污水处理厂</w:t>
            </w:r>
            <w:r>
              <w:rPr>
                <w:rFonts w:hint="default" w:ascii="Times New Roman" w:hAnsi="Times New Roman" w:eastAsia="宋体" w:cs="Times New Roman"/>
                <w:color w:val="auto"/>
                <w:sz w:val="24"/>
                <w:szCs w:val="24"/>
                <w:highlight w:val="none"/>
              </w:rPr>
              <w:t>是可行的。</w:t>
            </w:r>
          </w:p>
          <w:p w14:paraId="36C913E9">
            <w:pPr>
              <w:adjustRightInd w:val="0"/>
              <w:snapToGrid w:val="0"/>
              <w:spacing w:line="360" w:lineRule="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声环境影响分析与评价</w:t>
            </w:r>
          </w:p>
          <w:p w14:paraId="05D8B6AC">
            <w:pPr>
              <w:keepNext w:val="0"/>
              <w:keepLines w:val="0"/>
              <w:pageBreakBefore w:val="0"/>
              <w:widowControl w:val="0"/>
              <w:kinsoku/>
              <w:wordWrap/>
              <w:overflowPunct/>
              <w:topLinePunct w:val="0"/>
              <w:autoSpaceDE/>
              <w:autoSpaceDN/>
              <w:bidi w:val="0"/>
              <w:adjustRightInd/>
              <w:snapToGrid/>
              <w:spacing w:beforeAutospacing="0" w:after="0" w:line="240" w:lineRule="auto"/>
              <w:ind w:left="0" w:leftChars="0" w:right="0" w:rightChars="0"/>
              <w:jc w:val="center"/>
              <w:textAlignment w:val="auto"/>
              <w:rPr>
                <w:rFonts w:hint="default" w:ascii="Times New Roman" w:hAnsi="Times New Roman" w:eastAsia="黑体" w:cs="Times New Roman"/>
                <w:b w:val="0"/>
                <w:bCs/>
                <w:snapToGrid w:val="0"/>
                <w:color w:val="auto"/>
                <w:sz w:val="21"/>
                <w:szCs w:val="21"/>
                <w:highlight w:val="none"/>
              </w:rPr>
            </w:pPr>
            <w:r>
              <w:rPr>
                <w:rFonts w:hint="default" w:ascii="Times New Roman" w:hAnsi="Times New Roman" w:eastAsia="黑体" w:cs="Times New Roman"/>
                <w:b w:val="0"/>
                <w:bCs/>
                <w:snapToGrid w:val="0"/>
                <w:color w:val="auto"/>
                <w:sz w:val="21"/>
                <w:szCs w:val="21"/>
                <w:highlight w:val="none"/>
              </w:rPr>
              <w:t>表</w:t>
            </w:r>
            <w:r>
              <w:rPr>
                <w:rFonts w:hint="default" w:ascii="Times New Roman" w:hAnsi="Times New Roman" w:eastAsia="黑体" w:cs="Times New Roman"/>
                <w:b w:val="0"/>
                <w:bCs/>
                <w:snapToGrid w:val="0"/>
                <w:color w:val="auto"/>
                <w:sz w:val="21"/>
                <w:szCs w:val="21"/>
                <w:highlight w:val="none"/>
                <w:lang w:val="en-US" w:eastAsia="zh-CN"/>
              </w:rPr>
              <w:t>4-6</w:t>
            </w:r>
            <w:r>
              <w:rPr>
                <w:rFonts w:hint="default" w:ascii="Times New Roman" w:hAnsi="Times New Roman" w:eastAsia="黑体" w:cs="Times New Roman"/>
                <w:b w:val="0"/>
                <w:bCs/>
                <w:snapToGrid w:val="0"/>
                <w:color w:val="auto"/>
                <w:sz w:val="21"/>
                <w:szCs w:val="21"/>
                <w:highlight w:val="none"/>
              </w:rPr>
              <w:t>主要设备噪声一览表</w:t>
            </w:r>
          </w:p>
          <w:tbl>
            <w:tblPr>
              <w:tblStyle w:val="24"/>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36"/>
              <w:gridCol w:w="959"/>
              <w:gridCol w:w="865"/>
              <w:gridCol w:w="797"/>
              <w:gridCol w:w="2189"/>
              <w:gridCol w:w="901"/>
            </w:tblGrid>
            <w:tr w14:paraId="0CB88F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47EA6F63">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701" w:type="pct"/>
                  <w:tcBorders>
                    <w:tl2br w:val="nil"/>
                    <w:tr2bl w:val="nil"/>
                  </w:tcBorders>
                  <w:noWrap w:val="0"/>
                  <w:vAlign w:val="center"/>
                </w:tcPr>
                <w:p w14:paraId="0BC202AC">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名称</w:t>
                  </w:r>
                </w:p>
              </w:tc>
              <w:tc>
                <w:tcPr>
                  <w:tcW w:w="649" w:type="pct"/>
                  <w:tcBorders>
                    <w:tl2br w:val="nil"/>
                    <w:tr2bl w:val="nil"/>
                  </w:tcBorders>
                  <w:noWrap w:val="0"/>
                  <w:vAlign w:val="center"/>
                </w:tcPr>
                <w:p w14:paraId="5B92B983">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w:t>
                  </w:r>
                </w:p>
              </w:tc>
              <w:tc>
                <w:tcPr>
                  <w:tcW w:w="585" w:type="pct"/>
                  <w:tcBorders>
                    <w:tl2br w:val="nil"/>
                    <w:tr2bl w:val="nil"/>
                  </w:tcBorders>
                  <w:noWrap w:val="0"/>
                  <w:vAlign w:val="center"/>
                </w:tcPr>
                <w:p w14:paraId="5AD11BC5">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d</w:t>
                  </w:r>
                  <w:r>
                    <w:rPr>
                      <w:rFonts w:hint="default" w:ascii="Times New Roman" w:hAnsi="Times New Roman" w:cs="Times New Roman"/>
                      <w:color w:val="auto"/>
                      <w:sz w:val="21"/>
                      <w:szCs w:val="21"/>
                      <w:highlight w:val="none"/>
                    </w:rPr>
                    <w:t>B（A）</w:t>
                  </w:r>
                </w:p>
              </w:tc>
              <w:tc>
                <w:tcPr>
                  <w:tcW w:w="539" w:type="pct"/>
                  <w:tcBorders>
                    <w:tl2br w:val="nil"/>
                    <w:tr2bl w:val="nil"/>
                  </w:tcBorders>
                  <w:noWrap w:val="0"/>
                  <w:vAlign w:val="center"/>
                </w:tcPr>
                <w:p w14:paraId="413F8E98">
                  <w:pPr>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降噪效果</w:t>
                  </w:r>
                </w:p>
              </w:tc>
              <w:tc>
                <w:tcPr>
                  <w:tcW w:w="1481" w:type="pct"/>
                  <w:tcBorders>
                    <w:tl2br w:val="nil"/>
                    <w:tr2bl w:val="nil"/>
                  </w:tcBorders>
                  <w:noWrap w:val="0"/>
                  <w:vAlign w:val="center"/>
                </w:tcPr>
                <w:p w14:paraId="1B87613E">
                  <w:pPr>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治理措施</w:t>
                  </w:r>
                </w:p>
              </w:tc>
              <w:tc>
                <w:tcPr>
                  <w:tcW w:w="610" w:type="pct"/>
                  <w:tcBorders>
                    <w:tl2br w:val="nil"/>
                    <w:tr2bl w:val="nil"/>
                  </w:tcBorders>
                  <w:noWrap w:val="0"/>
                  <w:vAlign w:val="center"/>
                </w:tcPr>
                <w:p w14:paraId="48F51934">
                  <w:pPr>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降噪后噪声值</w:t>
                  </w:r>
                </w:p>
              </w:tc>
            </w:tr>
            <w:tr w14:paraId="3FFC7F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3EAD8E73">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701" w:type="pct"/>
                  <w:tcBorders>
                    <w:tl2br w:val="nil"/>
                    <w:tr2bl w:val="nil"/>
                  </w:tcBorders>
                  <w:noWrap w:val="0"/>
                  <w:vAlign w:val="center"/>
                </w:tcPr>
                <w:p w14:paraId="27A01924">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上料机</w:t>
                  </w:r>
                </w:p>
              </w:tc>
              <w:tc>
                <w:tcPr>
                  <w:tcW w:w="649" w:type="pct"/>
                  <w:tcBorders>
                    <w:tl2br w:val="nil"/>
                    <w:tr2bl w:val="nil"/>
                  </w:tcBorders>
                  <w:noWrap w:val="0"/>
                  <w:vAlign w:val="center"/>
                </w:tcPr>
                <w:p w14:paraId="2D21586B">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台</w:t>
                  </w:r>
                </w:p>
              </w:tc>
              <w:tc>
                <w:tcPr>
                  <w:tcW w:w="585" w:type="pct"/>
                  <w:tcBorders>
                    <w:tl2br w:val="nil"/>
                    <w:tr2bl w:val="nil"/>
                  </w:tcBorders>
                  <w:noWrap w:val="0"/>
                  <w:vAlign w:val="center"/>
                </w:tcPr>
                <w:p w14:paraId="060D8C07">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w:t>
                  </w:r>
                </w:p>
              </w:tc>
              <w:tc>
                <w:tcPr>
                  <w:tcW w:w="539" w:type="pct"/>
                  <w:tcBorders>
                    <w:tl2br w:val="nil"/>
                    <w:tr2bl w:val="nil"/>
                  </w:tcBorders>
                  <w:noWrap w:val="0"/>
                  <w:vAlign w:val="center"/>
                </w:tcPr>
                <w:p w14:paraId="40FBFA0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25</w:t>
                  </w:r>
                </w:p>
              </w:tc>
              <w:tc>
                <w:tcPr>
                  <w:tcW w:w="1481" w:type="pct"/>
                  <w:tcBorders>
                    <w:tl2br w:val="nil"/>
                    <w:tr2bl w:val="nil"/>
                  </w:tcBorders>
                  <w:noWrap w:val="0"/>
                  <w:vAlign w:val="center"/>
                </w:tcPr>
                <w:p w14:paraId="664039E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基础减震，厂房隔声</w:t>
                  </w:r>
                </w:p>
              </w:tc>
              <w:tc>
                <w:tcPr>
                  <w:tcW w:w="610" w:type="pct"/>
                  <w:tcBorders>
                    <w:tl2br w:val="nil"/>
                    <w:tr2bl w:val="nil"/>
                  </w:tcBorders>
                  <w:noWrap w:val="0"/>
                  <w:vAlign w:val="center"/>
                </w:tcPr>
                <w:p w14:paraId="306BC984">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r>
            <w:tr w14:paraId="56948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31844C85">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701" w:type="pct"/>
                  <w:tcBorders>
                    <w:tl2br w:val="nil"/>
                    <w:tr2bl w:val="nil"/>
                  </w:tcBorders>
                  <w:noWrap w:val="0"/>
                  <w:vAlign w:val="center"/>
                </w:tcPr>
                <w:p w14:paraId="45614C6D">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挤出机</w:t>
                  </w:r>
                </w:p>
              </w:tc>
              <w:tc>
                <w:tcPr>
                  <w:tcW w:w="649" w:type="pct"/>
                  <w:tcBorders>
                    <w:tl2br w:val="nil"/>
                    <w:tr2bl w:val="nil"/>
                  </w:tcBorders>
                  <w:noWrap w:val="0"/>
                  <w:vAlign w:val="center"/>
                </w:tcPr>
                <w:p w14:paraId="022BE253">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台</w:t>
                  </w:r>
                </w:p>
              </w:tc>
              <w:tc>
                <w:tcPr>
                  <w:tcW w:w="585" w:type="pct"/>
                  <w:tcBorders>
                    <w:tl2br w:val="nil"/>
                    <w:tr2bl w:val="nil"/>
                  </w:tcBorders>
                  <w:noWrap w:val="0"/>
                  <w:vAlign w:val="center"/>
                </w:tcPr>
                <w:p w14:paraId="18A772E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w:t>
                  </w:r>
                </w:p>
              </w:tc>
              <w:tc>
                <w:tcPr>
                  <w:tcW w:w="539" w:type="pct"/>
                  <w:tcBorders>
                    <w:tl2br w:val="nil"/>
                    <w:tr2bl w:val="nil"/>
                  </w:tcBorders>
                  <w:noWrap w:val="0"/>
                  <w:vAlign w:val="center"/>
                </w:tcPr>
                <w:p w14:paraId="0B450B2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25</w:t>
                  </w:r>
                </w:p>
              </w:tc>
              <w:tc>
                <w:tcPr>
                  <w:tcW w:w="1481" w:type="pct"/>
                  <w:tcBorders>
                    <w:tl2br w:val="nil"/>
                    <w:tr2bl w:val="nil"/>
                  </w:tcBorders>
                  <w:noWrap w:val="0"/>
                  <w:vAlign w:val="center"/>
                </w:tcPr>
                <w:p w14:paraId="09DB007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基础减震，厂房隔声</w:t>
                  </w:r>
                </w:p>
              </w:tc>
              <w:tc>
                <w:tcPr>
                  <w:tcW w:w="610" w:type="pct"/>
                  <w:tcBorders>
                    <w:tl2br w:val="nil"/>
                    <w:tr2bl w:val="nil"/>
                  </w:tcBorders>
                  <w:noWrap w:val="0"/>
                  <w:vAlign w:val="center"/>
                </w:tcPr>
                <w:p w14:paraId="49A205B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r>
            <w:tr w14:paraId="706AF5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7C15ED7B">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701" w:type="pct"/>
                  <w:tcBorders>
                    <w:tl2br w:val="nil"/>
                    <w:tr2bl w:val="nil"/>
                  </w:tcBorders>
                  <w:noWrap w:val="0"/>
                  <w:vAlign w:val="center"/>
                </w:tcPr>
                <w:p w14:paraId="6F8BFE2B">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牵引机</w:t>
                  </w:r>
                </w:p>
              </w:tc>
              <w:tc>
                <w:tcPr>
                  <w:tcW w:w="649" w:type="pct"/>
                  <w:tcBorders>
                    <w:tl2br w:val="nil"/>
                    <w:tr2bl w:val="nil"/>
                  </w:tcBorders>
                  <w:noWrap w:val="0"/>
                  <w:vAlign w:val="center"/>
                </w:tcPr>
                <w:p w14:paraId="5480E1A6">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台</w:t>
                  </w:r>
                </w:p>
              </w:tc>
              <w:tc>
                <w:tcPr>
                  <w:tcW w:w="585" w:type="pct"/>
                  <w:tcBorders>
                    <w:tl2br w:val="nil"/>
                    <w:tr2bl w:val="nil"/>
                  </w:tcBorders>
                  <w:noWrap w:val="0"/>
                  <w:vAlign w:val="center"/>
                </w:tcPr>
                <w:p w14:paraId="60AAA86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w:t>
                  </w:r>
                </w:p>
              </w:tc>
              <w:tc>
                <w:tcPr>
                  <w:tcW w:w="539" w:type="pct"/>
                  <w:tcBorders>
                    <w:tl2br w:val="nil"/>
                    <w:tr2bl w:val="nil"/>
                  </w:tcBorders>
                  <w:noWrap w:val="0"/>
                  <w:vAlign w:val="center"/>
                </w:tcPr>
                <w:p w14:paraId="77D7CE4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25</w:t>
                  </w:r>
                </w:p>
              </w:tc>
              <w:tc>
                <w:tcPr>
                  <w:tcW w:w="1481" w:type="pct"/>
                  <w:tcBorders>
                    <w:tl2br w:val="nil"/>
                    <w:tr2bl w:val="nil"/>
                  </w:tcBorders>
                  <w:noWrap w:val="0"/>
                  <w:vAlign w:val="center"/>
                </w:tcPr>
                <w:p w14:paraId="5C4F7B1C">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基础减震，厂房隔声</w:t>
                  </w:r>
                </w:p>
              </w:tc>
              <w:tc>
                <w:tcPr>
                  <w:tcW w:w="610" w:type="pct"/>
                  <w:tcBorders>
                    <w:tl2br w:val="nil"/>
                    <w:tr2bl w:val="nil"/>
                  </w:tcBorders>
                  <w:noWrap w:val="0"/>
                  <w:vAlign w:val="center"/>
                </w:tcPr>
                <w:p w14:paraId="5B28428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r>
            <w:tr w14:paraId="43A3E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29C95B3F">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701" w:type="pct"/>
                  <w:tcBorders>
                    <w:tl2br w:val="nil"/>
                    <w:tr2bl w:val="nil"/>
                  </w:tcBorders>
                  <w:noWrap w:val="0"/>
                  <w:vAlign w:val="center"/>
                </w:tcPr>
                <w:p w14:paraId="3F31CBE2">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切割机</w:t>
                  </w:r>
                </w:p>
              </w:tc>
              <w:tc>
                <w:tcPr>
                  <w:tcW w:w="649" w:type="pct"/>
                  <w:tcBorders>
                    <w:tl2br w:val="nil"/>
                    <w:tr2bl w:val="nil"/>
                  </w:tcBorders>
                  <w:noWrap w:val="0"/>
                  <w:vAlign w:val="center"/>
                </w:tcPr>
                <w:p w14:paraId="616AB749">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套</w:t>
                  </w:r>
                </w:p>
              </w:tc>
              <w:tc>
                <w:tcPr>
                  <w:tcW w:w="585" w:type="pct"/>
                  <w:tcBorders>
                    <w:tl2br w:val="nil"/>
                    <w:tr2bl w:val="nil"/>
                  </w:tcBorders>
                  <w:noWrap w:val="0"/>
                  <w:vAlign w:val="center"/>
                </w:tcPr>
                <w:p w14:paraId="211314D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w:t>
                  </w:r>
                </w:p>
              </w:tc>
              <w:tc>
                <w:tcPr>
                  <w:tcW w:w="539" w:type="pct"/>
                  <w:tcBorders>
                    <w:tl2br w:val="nil"/>
                    <w:tr2bl w:val="nil"/>
                  </w:tcBorders>
                  <w:noWrap w:val="0"/>
                  <w:vAlign w:val="center"/>
                </w:tcPr>
                <w:p w14:paraId="19DC323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25</w:t>
                  </w:r>
                </w:p>
              </w:tc>
              <w:tc>
                <w:tcPr>
                  <w:tcW w:w="1481" w:type="pct"/>
                  <w:tcBorders>
                    <w:tl2br w:val="nil"/>
                    <w:tr2bl w:val="nil"/>
                  </w:tcBorders>
                  <w:noWrap w:val="0"/>
                  <w:vAlign w:val="center"/>
                </w:tcPr>
                <w:p w14:paraId="6679B16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基础减震，厂房隔声</w:t>
                  </w:r>
                </w:p>
              </w:tc>
              <w:tc>
                <w:tcPr>
                  <w:tcW w:w="610" w:type="pct"/>
                  <w:tcBorders>
                    <w:tl2br w:val="nil"/>
                    <w:tr2bl w:val="nil"/>
                  </w:tcBorders>
                  <w:noWrap w:val="0"/>
                  <w:vAlign w:val="center"/>
                </w:tcPr>
                <w:p w14:paraId="3D76024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r>
            <w:tr w14:paraId="38C0C2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431" w:type="pct"/>
                  <w:tcBorders>
                    <w:tl2br w:val="nil"/>
                    <w:tr2bl w:val="nil"/>
                  </w:tcBorders>
                  <w:noWrap w:val="0"/>
                  <w:vAlign w:val="center"/>
                </w:tcPr>
                <w:p w14:paraId="45AF3106">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701" w:type="pct"/>
                  <w:tcBorders>
                    <w:tl2br w:val="nil"/>
                    <w:tr2bl w:val="nil"/>
                  </w:tcBorders>
                  <w:noWrap w:val="0"/>
                  <w:vAlign w:val="center"/>
                </w:tcPr>
                <w:p w14:paraId="44A742C4">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破碎机</w:t>
                  </w:r>
                </w:p>
              </w:tc>
              <w:tc>
                <w:tcPr>
                  <w:tcW w:w="649" w:type="pct"/>
                  <w:tcBorders>
                    <w:tl2br w:val="nil"/>
                    <w:tr2bl w:val="nil"/>
                  </w:tcBorders>
                  <w:noWrap w:val="0"/>
                  <w:vAlign w:val="center"/>
                </w:tcPr>
                <w:p w14:paraId="111C17E1">
                  <w:pPr>
                    <w:pStyle w:val="53"/>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1台</w:t>
                  </w:r>
                </w:p>
              </w:tc>
              <w:tc>
                <w:tcPr>
                  <w:tcW w:w="585" w:type="pct"/>
                  <w:tcBorders>
                    <w:tl2br w:val="nil"/>
                    <w:tr2bl w:val="nil"/>
                  </w:tcBorders>
                  <w:noWrap w:val="0"/>
                  <w:vAlign w:val="center"/>
                </w:tcPr>
                <w:p w14:paraId="7F7DC0A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95</w:t>
                  </w:r>
                </w:p>
              </w:tc>
              <w:tc>
                <w:tcPr>
                  <w:tcW w:w="539" w:type="pct"/>
                  <w:tcBorders>
                    <w:tl2br w:val="nil"/>
                    <w:tr2bl w:val="nil"/>
                  </w:tcBorders>
                  <w:noWrap w:val="0"/>
                  <w:vAlign w:val="center"/>
                </w:tcPr>
                <w:p w14:paraId="0D70ABB5">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25</w:t>
                  </w:r>
                </w:p>
              </w:tc>
              <w:tc>
                <w:tcPr>
                  <w:tcW w:w="1481" w:type="pct"/>
                  <w:tcBorders>
                    <w:tl2br w:val="nil"/>
                    <w:tr2bl w:val="nil"/>
                  </w:tcBorders>
                  <w:noWrap w:val="0"/>
                  <w:vAlign w:val="center"/>
                </w:tcPr>
                <w:p w14:paraId="27AF0579">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基础减震，厂房隔声</w:t>
                  </w:r>
                </w:p>
              </w:tc>
              <w:tc>
                <w:tcPr>
                  <w:tcW w:w="610" w:type="pct"/>
                  <w:tcBorders>
                    <w:tl2br w:val="nil"/>
                    <w:tr2bl w:val="nil"/>
                  </w:tcBorders>
                  <w:noWrap w:val="0"/>
                  <w:vAlign w:val="center"/>
                </w:tcPr>
                <w:p w14:paraId="4392897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70</w:t>
                  </w:r>
                </w:p>
              </w:tc>
            </w:tr>
          </w:tbl>
          <w:p w14:paraId="68D1B73E">
            <w:pPr>
              <w:keepNext w:val="0"/>
              <w:keepLines w:val="0"/>
              <w:pageBreakBefore w:val="0"/>
              <w:widowControl w:val="0"/>
              <w:kinsoku/>
              <w:wordWrap/>
              <w:overflowPunct/>
              <w:topLinePunct w:val="0"/>
              <w:autoSpaceDE/>
              <w:autoSpaceDN/>
              <w:bidi w:val="0"/>
              <w:adjustRightInd w:val="0"/>
              <w:snapToGrid/>
              <w:spacing w:after="0"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3.</w:t>
            </w: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预测模式</w:t>
            </w:r>
          </w:p>
          <w:p w14:paraId="469C6840">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（1）计算某个室内靠近围护结构处的倍频带声压级：</w:t>
            </w:r>
          </w:p>
          <w:p w14:paraId="013371BA">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bookmarkStart w:id="3" w:name="_Toc91387362"/>
            <w:r>
              <w:rPr>
                <w:rFonts w:hint="default" w:ascii="Times New Roman" w:hAnsi="Times New Roman" w:cs="Times New Roman"/>
                <w:color w:val="auto"/>
                <w:sz w:val="24"/>
                <w:szCs w:val="24"/>
                <w:highlight w:val="none"/>
              </w:rPr>
              <w:object>
                <v:shape id="_x0000_i1025" o:spt="75" type="#_x0000_t75" style="height:22.8pt;width:189.9pt;" o:ole="t" fillcolor="#6D6D6D" filled="f" o:preferrelative="t" stroked="f" coordsize="21600,21600">
                  <v:path/>
                  <v:fill on="f" focussize="0,0"/>
                  <v:stroke on="f"/>
                  <v:imagedata r:id="rId18" o:title=""/>
                  <o:lock v:ext="edit" grouping="f" rotation="f" text="f" aspectratio="t"/>
                  <w10:wrap type="none"/>
                  <w10:anchorlock/>
                </v:shape>
                <o:OLEObject Type="Embed" ProgID="Equation.3" ShapeID="_x0000_i1025" DrawAspect="Content" ObjectID="_1468075725" r:id="rId17">
                  <o:LockedField>false</o:LockedField>
                </o:OLEObject>
              </w:object>
            </w:r>
            <w:bookmarkEnd w:id="3"/>
          </w:p>
          <w:p w14:paraId="46BF05F7">
            <w:pPr>
              <w:keepNext w:val="0"/>
              <w:keepLines w:val="0"/>
              <w:pageBreakBefore w:val="0"/>
              <w:widowControl w:val="0"/>
              <w:kinsoku/>
              <w:wordWrap/>
              <w:overflowPunct/>
              <w:topLinePunct w:val="0"/>
              <w:autoSpaceDE/>
              <w:autoSpaceDN/>
              <w:bidi w:val="0"/>
              <w:adjustRightInd w:val="0"/>
              <w:snapToGrid/>
              <w:spacing w:after="0" w:line="360" w:lineRule="auto"/>
              <w:ind w:firstLine="840" w:firstLineChars="350"/>
              <w:textAlignment w:val="auto"/>
              <w:rPr>
                <w:rFonts w:hint="default" w:ascii="Times New Roman" w:hAnsi="Times New Roman" w:cs="Times New Roman"/>
                <w:color w:val="auto"/>
                <w:sz w:val="24"/>
                <w:szCs w:val="24"/>
                <w:highlight w:val="none"/>
              </w:rPr>
            </w:pPr>
            <w:bookmarkStart w:id="4" w:name="_Toc91387363"/>
            <w:r>
              <w:rPr>
                <w:rFonts w:hint="default" w:ascii="Times New Roman" w:hAnsi="Times New Roman" w:cs="Times New Roman"/>
                <w:color w:val="auto"/>
                <w:sz w:val="24"/>
                <w:szCs w:val="24"/>
                <w:highlight w:val="none"/>
              </w:rPr>
              <w:t>式中：</w:t>
            </w:r>
            <w:bookmarkEnd w:id="4"/>
            <w:r>
              <w:rPr>
                <w:rFonts w:hint="default" w:ascii="Times New Roman" w:hAnsi="Times New Roman" w:cs="Times New Roman"/>
                <w:color w:val="auto"/>
                <w:sz w:val="24"/>
                <w:szCs w:val="24"/>
                <w:highlight w:val="none"/>
              </w:rPr>
              <w:t>L</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——某个室内声源在靠近围护结构处产生的倍频带声压级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w:t>
            </w:r>
          </w:p>
          <w:p w14:paraId="681DDFE3">
            <w:pPr>
              <w:keepNext w:val="0"/>
              <w:keepLines w:val="0"/>
              <w:pageBreakBefore w:val="0"/>
              <w:widowControl w:val="0"/>
              <w:kinsoku/>
              <w:wordWrap/>
              <w:overflowPunct/>
              <w:topLinePunct w:val="0"/>
              <w:autoSpaceDE/>
              <w:autoSpaceDN/>
              <w:bidi w:val="0"/>
              <w:adjustRightInd w:val="0"/>
              <w:snapToGrid/>
              <w:spacing w:after="0" w:line="360" w:lineRule="auto"/>
              <w:ind w:firstLine="1560" w:firstLineChars="6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w:t>
            </w:r>
            <w:r>
              <w:rPr>
                <w:rFonts w:hint="default" w:ascii="Times New Roman" w:hAnsi="Times New Roman" w:cs="Times New Roman"/>
                <w:color w:val="auto"/>
                <w:sz w:val="24"/>
                <w:szCs w:val="24"/>
                <w:highlight w:val="none"/>
                <w:vertAlign w:val="subscript"/>
              </w:rPr>
              <w:t>w1</w:t>
            </w:r>
            <w:r>
              <w:rPr>
                <w:rFonts w:hint="default" w:ascii="Times New Roman" w:hAnsi="Times New Roman" w:cs="Times New Roman"/>
                <w:color w:val="auto"/>
                <w:sz w:val="24"/>
                <w:szCs w:val="24"/>
                <w:highlight w:val="none"/>
              </w:rPr>
              <w:t>——某个声源的倍频带声功率级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w:t>
            </w:r>
          </w:p>
          <w:p w14:paraId="1C654554">
            <w:pPr>
              <w:keepNext w:val="0"/>
              <w:keepLines w:val="0"/>
              <w:pageBreakBefore w:val="0"/>
              <w:widowControl w:val="0"/>
              <w:kinsoku/>
              <w:wordWrap/>
              <w:overflowPunct/>
              <w:topLinePunct w:val="0"/>
              <w:autoSpaceDE/>
              <w:autoSpaceDN/>
              <w:bidi w:val="0"/>
              <w:adjustRightInd w:val="0"/>
              <w:snapToGrid/>
              <w:spacing w:after="0" w:line="360" w:lineRule="auto"/>
              <w:ind w:firstLine="1560" w:firstLineChars="6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——室内某个声源与靠近围护结构处的距离</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m；</w:t>
            </w:r>
          </w:p>
          <w:p w14:paraId="4FE6BCEF">
            <w:pPr>
              <w:keepNext w:val="0"/>
              <w:keepLines w:val="0"/>
              <w:pageBreakBefore w:val="0"/>
              <w:widowControl w:val="0"/>
              <w:kinsoku/>
              <w:wordWrap/>
              <w:overflowPunct/>
              <w:topLinePunct w:val="0"/>
              <w:autoSpaceDE/>
              <w:autoSpaceDN/>
              <w:bidi w:val="0"/>
              <w:adjustRightInd w:val="0"/>
              <w:snapToGrid/>
              <w:spacing w:after="0" w:line="360" w:lineRule="auto"/>
              <w:ind w:firstLine="1560" w:firstLineChars="6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R——房间常数m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p w14:paraId="0E22BAEB">
            <w:pPr>
              <w:keepNext w:val="0"/>
              <w:keepLines w:val="0"/>
              <w:pageBreakBefore w:val="0"/>
              <w:widowControl w:val="0"/>
              <w:kinsoku/>
              <w:wordWrap/>
              <w:overflowPunct/>
              <w:topLinePunct w:val="0"/>
              <w:autoSpaceDE/>
              <w:autoSpaceDN/>
              <w:bidi w:val="0"/>
              <w:adjustRightInd w:val="0"/>
              <w:snapToGrid/>
              <w:spacing w:after="0" w:line="360" w:lineRule="auto"/>
              <w:ind w:firstLine="1560" w:firstLineChars="6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Q——方向因子</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无量纲值。</w:t>
            </w:r>
          </w:p>
          <w:p w14:paraId="5F4BD32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（2）计算出所有室内声源在靠近围护结构处产生的总倍频带声压级：</w:t>
            </w:r>
          </w:p>
          <w:p w14:paraId="0F817CD1">
            <w:pPr>
              <w:keepNext w:val="0"/>
              <w:keepLines w:val="0"/>
              <w:pageBreakBefore w:val="0"/>
              <w:widowControl w:val="0"/>
              <w:kinsoku/>
              <w:wordWrap/>
              <w:overflowPunct/>
              <w:topLinePunct w:val="0"/>
              <w:autoSpaceDE/>
              <w:autoSpaceDN/>
              <w:bidi w:val="0"/>
              <w:adjustRightInd w:val="0"/>
              <w:snapToGrid/>
              <w:spacing w:after="0" w:line="360" w:lineRule="auto"/>
              <w:ind w:firstLine="2280" w:firstLineChars="9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26" o:spt="75" type="#_x0000_t75" style="height:39.9pt;width:146.25pt;" o:ole="t" fillcolor="#6D6D6D" filled="f" o:preferrelative="t" stroked="f" coordsize="21600,21600">
                  <v:path/>
                  <v:fill on="f" focussize="0,0"/>
                  <v:stroke on="f"/>
                  <v:imagedata r:id="rId20" o:title=""/>
                  <o:lock v:ext="edit" grouping="f" rotation="f" text="f" aspectratio="t"/>
                  <w10:wrap type="none"/>
                  <w10:anchorlock/>
                </v:shape>
                <o:OLEObject Type="Embed" ProgID="Equation.3" ShapeID="_x0000_i1026" DrawAspect="Content" ObjectID="_1468075726" r:id="rId19">
                  <o:LockedField>false</o:LockedField>
                </o:OLEObject>
              </w:object>
            </w:r>
          </w:p>
          <w:p w14:paraId="0162683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（3）计算出室外靠近围护结构处的声压级：</w:t>
            </w:r>
          </w:p>
          <w:p w14:paraId="21197303">
            <w:pPr>
              <w:keepNext w:val="0"/>
              <w:keepLines w:val="0"/>
              <w:pageBreakBefore w:val="0"/>
              <w:widowControl w:val="0"/>
              <w:kinsoku/>
              <w:wordWrap/>
              <w:overflowPunct/>
              <w:topLinePunct w:val="0"/>
              <w:autoSpaceDE/>
              <w:autoSpaceDN/>
              <w:bidi w:val="0"/>
              <w:adjustRightInd w:val="0"/>
              <w:snapToGrid/>
              <w:spacing w:after="0" w:line="360" w:lineRule="auto"/>
              <w:ind w:firstLine="2400" w:firstLineChars="10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27" o:spt="75" type="#_x0000_t75" style="height:17pt;width:121pt;" o:ole="t" fillcolor="#6D6D6D" filled="f" o:preferrelative="t" stroked="f" coordsize="21600,21600">
                  <v:path/>
                  <v:fill on="f" focussize="0,0"/>
                  <v:stroke on="f"/>
                  <v:imagedata r:id="rId22" o:title=""/>
                  <o:lock v:ext="edit" grouping="f" rotation="f" text="f" aspectratio="t"/>
                  <w10:wrap type="none"/>
                  <w10:anchorlock/>
                </v:shape>
                <o:OLEObject Type="Embed" ProgID="Equation.3" ShapeID="_x0000_i1027" DrawAspect="Content" ObjectID="_1468075727" r:id="rId21">
                  <o:LockedField>false</o:LockedField>
                </o:OLEObject>
              </w:object>
            </w:r>
          </w:p>
          <w:p w14:paraId="297C76B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（4）将室外声级L</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(T)和透声面积换算成等效的室外声源</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计算出等效声源第i个倍频带的声功率级L</w:t>
            </w:r>
            <w:r>
              <w:rPr>
                <w:rFonts w:hint="default" w:ascii="Times New Roman" w:hAnsi="Times New Roman" w:cs="Times New Roman"/>
                <w:color w:val="auto"/>
                <w:sz w:val="24"/>
                <w:szCs w:val="24"/>
                <w:highlight w:val="none"/>
                <w:vertAlign w:val="subscript"/>
              </w:rPr>
              <w:t>w</w:t>
            </w:r>
            <w:r>
              <w:rPr>
                <w:rFonts w:hint="default" w:ascii="Times New Roman" w:hAnsi="Times New Roman" w:cs="Times New Roman"/>
                <w:color w:val="auto"/>
                <w:sz w:val="24"/>
                <w:szCs w:val="24"/>
                <w:highlight w:val="none"/>
                <w:vertAlign w:val="subscript"/>
              </w:rPr>
              <w:softHyphen/>
            </w:r>
            <w:r>
              <w:rPr>
                <w:rFonts w:hint="default" w:ascii="Times New Roman" w:hAnsi="Times New Roman" w:cs="Times New Roman"/>
                <w:color w:val="auto"/>
                <w:sz w:val="24"/>
                <w:szCs w:val="24"/>
                <w:highlight w:val="none"/>
                <w:vertAlign w:val="subscript"/>
              </w:rPr>
              <w:softHyphen/>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p>
          <w:p w14:paraId="6FD250BE">
            <w:pPr>
              <w:keepNext w:val="0"/>
              <w:keepLines w:val="0"/>
              <w:pageBreakBefore w:val="0"/>
              <w:widowControl w:val="0"/>
              <w:kinsoku/>
              <w:wordWrap/>
              <w:overflowPunct/>
              <w:topLinePunct w:val="0"/>
              <w:autoSpaceDE/>
              <w:autoSpaceDN/>
              <w:bidi w:val="0"/>
              <w:adjustRightInd w:val="0"/>
              <w:snapToGrid/>
              <w:spacing w:after="0" w:line="360" w:lineRule="auto"/>
              <w:ind w:firstLine="2400" w:firstLineChars="10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28" o:spt="75" type="#_x0000_t75" style="height:21.45pt;width:123.9pt;" o:ole="t" fillcolor="#6D6D6D" filled="f" o:preferrelative="t" stroked="f" coordsize="21600,21600">
                  <v:path/>
                  <v:fill on="f" focussize="0,0"/>
                  <v:stroke on="f"/>
                  <v:imagedata r:id="rId24" o:title=""/>
                  <o:lock v:ext="edit" grouping="f" rotation="f" text="f" aspectratio="t"/>
                  <w10:wrap type="none"/>
                  <w10:anchorlock/>
                </v:shape>
                <o:OLEObject Type="Embed" ProgID="Equation.3" ShapeID="_x0000_i1028" DrawAspect="Content" ObjectID="_1468075728" r:id="rId23">
                  <o:LockedField>false</o:LockedField>
                </o:OLEObject>
              </w:object>
            </w:r>
          </w:p>
          <w:p w14:paraId="6670287C">
            <w:pPr>
              <w:keepNext w:val="0"/>
              <w:keepLines w:val="0"/>
              <w:pageBreakBefore w:val="0"/>
              <w:widowControl w:val="0"/>
              <w:kinsoku/>
              <w:wordWrap/>
              <w:overflowPunct/>
              <w:topLinePunct w:val="0"/>
              <w:autoSpaceDE/>
              <w:autoSpaceDN/>
              <w:bidi w:val="0"/>
              <w:adjustRightInd w:val="0"/>
              <w:snapToGrid/>
              <w:spacing w:after="0" w:line="360" w:lineRule="auto"/>
              <w:ind w:firstLine="1080" w:firstLineChars="4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式中：S为透声面积</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p w14:paraId="1941D79F">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（5）等效室外声源的位置为围护结构的位置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其倍频带声功率级为Lw</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由此按室外声源方法计算等效室外声源在预测点产生的声级。</w:t>
            </w:r>
          </w:p>
          <w:p w14:paraId="392B19A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（6）计算某个声源在预测点的倍频带声压级：</w:t>
            </w:r>
          </w:p>
          <w:p w14:paraId="08E44047">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29" o:spt="75" type="#_x0000_t75" style="height:46.5pt;width:151.7pt;" o:ole="t" fillcolor="#6D6D6D" filled="f" o:preferrelative="t" stroked="f" coordsize="21600,21600">
                  <v:path/>
                  <v:fill on="f" focussize="0,0"/>
                  <v:stroke on="f"/>
                  <v:imagedata r:id="rId26" o:title=""/>
                  <o:lock v:ext="edit" grouping="f" rotation="f" text="f" aspectratio="t"/>
                  <w10:wrap type="none"/>
                  <w10:anchorlock/>
                </v:shape>
                <o:OLEObject Type="Embed" ProgID="Equation.3" ShapeID="_x0000_i1029" DrawAspect="Content" ObjectID="_1468075729" r:id="rId25">
                  <o:LockedField>false</o:LockedField>
                </o:OLEObject>
              </w:object>
            </w:r>
          </w:p>
          <w:p w14:paraId="317B6900">
            <w:pPr>
              <w:keepNext w:val="0"/>
              <w:keepLines w:val="0"/>
              <w:pageBreakBefore w:val="0"/>
              <w:widowControl w:val="0"/>
              <w:kinsoku/>
              <w:wordWrap/>
              <w:overflowPunct/>
              <w:topLinePunct w:val="0"/>
              <w:autoSpaceDE/>
              <w:autoSpaceDN/>
              <w:bidi w:val="0"/>
              <w:adjustRightInd w:val="0"/>
              <w:snapToGrid/>
              <w:spacing w:after="0" w:line="360" w:lineRule="auto"/>
              <w:ind w:firstLine="1320" w:firstLineChars="5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式中：L(r)——点声源在预测点产生的倍频带声压级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w:t>
            </w:r>
          </w:p>
          <w:p w14:paraId="6B2B521A">
            <w:pPr>
              <w:keepNext w:val="0"/>
              <w:keepLines w:val="0"/>
              <w:pageBreakBefore w:val="0"/>
              <w:widowControl w:val="0"/>
              <w:kinsoku/>
              <w:wordWrap/>
              <w:overflowPunct/>
              <w:topLinePunct w:val="0"/>
              <w:autoSpaceDE/>
              <w:autoSpaceDN/>
              <w:bidi w:val="0"/>
              <w:adjustRightInd w:val="0"/>
              <w:snapToGrid/>
              <w:spacing w:after="0" w:line="360" w:lineRule="auto"/>
              <w:ind w:firstLine="2040" w:firstLineChars="8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)——参考位置r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处的倍频带声压级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w:t>
            </w:r>
          </w:p>
          <w:p w14:paraId="64F5A6E4">
            <w:pPr>
              <w:keepNext w:val="0"/>
              <w:keepLines w:val="0"/>
              <w:pageBreakBefore w:val="0"/>
              <w:widowControl w:val="0"/>
              <w:kinsoku/>
              <w:wordWrap/>
              <w:overflowPunct/>
              <w:topLinePunct w:val="0"/>
              <w:autoSpaceDE/>
              <w:autoSpaceDN/>
              <w:bidi w:val="0"/>
              <w:adjustRightInd w:val="0"/>
              <w:snapToGrid/>
              <w:spacing w:after="0" w:line="360" w:lineRule="auto"/>
              <w:ind w:firstLine="2040" w:firstLineChars="8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r——预测点距声源的距离</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m；</w:t>
            </w:r>
          </w:p>
          <w:p w14:paraId="2D2FAA3F">
            <w:pPr>
              <w:keepNext w:val="0"/>
              <w:keepLines w:val="0"/>
              <w:pageBreakBefore w:val="0"/>
              <w:widowControl w:val="0"/>
              <w:kinsoku/>
              <w:wordWrap/>
              <w:overflowPunct/>
              <w:topLinePunct w:val="0"/>
              <w:autoSpaceDE/>
              <w:autoSpaceDN/>
              <w:bidi w:val="0"/>
              <w:adjustRightInd w:val="0"/>
              <w:snapToGrid/>
              <w:spacing w:after="0" w:line="360" w:lineRule="auto"/>
              <w:ind w:firstLine="2040" w:firstLineChars="8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——参考位置距声源的距离</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m；</w:t>
            </w:r>
          </w:p>
          <w:p w14:paraId="61A1B54C">
            <w:pPr>
              <w:keepNext w:val="0"/>
              <w:keepLines w:val="0"/>
              <w:pageBreakBefore w:val="0"/>
              <w:widowControl w:val="0"/>
              <w:kinsoku/>
              <w:wordWrap/>
              <w:overflowPunct/>
              <w:topLinePunct w:val="0"/>
              <w:autoSpaceDE/>
              <w:autoSpaceDN/>
              <w:bidi w:val="0"/>
              <w:adjustRightInd w:val="0"/>
              <w:snapToGrid/>
              <w:spacing w:after="0" w:line="360" w:lineRule="auto"/>
              <w:ind w:left="0" w:leftChars="0" w:firstLine="1920" w:firstLineChars="8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ΔL——各种因素引起的衰减量(包括声屏障、遮挡物、空气吸收、地面效应等引起的衰减量）。</w:t>
            </w:r>
          </w:p>
          <w:p w14:paraId="62671D7A">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如果已知声源的倍频带声功率级Lw</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且声源可看作是位于地面上的</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则</w:t>
            </w:r>
          </w:p>
          <w:p w14:paraId="476975D2">
            <w:pPr>
              <w:keepNext w:val="0"/>
              <w:keepLines w:val="0"/>
              <w:pageBreakBefore w:val="0"/>
              <w:widowControl w:val="0"/>
              <w:kinsoku/>
              <w:wordWrap/>
              <w:overflowPunct/>
              <w:topLinePunct w:val="0"/>
              <w:autoSpaceDE/>
              <w:autoSpaceDN/>
              <w:bidi w:val="0"/>
              <w:adjustRightInd w:val="0"/>
              <w:snapToGrid/>
              <w:spacing w:after="0" w:line="360" w:lineRule="auto"/>
              <w:ind w:firstLine="2280" w:firstLineChars="95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30" o:spt="75" type="#_x0000_t75" style="height:18pt;width:112pt;" o:ole="t" filled="f" o:preferrelative="t" stroked="f" coordsize="21600,21600">
                  <v:path/>
                  <v:fill on="f" focussize="0,0"/>
                  <v:stroke on="f"/>
                  <v:imagedata r:id="rId28" o:title=""/>
                  <o:lock v:ext="edit" aspectratio="t"/>
                  <w10:wrap type="none"/>
                  <w10:anchorlock/>
                </v:shape>
                <o:OLEObject Type="Embed" ProgID="Equation.3" ShapeID="_x0000_i1030" DrawAspect="Content" ObjectID="_1468075730" r:id="rId27">
                  <o:LockedField>false</o:LockedField>
                </o:OLEObject>
              </w:object>
            </w:r>
          </w:p>
          <w:p w14:paraId="70D21A2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（7）由各倍频带声压级合成计算出该声源产生的A声级LA。</w:t>
            </w:r>
          </w:p>
          <w:p w14:paraId="038531EE">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（8）计算总声压级</w:t>
            </w:r>
          </w:p>
          <w:p w14:paraId="74DD15F6">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设第i个室外声源在预测点产生的A声级为LAin</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i</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在T时间内该声源工作时间为tin</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i；第j个等效室外声源在预测点产生的A声级为LAout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j</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在T时间内该声源工作时间为Tout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j</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则预测点的总等效声级为：</w:t>
            </w:r>
          </w:p>
          <w:p w14:paraId="61B898E5">
            <w:pPr>
              <w:keepNext w:val="0"/>
              <w:keepLines w:val="0"/>
              <w:pageBreakBefore w:val="0"/>
              <w:widowControl w:val="0"/>
              <w:kinsoku/>
              <w:wordWrap/>
              <w:overflowPunct/>
              <w:topLinePunct w:val="0"/>
              <w:autoSpaceDE/>
              <w:autoSpaceDN/>
              <w:bidi w:val="0"/>
              <w:adjustRightInd w:val="0"/>
              <w:snapToGrid/>
              <w:spacing w:after="0" w:line="360" w:lineRule="auto"/>
              <w:ind w:firstLine="240" w:firstLineChars="10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31" o:spt="75" type="#_x0000_t75" style="height:38pt;width:269pt;" o:ole="t" fillcolor="#6D6D6D" filled="f" stroked="f" coordsize="21600,21600">
                  <v:path/>
                  <v:fill on="f" focussize="0,0"/>
                  <v:stroke on="f"/>
                  <v:imagedata r:id="rId30" o:title=""/>
                  <o:lock v:ext="edit" grouping="f" rotation="f" text="f" aspectratio="t"/>
                  <w10:wrap type="none"/>
                  <w10:anchorlock/>
                </v:shape>
                <o:OLEObject Type="Embed" ProgID="Equation.3" ShapeID="_x0000_i1031" DrawAspect="Content" ObjectID="_1468075731" r:id="rId29">
                  <o:LockedField>false</o:LockedField>
                </o:OLEObject>
              </w:object>
            </w:r>
          </w:p>
          <w:p w14:paraId="761DD127">
            <w:pPr>
              <w:keepNext w:val="0"/>
              <w:keepLines w:val="0"/>
              <w:pageBreakBefore w:val="0"/>
              <w:widowControl w:val="0"/>
              <w:kinsoku/>
              <w:wordWrap/>
              <w:overflowPunct/>
              <w:topLinePunct w:val="0"/>
              <w:autoSpaceDE/>
              <w:autoSpaceDN/>
              <w:bidi w:val="0"/>
              <w:adjustRightInd w:val="0"/>
              <w:snapToGrid/>
              <w:spacing w:after="0" w:line="360" w:lineRule="auto"/>
              <w:ind w:firstLine="1200" w:firstLineChars="5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式中：T——计算等效声级的时间；N——室外声源个数；</w:t>
            </w:r>
          </w:p>
          <w:p w14:paraId="0EDCAF3B">
            <w:pPr>
              <w:keepNext w:val="0"/>
              <w:keepLines w:val="0"/>
              <w:pageBreakBefore w:val="0"/>
              <w:widowControl w:val="0"/>
              <w:kinsoku/>
              <w:wordWrap/>
              <w:overflowPunct/>
              <w:topLinePunct w:val="0"/>
              <w:autoSpaceDE/>
              <w:autoSpaceDN/>
              <w:bidi w:val="0"/>
              <w:adjustRightInd w:val="0"/>
              <w:snapToGrid/>
              <w:spacing w:after="0" w:line="360" w:lineRule="auto"/>
              <w:ind w:firstLine="1920" w:firstLineChars="8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M——等效室外声源个数。</w:t>
            </w:r>
          </w:p>
          <w:p w14:paraId="2A0EB382">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（9）多声源对某个受声点的理论估算方法</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是将几个声源的A声级按能量叠加</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等效为合声源对某个受声点上的理论声级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其公式为：</w:t>
            </w:r>
          </w:p>
          <w:p w14:paraId="7E1820E9">
            <w:pPr>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object>
                <v:shape id="_x0000_i1032" o:spt="75" type="#_x0000_t75" style="height:34pt;width:102pt;" o:ole="t" fillcolor="#6D6D6D" filled="f" stroked="f" coordsize="21600,21600">
                  <v:path/>
                  <v:fill on="f" focussize="0,0"/>
                  <v:stroke on="f"/>
                  <v:imagedata r:id="rId32" o:title=""/>
                  <o:lock v:ext="edit" grouping="f" rotation="f" text="f" aspectratio="t"/>
                  <w10:wrap type="none"/>
                  <w10:anchorlock/>
                </v:shape>
                <o:OLEObject Type="Embed" ProgID="Equation.3" ShapeID="_x0000_i1032" DrawAspect="Content" ObjectID="_1468075732" r:id="rId31">
                  <o:LockedField>false</o:LockedField>
                </o:OLEObject>
              </w:object>
            </w:r>
          </w:p>
          <w:p w14:paraId="185BBB8A">
            <w:pPr>
              <w:keepNext w:val="0"/>
              <w:keepLines w:val="0"/>
              <w:pageBreakBefore w:val="0"/>
              <w:widowControl w:val="0"/>
              <w:kinsoku/>
              <w:wordWrap/>
              <w:overflowPunct/>
              <w:topLinePunct w:val="0"/>
              <w:autoSpaceDE/>
              <w:autoSpaceDN/>
              <w:bidi w:val="0"/>
              <w:adjustRightInd w:val="0"/>
              <w:snapToGrid/>
              <w:spacing w:after="0" w:line="360" w:lineRule="auto"/>
              <w:ind w:firstLine="720" w:firstLineChars="3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式中：L</w:t>
            </w:r>
            <w:r>
              <w:rPr>
                <w:rFonts w:hint="default" w:ascii="Times New Roman" w:hAnsi="Times New Roman" w:cs="Times New Roman"/>
                <w:color w:val="auto"/>
                <w:sz w:val="24"/>
                <w:szCs w:val="24"/>
                <w:highlight w:val="none"/>
                <w:vertAlign w:val="subscript"/>
              </w:rPr>
              <w:t>合</w:t>
            </w:r>
            <w:r>
              <w:rPr>
                <w:rFonts w:hint="default" w:ascii="Times New Roman" w:hAnsi="Times New Roman" w:cs="Times New Roman"/>
                <w:color w:val="auto"/>
                <w:sz w:val="24"/>
                <w:szCs w:val="24"/>
                <w:highlight w:val="none"/>
              </w:rPr>
              <w:t>——受声点总等效声级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dB(A)；N——声源总数</w:t>
            </w:r>
          </w:p>
          <w:p w14:paraId="6366C78A">
            <w:pPr>
              <w:keepNext w:val="0"/>
              <w:keepLines w:val="0"/>
              <w:pageBreakBefore w:val="0"/>
              <w:widowControl w:val="0"/>
              <w:kinsoku/>
              <w:wordWrap/>
              <w:overflowPunct/>
              <w:topLinePunct w:val="0"/>
              <w:autoSpaceDE/>
              <w:autoSpaceDN/>
              <w:bidi w:val="0"/>
              <w:adjustRightInd w:val="0"/>
              <w:snapToGrid/>
              <w:spacing w:after="0" w:line="360" w:lineRule="auto"/>
              <w:ind w:firstLine="1680" w:firstLineChars="7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Li——第i声源对某预测点的等效声级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dB(A)</w:t>
            </w:r>
          </w:p>
          <w:p w14:paraId="3142CE77">
            <w:pPr>
              <w:keepNext w:val="0"/>
              <w:keepLines w:val="0"/>
              <w:pageBreakBefore w:val="0"/>
              <w:widowControl w:val="0"/>
              <w:kinsoku/>
              <w:wordWrap/>
              <w:overflowPunct/>
              <w:topLinePunct w:val="0"/>
              <w:autoSpaceDE/>
              <w:autoSpaceDN/>
              <w:bidi w:val="0"/>
              <w:adjustRightInd w:val="0"/>
              <w:snapToGrid/>
              <w:spacing w:after="0"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3.</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预测结果与评价</w:t>
            </w:r>
          </w:p>
          <w:p w14:paraId="250959C1">
            <w:pPr>
              <w:adjustRightInd w:val="0"/>
              <w:snapToGrid w:val="0"/>
              <w:spacing w:line="360" w:lineRule="auto"/>
              <w:ind w:firstLine="48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 w:val="24"/>
                <w:highlight w:val="none"/>
              </w:rPr>
              <w:t>本项目夜间不进行生产，经厂房隔声等措施降噪后，生产设备同时运行时，</w:t>
            </w:r>
            <w:r>
              <w:rPr>
                <w:rFonts w:hint="default" w:ascii="Times New Roman" w:hAnsi="Times New Roman" w:cs="Times New Roman"/>
                <w:color w:val="auto"/>
                <w:sz w:val="24"/>
                <w:highlight w:val="none"/>
                <w:lang w:val="en-US" w:eastAsia="zh-CN"/>
              </w:rPr>
              <w:t>根据噪声现状监测结果见下表</w:t>
            </w:r>
            <w:r>
              <w:rPr>
                <w:rFonts w:hint="default" w:ascii="Times New Roman" w:hAnsi="Times New Roman" w:cs="Times New Roman"/>
                <w:color w:val="auto"/>
                <w:sz w:val="24"/>
                <w:highlight w:val="none"/>
                <w:lang w:eastAsia="zh-CN"/>
              </w:rPr>
              <w:t>。</w:t>
            </w:r>
          </w:p>
          <w:p w14:paraId="207F4A4A">
            <w:pPr>
              <w:pStyle w:val="50"/>
              <w:adjustRightInd w:val="0"/>
              <w:snapToGrid w:val="0"/>
              <w:spacing w:line="240" w:lineRule="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表4-</w:t>
            </w:r>
            <w:r>
              <w:rPr>
                <w:rFonts w:hint="default" w:ascii="Times New Roman" w:hAnsi="Times New Roman" w:eastAsia="黑体" w:cs="Times New Roman"/>
                <w:b w:val="0"/>
                <w:bCs w:val="0"/>
                <w:color w:val="auto"/>
                <w:sz w:val="21"/>
                <w:szCs w:val="21"/>
                <w:highlight w:val="none"/>
                <w:lang w:val="en-US" w:eastAsia="zh-CN"/>
              </w:rPr>
              <w:t>7</w:t>
            </w:r>
            <w:r>
              <w:rPr>
                <w:rFonts w:hint="default" w:ascii="Times New Roman" w:hAnsi="Times New Roman" w:eastAsia="黑体" w:cs="Times New Roman"/>
                <w:b w:val="0"/>
                <w:bCs w:val="0"/>
                <w:color w:val="auto"/>
                <w:sz w:val="21"/>
                <w:szCs w:val="21"/>
                <w:highlight w:val="none"/>
              </w:rPr>
              <w:t>项目各厂界噪声</w:t>
            </w:r>
            <w:r>
              <w:rPr>
                <w:rFonts w:hint="default" w:ascii="Times New Roman" w:hAnsi="Times New Roman" w:eastAsia="黑体" w:cs="Times New Roman"/>
                <w:b w:val="0"/>
                <w:bCs w:val="0"/>
                <w:color w:val="auto"/>
                <w:sz w:val="21"/>
                <w:szCs w:val="21"/>
                <w:highlight w:val="none"/>
                <w:lang w:val="en-US" w:eastAsia="zh-CN"/>
              </w:rPr>
              <w:t>实测</w:t>
            </w:r>
            <w:r>
              <w:rPr>
                <w:rFonts w:hint="default" w:ascii="Times New Roman" w:hAnsi="Times New Roman" w:eastAsia="黑体" w:cs="Times New Roman"/>
                <w:b w:val="0"/>
                <w:bCs w:val="0"/>
                <w:color w:val="auto"/>
                <w:sz w:val="21"/>
                <w:szCs w:val="21"/>
                <w:highlight w:val="none"/>
              </w:rPr>
              <w:t>值</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545"/>
              <w:gridCol w:w="1022"/>
              <w:gridCol w:w="1446"/>
              <w:gridCol w:w="2167"/>
            </w:tblGrid>
            <w:tr w14:paraId="168AED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6" w:type="pct"/>
                  <w:tcBorders>
                    <w:bottom w:val="single" w:color="auto" w:sz="12" w:space="0"/>
                  </w:tcBorders>
                  <w:noWrap w:val="0"/>
                  <w:vAlign w:val="center"/>
                </w:tcPr>
                <w:p w14:paraId="7928EEE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预测点</w:t>
                  </w:r>
                </w:p>
              </w:tc>
              <w:tc>
                <w:tcPr>
                  <w:tcW w:w="1035" w:type="pct"/>
                  <w:tcBorders>
                    <w:bottom w:val="single" w:color="auto" w:sz="12" w:space="0"/>
                  </w:tcBorders>
                  <w:noWrap w:val="0"/>
                  <w:vAlign w:val="center"/>
                </w:tcPr>
                <w:p w14:paraId="23AA536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实测值</w:t>
                  </w:r>
                  <w:r>
                    <w:rPr>
                      <w:rFonts w:hint="default" w:ascii="Times New Roman" w:hAnsi="Times New Roman" w:cs="Times New Roman"/>
                      <w:b/>
                      <w:bCs/>
                      <w:color w:val="auto"/>
                      <w:sz w:val="21"/>
                      <w:szCs w:val="21"/>
                      <w:highlight w:val="none"/>
                    </w:rPr>
                    <w:t>dB(A)</w:t>
                  </w:r>
                </w:p>
              </w:tc>
              <w:tc>
                <w:tcPr>
                  <w:tcW w:w="685" w:type="pct"/>
                  <w:tcBorders>
                    <w:bottom w:val="single" w:color="auto" w:sz="12" w:space="0"/>
                  </w:tcBorders>
                  <w:noWrap w:val="0"/>
                  <w:vAlign w:val="center"/>
                </w:tcPr>
                <w:p w14:paraId="7E64EFF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预测值</w:t>
                  </w:r>
                </w:p>
              </w:tc>
              <w:tc>
                <w:tcPr>
                  <w:tcW w:w="969" w:type="pct"/>
                  <w:tcBorders>
                    <w:bottom w:val="single" w:color="auto" w:sz="12" w:space="0"/>
                  </w:tcBorders>
                  <w:noWrap w:val="0"/>
                  <w:vAlign w:val="center"/>
                </w:tcPr>
                <w:p w14:paraId="2AE4305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叠加值</w:t>
                  </w:r>
                </w:p>
              </w:tc>
              <w:tc>
                <w:tcPr>
                  <w:tcW w:w="1452" w:type="pct"/>
                  <w:tcBorders>
                    <w:bottom w:val="single" w:color="auto" w:sz="12" w:space="0"/>
                  </w:tcBorders>
                  <w:noWrap w:val="0"/>
                  <w:vAlign w:val="center"/>
                </w:tcPr>
                <w:p w14:paraId="7BA9FE2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标准值dB(A)</w:t>
                  </w:r>
                </w:p>
              </w:tc>
            </w:tr>
            <w:tr w14:paraId="149B07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6" w:type="pct"/>
                  <w:tcBorders>
                    <w:top w:val="single" w:color="auto" w:sz="12" w:space="0"/>
                  </w:tcBorders>
                  <w:noWrap w:val="0"/>
                  <w:vAlign w:val="center"/>
                </w:tcPr>
                <w:p w14:paraId="02E6274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东</w:t>
                  </w:r>
                  <w:r>
                    <w:rPr>
                      <w:rFonts w:hint="default" w:ascii="Times New Roman" w:hAnsi="Times New Roman" w:cs="Times New Roman"/>
                      <w:color w:val="auto"/>
                      <w:sz w:val="21"/>
                      <w:szCs w:val="21"/>
                      <w:highlight w:val="none"/>
                      <w:lang w:val="en-US" w:eastAsia="zh-CN"/>
                    </w:rPr>
                    <w:t>南</w:t>
                  </w:r>
                  <w:r>
                    <w:rPr>
                      <w:rFonts w:hint="default" w:ascii="Times New Roman" w:hAnsi="Times New Roman" w:cs="Times New Roman"/>
                      <w:color w:val="auto"/>
                      <w:sz w:val="21"/>
                      <w:szCs w:val="21"/>
                      <w:highlight w:val="none"/>
                    </w:rPr>
                    <w:t>厂界</w:t>
                  </w:r>
                </w:p>
              </w:tc>
              <w:tc>
                <w:tcPr>
                  <w:tcW w:w="1035" w:type="pct"/>
                  <w:tcBorders>
                    <w:top w:val="single" w:color="auto" w:sz="12" w:space="0"/>
                  </w:tcBorders>
                  <w:noWrap w:val="0"/>
                  <w:vAlign w:val="center"/>
                </w:tcPr>
                <w:p w14:paraId="6D7A69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53</w:t>
                  </w:r>
                </w:p>
              </w:tc>
              <w:tc>
                <w:tcPr>
                  <w:tcW w:w="685" w:type="pct"/>
                  <w:tcBorders>
                    <w:top w:val="single" w:color="auto" w:sz="12" w:space="0"/>
                  </w:tcBorders>
                  <w:noWrap w:val="0"/>
                  <w:vAlign w:val="center"/>
                </w:tcPr>
                <w:p w14:paraId="24E14798">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bidi="ar"/>
                    </w:rPr>
                    <w:t>49</w:t>
                  </w:r>
                </w:p>
              </w:tc>
              <w:tc>
                <w:tcPr>
                  <w:tcW w:w="969" w:type="pct"/>
                  <w:tcBorders>
                    <w:top w:val="single" w:color="auto" w:sz="12" w:space="0"/>
                  </w:tcBorders>
                  <w:noWrap w:val="0"/>
                  <w:vAlign w:val="center"/>
                </w:tcPr>
                <w:p w14:paraId="70346AB6">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54.46</w:t>
                  </w:r>
                </w:p>
              </w:tc>
              <w:tc>
                <w:tcPr>
                  <w:tcW w:w="1452" w:type="pct"/>
                  <w:tcBorders>
                    <w:top w:val="single" w:color="auto" w:sz="12" w:space="0"/>
                  </w:tcBorders>
                  <w:noWrap w:val="0"/>
                  <w:vAlign w:val="center"/>
                </w:tcPr>
                <w:p w14:paraId="6F4D03C5">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昼间≤60dB（A）</w:t>
                  </w:r>
                </w:p>
              </w:tc>
            </w:tr>
            <w:tr w14:paraId="1AC56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6" w:type="pct"/>
                  <w:noWrap w:val="0"/>
                  <w:vAlign w:val="center"/>
                </w:tcPr>
                <w:p w14:paraId="2394729A">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西</w:t>
                  </w:r>
                  <w:r>
                    <w:rPr>
                      <w:rFonts w:hint="default" w:ascii="Times New Roman" w:hAnsi="Times New Roman" w:cs="Times New Roman"/>
                      <w:color w:val="auto"/>
                      <w:sz w:val="21"/>
                      <w:szCs w:val="21"/>
                      <w:highlight w:val="none"/>
                    </w:rPr>
                    <w:t>南厂界</w:t>
                  </w:r>
                </w:p>
              </w:tc>
              <w:tc>
                <w:tcPr>
                  <w:tcW w:w="1035" w:type="pct"/>
                  <w:noWrap w:val="0"/>
                  <w:vAlign w:val="center"/>
                </w:tcPr>
                <w:p w14:paraId="7F3F72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53</w:t>
                  </w:r>
                </w:p>
              </w:tc>
              <w:tc>
                <w:tcPr>
                  <w:tcW w:w="685" w:type="pct"/>
                  <w:noWrap w:val="0"/>
                  <w:vAlign w:val="center"/>
                </w:tcPr>
                <w:p w14:paraId="541E4CD0">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bidi="ar"/>
                    </w:rPr>
                    <w:t>48</w:t>
                  </w:r>
                </w:p>
              </w:tc>
              <w:tc>
                <w:tcPr>
                  <w:tcW w:w="969" w:type="pct"/>
                  <w:noWrap w:val="0"/>
                  <w:vAlign w:val="center"/>
                </w:tcPr>
                <w:p w14:paraId="047912F7">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54.19</w:t>
                  </w:r>
                </w:p>
              </w:tc>
              <w:tc>
                <w:tcPr>
                  <w:tcW w:w="1452" w:type="pct"/>
                  <w:noWrap w:val="0"/>
                  <w:vAlign w:val="center"/>
                </w:tcPr>
                <w:p w14:paraId="64196D6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昼间≤60dB（A）</w:t>
                  </w:r>
                </w:p>
              </w:tc>
            </w:tr>
            <w:tr w14:paraId="3088E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6" w:type="pct"/>
                  <w:noWrap w:val="0"/>
                  <w:vAlign w:val="center"/>
                </w:tcPr>
                <w:p w14:paraId="21FC90F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西</w:t>
                  </w:r>
                  <w:r>
                    <w:rPr>
                      <w:rFonts w:hint="default" w:ascii="Times New Roman" w:hAnsi="Times New Roman" w:cs="Times New Roman"/>
                      <w:color w:val="auto"/>
                      <w:sz w:val="21"/>
                      <w:szCs w:val="21"/>
                      <w:highlight w:val="none"/>
                      <w:lang w:val="en-US" w:eastAsia="zh-CN"/>
                    </w:rPr>
                    <w:t>北</w:t>
                  </w:r>
                  <w:r>
                    <w:rPr>
                      <w:rFonts w:hint="default" w:ascii="Times New Roman" w:hAnsi="Times New Roman" w:cs="Times New Roman"/>
                      <w:color w:val="auto"/>
                      <w:sz w:val="21"/>
                      <w:szCs w:val="21"/>
                      <w:highlight w:val="none"/>
                    </w:rPr>
                    <w:t>厂界</w:t>
                  </w:r>
                </w:p>
              </w:tc>
              <w:tc>
                <w:tcPr>
                  <w:tcW w:w="1035" w:type="pct"/>
                  <w:noWrap w:val="0"/>
                  <w:vAlign w:val="center"/>
                </w:tcPr>
                <w:p w14:paraId="61F27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54</w:t>
                  </w:r>
                </w:p>
              </w:tc>
              <w:tc>
                <w:tcPr>
                  <w:tcW w:w="685" w:type="pct"/>
                  <w:noWrap w:val="0"/>
                  <w:vAlign w:val="center"/>
                </w:tcPr>
                <w:p w14:paraId="61CA9009">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bidi="ar"/>
                    </w:rPr>
                    <w:t>49</w:t>
                  </w:r>
                </w:p>
              </w:tc>
              <w:tc>
                <w:tcPr>
                  <w:tcW w:w="969" w:type="pct"/>
                  <w:noWrap w:val="0"/>
                  <w:vAlign w:val="center"/>
                </w:tcPr>
                <w:p w14:paraId="38BC1DD4">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55.19</w:t>
                  </w:r>
                </w:p>
              </w:tc>
              <w:tc>
                <w:tcPr>
                  <w:tcW w:w="1452" w:type="pct"/>
                  <w:noWrap w:val="0"/>
                  <w:vAlign w:val="center"/>
                </w:tcPr>
                <w:p w14:paraId="377D722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昼间≤60dB（A）</w:t>
                  </w:r>
                </w:p>
              </w:tc>
            </w:tr>
            <w:tr w14:paraId="0C09D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6" w:type="pct"/>
                  <w:noWrap w:val="0"/>
                  <w:vAlign w:val="center"/>
                </w:tcPr>
                <w:p w14:paraId="3B1E15D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东</w:t>
                  </w:r>
                  <w:r>
                    <w:rPr>
                      <w:rFonts w:hint="default" w:ascii="Times New Roman" w:hAnsi="Times New Roman" w:cs="Times New Roman"/>
                      <w:color w:val="auto"/>
                      <w:sz w:val="21"/>
                      <w:szCs w:val="21"/>
                      <w:highlight w:val="none"/>
                    </w:rPr>
                    <w:t>北厂界</w:t>
                  </w:r>
                </w:p>
              </w:tc>
              <w:tc>
                <w:tcPr>
                  <w:tcW w:w="1035" w:type="pct"/>
                  <w:noWrap w:val="0"/>
                  <w:vAlign w:val="center"/>
                </w:tcPr>
                <w:p w14:paraId="1367C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53</w:t>
                  </w:r>
                </w:p>
              </w:tc>
              <w:tc>
                <w:tcPr>
                  <w:tcW w:w="685" w:type="pct"/>
                  <w:noWrap w:val="0"/>
                  <w:vAlign w:val="center"/>
                </w:tcPr>
                <w:p w14:paraId="2876E9DE">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bidi="ar"/>
                    </w:rPr>
                    <w:t>50</w:t>
                  </w:r>
                </w:p>
              </w:tc>
              <w:tc>
                <w:tcPr>
                  <w:tcW w:w="969" w:type="pct"/>
                  <w:noWrap w:val="0"/>
                  <w:vAlign w:val="center"/>
                </w:tcPr>
                <w:p w14:paraId="668D5D75">
                  <w:pPr>
                    <w:keepNext w:val="0"/>
                    <w:keepLines w:val="0"/>
                    <w:pageBreakBefore w:val="0"/>
                    <w:widowControl/>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54.76</w:t>
                  </w:r>
                </w:p>
              </w:tc>
              <w:tc>
                <w:tcPr>
                  <w:tcW w:w="1452" w:type="pct"/>
                  <w:noWrap w:val="0"/>
                  <w:vAlign w:val="center"/>
                </w:tcPr>
                <w:p w14:paraId="3360EFA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昼间≤60dB（A）</w:t>
                  </w:r>
                </w:p>
              </w:tc>
            </w:tr>
          </w:tbl>
          <w:p w14:paraId="7E3F68BA">
            <w:pPr>
              <w:spacing w:before="156" w:beforeLines="50"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根据上表可知</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项目厂界噪声昼间和夜间均满足《工业企业厂界环境噪声排放标准》（GB12348-2008）中的</w:t>
            </w:r>
            <w:r>
              <w:rPr>
                <w:rFonts w:hint="default" w:ascii="Times New Roman" w:hAnsi="Times New Roman" w:cs="Times New Roman"/>
                <w:color w:val="auto"/>
                <w:sz w:val="24"/>
                <w:szCs w:val="24"/>
                <w:highlight w:val="none"/>
                <w:lang w:val="en-US" w:eastAsia="zh-CN"/>
              </w:rPr>
              <w:t>2类</w:t>
            </w:r>
            <w:r>
              <w:rPr>
                <w:rFonts w:hint="default" w:ascii="Times New Roman" w:hAnsi="Times New Roman" w:eastAsia="宋体" w:cs="Times New Roman"/>
                <w:color w:val="auto"/>
                <w:sz w:val="24"/>
                <w:szCs w:val="24"/>
                <w:highlight w:val="none"/>
              </w:rPr>
              <w:t>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对周围声环境影响较小。</w:t>
            </w:r>
          </w:p>
          <w:p w14:paraId="3FBC9306">
            <w:pPr>
              <w:overflowPunct w:val="0"/>
              <w:adjustRightInd w:val="0"/>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本项目已采取的噪声防治措施如下</w:t>
            </w:r>
            <w:r>
              <w:rPr>
                <w:rFonts w:hint="default" w:ascii="Times New Roman" w:hAnsi="Times New Roman" w:eastAsia="宋体" w:cs="Times New Roman"/>
                <w:color w:val="auto"/>
                <w:sz w:val="24"/>
                <w:highlight w:val="none"/>
                <w:lang w:eastAsia="zh-CN"/>
              </w:rPr>
              <w:t>：</w:t>
            </w:r>
          </w:p>
          <w:p w14:paraId="77CB8513">
            <w:pPr>
              <w:overflowPunct w:val="0"/>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（1）在满足工艺的前提下</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尽可能选择功率小、噪声低的设备。</w:t>
            </w:r>
          </w:p>
          <w:p w14:paraId="32B9337D">
            <w:pPr>
              <w:overflowPunct w:val="0"/>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（2）在设备布置时考虑地形、声源方向性和噪声强弱等因素</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进行合理布局以进一步降低厂界噪声。</w:t>
            </w:r>
          </w:p>
          <w:p w14:paraId="586D700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rPr>
              <w:t>（3）对</w:t>
            </w:r>
            <w:r>
              <w:rPr>
                <w:rFonts w:hint="default" w:ascii="Times New Roman" w:hAnsi="Times New Roman" w:eastAsia="宋体" w:cs="Times New Roman"/>
                <w:color w:val="auto"/>
                <w:sz w:val="24"/>
                <w:highlight w:val="none"/>
                <w:lang w:eastAsia="zh-CN"/>
              </w:rPr>
              <w:t>设备</w:t>
            </w:r>
            <w:r>
              <w:rPr>
                <w:rFonts w:hint="default" w:ascii="Times New Roman" w:hAnsi="Times New Roman" w:eastAsia="宋体" w:cs="Times New Roman"/>
                <w:color w:val="auto"/>
                <w:sz w:val="24"/>
                <w:highlight w:val="none"/>
              </w:rPr>
              <w:t>加</w:t>
            </w:r>
            <w:r>
              <w:rPr>
                <w:rFonts w:hint="default" w:ascii="Times New Roman" w:hAnsi="Times New Roman" w:eastAsia="宋体" w:cs="Times New Roman"/>
                <w:color w:val="auto"/>
                <w:sz w:val="24"/>
                <w:szCs w:val="24"/>
                <w:highlight w:val="none"/>
              </w:rPr>
              <w:t>强</w:t>
            </w:r>
            <w:r>
              <w:rPr>
                <w:rFonts w:hint="default" w:ascii="Times New Roman" w:hAnsi="Times New Roman" w:eastAsia="宋体" w:cs="Times New Roman"/>
                <w:color w:val="auto"/>
                <w:sz w:val="24"/>
                <w:szCs w:val="24"/>
                <w:highlight w:val="none"/>
                <w:lang w:eastAsia="zh-CN"/>
              </w:rPr>
              <w:t>减振</w:t>
            </w:r>
            <w:r>
              <w:rPr>
                <w:rFonts w:hint="default" w:ascii="Times New Roman" w:hAnsi="Times New Roman" w:eastAsia="宋体" w:cs="Times New Roman"/>
                <w:color w:val="auto"/>
                <w:sz w:val="24"/>
                <w:szCs w:val="24"/>
                <w:highlight w:val="none"/>
              </w:rPr>
              <w:t>处理措施</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并加强厂区管理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降低噪声的影响。</w:t>
            </w:r>
          </w:p>
          <w:p w14:paraId="07E7F5A5">
            <w:pPr>
              <w:pStyle w:val="4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建设单位应</w:t>
            </w:r>
            <w:r>
              <w:rPr>
                <w:rFonts w:hint="default" w:ascii="Times New Roman" w:hAnsi="Times New Roman" w:eastAsia="宋体" w:cs="Times New Roman"/>
                <w:snapToGrid/>
                <w:color w:val="auto"/>
                <w:kern w:val="2"/>
                <w:sz w:val="24"/>
                <w:szCs w:val="24"/>
                <w:highlight w:val="none"/>
                <w:lang w:val="en-US" w:eastAsia="zh-CN" w:bidi="ar-SA"/>
              </w:rPr>
              <w:t>定期巡检各生产设备运行情况，发现环境问题及时消除隐患，维持区域较好的声环境质量现状。</w:t>
            </w:r>
          </w:p>
          <w:p w14:paraId="0008F095">
            <w:pPr>
              <w:keepNext w:val="0"/>
              <w:keepLines w:val="0"/>
              <w:pageBreakBefore w:val="0"/>
              <w:widowControl w:val="0"/>
              <w:kinsoku/>
              <w:wordWrap/>
              <w:overflowPunct/>
              <w:topLinePunct w:val="0"/>
              <w:autoSpaceDE/>
              <w:autoSpaceDN/>
              <w:bidi w:val="0"/>
              <w:spacing w:line="360" w:lineRule="auto"/>
              <w:ind w:right="0"/>
              <w:textAlignment w:val="auto"/>
              <w:rPr>
                <w:rFonts w:hint="default" w:ascii="Times New Roman" w:hAnsi="Times New Roman" w:eastAsia="宋体" w:cs="Times New Roman"/>
                <w:b/>
                <w:bCs/>
                <w:snapToGrid/>
                <w:color w:val="auto"/>
                <w:kern w:val="2"/>
                <w:sz w:val="24"/>
                <w:szCs w:val="24"/>
                <w:highlight w:val="none"/>
                <w:lang w:val="en-US" w:eastAsia="zh-CN" w:bidi="ar-SA"/>
              </w:rPr>
            </w:pPr>
            <w:r>
              <w:rPr>
                <w:rFonts w:hint="default" w:ascii="Times New Roman" w:hAnsi="Times New Roman" w:eastAsia="宋体" w:cs="Times New Roman"/>
                <w:b/>
                <w:bCs/>
                <w:snapToGrid/>
                <w:color w:val="auto"/>
                <w:kern w:val="2"/>
                <w:sz w:val="24"/>
                <w:szCs w:val="24"/>
                <w:highlight w:val="none"/>
                <w:lang w:val="en-US" w:eastAsia="zh-CN" w:bidi="ar-SA"/>
              </w:rPr>
              <w:t>3.3噪声影响分析及防治措施</w:t>
            </w:r>
          </w:p>
          <w:p w14:paraId="13286870">
            <w:pPr>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为有效减少生产设备对厂区职工的影响，建议建设方采取如下措施：</w:t>
            </w:r>
          </w:p>
          <w:p w14:paraId="410C1867">
            <w:pPr>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（1）在设备选型时优先选择高效、低噪声设备，做好设备的安装调试， 同时加强营运期间对各种机械的维修保养，保持其良好的运行效果；</w:t>
            </w:r>
          </w:p>
          <w:p w14:paraId="2FD0D7F3">
            <w:pPr>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（2）车间内高噪声设备合理分布，避免集中放置。</w:t>
            </w:r>
          </w:p>
          <w:p w14:paraId="42E94D2A">
            <w:pPr>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（3）建议建设单位合理安排工序，避免高噪声设备同时使用，把噪声影 响降低在最低限度；</w:t>
            </w:r>
          </w:p>
          <w:p w14:paraId="7ABD6568">
            <w:pPr>
              <w:keepNext w:val="0"/>
              <w:keepLines w:val="0"/>
              <w:pageBreakBefore w:val="0"/>
              <w:widowControl w:val="0"/>
              <w:kinsoku/>
              <w:wordWrap/>
              <w:overflowPunct/>
              <w:topLinePunct w:val="0"/>
              <w:autoSpaceDE/>
              <w:autoSpaceDN/>
              <w:bidi w:val="0"/>
              <w:spacing w:line="360" w:lineRule="auto"/>
              <w:ind w:left="0" w:right="0" w:firstLine="480" w:firstLineChars="200"/>
              <w:jc w:val="both"/>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本项目生产设备均安装于室内，通过对高产噪设备采取减振、隔声措施 以及墙体隔声、距离衰减后厂界噪声排放能够达到《工业企业厂界环境噪声 排放标准》（GB12348-2008）中的 3 类标准的要求。因此，生产车间内的噪 声对周围声环境影响较小。</w:t>
            </w:r>
          </w:p>
          <w:p w14:paraId="0F2AE737">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w:t>
            </w: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噪声监测计划</w:t>
            </w:r>
          </w:p>
          <w:p w14:paraId="0DBBFE0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根据《排污单位自行监测技术指南》</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本项目环境噪声监测方案见表</w:t>
            </w:r>
            <w:r>
              <w:rPr>
                <w:rFonts w:hint="default" w:ascii="Times New Roman" w:hAnsi="Times New Roman" w:cs="Times New Roman"/>
                <w:color w:val="auto"/>
                <w:sz w:val="24"/>
                <w:highlight w:val="none"/>
                <w:lang w:val="en-US" w:eastAsia="zh-CN"/>
              </w:rPr>
              <w:t>4-6</w:t>
            </w:r>
            <w:r>
              <w:rPr>
                <w:rFonts w:hint="default" w:ascii="Times New Roman" w:hAnsi="Times New Roman" w:cs="Times New Roman"/>
                <w:color w:val="auto"/>
                <w:sz w:val="24"/>
                <w:highlight w:val="none"/>
              </w:rPr>
              <w:t>。</w:t>
            </w:r>
          </w:p>
          <w:p w14:paraId="0DD69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表</w:t>
            </w:r>
            <w:r>
              <w:rPr>
                <w:rFonts w:hint="default" w:ascii="Times New Roman" w:hAnsi="Times New Roman" w:eastAsia="黑体" w:cs="Times New Roman"/>
                <w:b w:val="0"/>
                <w:bCs w:val="0"/>
                <w:color w:val="auto"/>
                <w:sz w:val="21"/>
                <w:szCs w:val="21"/>
                <w:highlight w:val="none"/>
                <w:lang w:val="en-US" w:eastAsia="zh-CN"/>
              </w:rPr>
              <w:t>4-8</w:t>
            </w:r>
            <w:r>
              <w:rPr>
                <w:rFonts w:hint="default" w:ascii="Times New Roman" w:hAnsi="Times New Roman" w:eastAsia="黑体" w:cs="Times New Roman"/>
                <w:b w:val="0"/>
                <w:bCs w:val="0"/>
                <w:color w:val="auto"/>
                <w:sz w:val="21"/>
                <w:szCs w:val="21"/>
                <w:highlight w:val="none"/>
              </w:rPr>
              <w:t>项目运营期噪声监测计划</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814"/>
              <w:gridCol w:w="1507"/>
              <w:gridCol w:w="1219"/>
              <w:gridCol w:w="1687"/>
            </w:tblGrid>
            <w:tr w14:paraId="06CC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8" w:type="pct"/>
                  <w:tcBorders>
                    <w:top w:val="single" w:color="auto" w:sz="12" w:space="0"/>
                    <w:left w:val="nil"/>
                    <w:bottom w:val="single" w:color="auto" w:sz="12" w:space="0"/>
                    <w:right w:val="single" w:color="auto" w:sz="4" w:space="0"/>
                  </w:tcBorders>
                  <w:noWrap w:val="0"/>
                  <w:vAlign w:val="center"/>
                </w:tcPr>
                <w:p w14:paraId="30C7D9E0">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1218" w:type="pct"/>
                  <w:tcBorders>
                    <w:top w:val="single" w:color="auto" w:sz="12" w:space="0"/>
                    <w:left w:val="single" w:color="auto" w:sz="4" w:space="0"/>
                    <w:bottom w:val="single" w:color="auto" w:sz="12" w:space="0"/>
                    <w:right w:val="single" w:color="auto" w:sz="4" w:space="0"/>
                  </w:tcBorders>
                  <w:noWrap w:val="0"/>
                  <w:vAlign w:val="center"/>
                </w:tcPr>
                <w:p w14:paraId="74ADB9CC">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监测位置</w:t>
                  </w:r>
                </w:p>
              </w:tc>
              <w:tc>
                <w:tcPr>
                  <w:tcW w:w="1012" w:type="pct"/>
                  <w:tcBorders>
                    <w:top w:val="single" w:color="auto" w:sz="12" w:space="0"/>
                    <w:left w:val="single" w:color="auto" w:sz="4" w:space="0"/>
                    <w:bottom w:val="single" w:color="auto" w:sz="12" w:space="0"/>
                    <w:right w:val="single" w:color="auto" w:sz="4" w:space="0"/>
                  </w:tcBorders>
                  <w:noWrap w:val="0"/>
                  <w:vAlign w:val="center"/>
                </w:tcPr>
                <w:p w14:paraId="04984683">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监测项目</w:t>
                  </w:r>
                </w:p>
              </w:tc>
              <w:tc>
                <w:tcPr>
                  <w:tcW w:w="818" w:type="pct"/>
                  <w:tcBorders>
                    <w:top w:val="single" w:color="auto" w:sz="12" w:space="0"/>
                    <w:left w:val="single" w:color="auto" w:sz="4" w:space="0"/>
                    <w:bottom w:val="single" w:color="auto" w:sz="12" w:space="0"/>
                    <w:right w:val="single" w:color="auto" w:sz="4" w:space="0"/>
                  </w:tcBorders>
                  <w:noWrap w:val="0"/>
                  <w:vAlign w:val="center"/>
                </w:tcPr>
                <w:p w14:paraId="4E9A8402">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监测频率</w:t>
                  </w:r>
                </w:p>
              </w:tc>
              <w:tc>
                <w:tcPr>
                  <w:tcW w:w="1132" w:type="pct"/>
                  <w:tcBorders>
                    <w:top w:val="single" w:color="auto" w:sz="12" w:space="0"/>
                    <w:left w:val="single" w:color="auto" w:sz="4" w:space="0"/>
                    <w:bottom w:val="single" w:color="auto" w:sz="12" w:space="0"/>
                    <w:right w:val="nil"/>
                  </w:tcBorders>
                  <w:noWrap w:val="0"/>
                  <w:vAlign w:val="center"/>
                </w:tcPr>
                <w:p w14:paraId="33B0F5A1">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实施单位</w:t>
                  </w:r>
                </w:p>
              </w:tc>
            </w:tr>
            <w:tr w14:paraId="4A00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8" w:type="pct"/>
                  <w:tcBorders>
                    <w:top w:val="single" w:color="auto" w:sz="12" w:space="0"/>
                    <w:left w:val="nil"/>
                    <w:bottom w:val="single" w:color="auto" w:sz="12" w:space="0"/>
                    <w:right w:val="single" w:color="auto" w:sz="4" w:space="0"/>
                  </w:tcBorders>
                  <w:noWrap w:val="0"/>
                  <w:vAlign w:val="center"/>
                </w:tcPr>
                <w:p w14:paraId="236596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厂界监测</w:t>
                  </w:r>
                </w:p>
              </w:tc>
              <w:tc>
                <w:tcPr>
                  <w:tcW w:w="1218" w:type="pct"/>
                  <w:tcBorders>
                    <w:top w:val="single" w:color="auto" w:sz="12" w:space="0"/>
                    <w:left w:val="single" w:color="auto" w:sz="4" w:space="0"/>
                    <w:bottom w:val="single" w:color="auto" w:sz="12" w:space="0"/>
                    <w:right w:val="single" w:color="auto" w:sz="4" w:space="0"/>
                  </w:tcBorders>
                  <w:noWrap w:val="0"/>
                  <w:vAlign w:val="center"/>
                </w:tcPr>
                <w:p w14:paraId="154F80F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厂界四周外1m</w:t>
                  </w:r>
                </w:p>
              </w:tc>
              <w:tc>
                <w:tcPr>
                  <w:tcW w:w="1012" w:type="pct"/>
                  <w:tcBorders>
                    <w:top w:val="single" w:color="auto" w:sz="12" w:space="0"/>
                    <w:left w:val="single" w:color="auto" w:sz="4" w:space="0"/>
                    <w:bottom w:val="single" w:color="auto" w:sz="12" w:space="0"/>
                    <w:right w:val="single" w:color="auto" w:sz="4" w:space="0"/>
                  </w:tcBorders>
                  <w:noWrap w:val="0"/>
                  <w:vAlign w:val="center"/>
                </w:tcPr>
                <w:p w14:paraId="1A1A5A1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等效A声级</w:t>
                  </w:r>
                </w:p>
              </w:tc>
              <w:tc>
                <w:tcPr>
                  <w:tcW w:w="818" w:type="pct"/>
                  <w:tcBorders>
                    <w:top w:val="single" w:color="auto" w:sz="12" w:space="0"/>
                    <w:left w:val="single" w:color="auto" w:sz="4" w:space="0"/>
                    <w:bottom w:val="single" w:color="auto" w:sz="12" w:space="0"/>
                    <w:right w:val="single" w:color="auto" w:sz="4" w:space="0"/>
                  </w:tcBorders>
                  <w:noWrap w:val="0"/>
                  <w:vAlign w:val="center"/>
                </w:tcPr>
                <w:p w14:paraId="1019ED0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次/年</w:t>
                  </w:r>
                </w:p>
              </w:tc>
              <w:tc>
                <w:tcPr>
                  <w:tcW w:w="1132" w:type="pct"/>
                  <w:tcBorders>
                    <w:top w:val="single" w:color="auto" w:sz="12" w:space="0"/>
                    <w:left w:val="single" w:color="auto" w:sz="4" w:space="0"/>
                    <w:bottom w:val="single" w:color="auto" w:sz="12" w:space="0"/>
                    <w:right w:val="nil"/>
                  </w:tcBorders>
                  <w:noWrap w:val="0"/>
                  <w:vAlign w:val="center"/>
                </w:tcPr>
                <w:p w14:paraId="655D9F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企业自行委托</w:t>
                  </w:r>
                </w:p>
              </w:tc>
            </w:tr>
          </w:tbl>
          <w:p w14:paraId="6949F3F0">
            <w:pPr>
              <w:keepNext w:val="0"/>
              <w:keepLines w:val="0"/>
              <w:pageBreakBefore w:val="0"/>
              <w:widowControl w:val="0"/>
              <w:kinsoku/>
              <w:wordWrap/>
              <w:overflowPunct w:val="0"/>
              <w:autoSpaceDE/>
              <w:autoSpaceDN/>
              <w:bidi w:val="0"/>
              <w:adjustRightInd/>
              <w:snapToGrid/>
              <w:spacing w:line="360" w:lineRule="auto"/>
              <w:contextualSpacing/>
              <w:textAlignment w:val="auto"/>
              <w:rPr>
                <w:rFonts w:hint="default" w:ascii="Times New Roman" w:hAnsi="Times New Roman" w:cs="Times New Roman"/>
                <w:bCs/>
                <w:snapToGrid w:val="0"/>
                <w:color w:val="auto"/>
                <w:sz w:val="24"/>
                <w:szCs w:val="24"/>
                <w:highlight w:val="none"/>
              </w:rPr>
            </w:pPr>
            <w:r>
              <w:rPr>
                <w:rFonts w:hint="default" w:ascii="Times New Roman" w:hAnsi="Times New Roman" w:cs="Times New Roman"/>
                <w:b/>
                <w:snapToGrid w:val="0"/>
                <w:color w:val="auto"/>
                <w:sz w:val="24"/>
                <w:szCs w:val="24"/>
                <w:highlight w:val="none"/>
                <w:lang w:val="en-US" w:eastAsia="zh-CN"/>
              </w:rPr>
              <w:t>4.</w:t>
            </w:r>
            <w:r>
              <w:rPr>
                <w:rFonts w:hint="default" w:ascii="Times New Roman" w:hAnsi="Times New Roman" w:cs="Times New Roman"/>
                <w:b/>
                <w:color w:val="auto"/>
                <w:sz w:val="24"/>
                <w:szCs w:val="24"/>
                <w:highlight w:val="none"/>
              </w:rPr>
              <w:t>运营期固废</w:t>
            </w:r>
            <w:r>
              <w:rPr>
                <w:rFonts w:hint="default" w:ascii="Times New Roman" w:hAnsi="Times New Roman" w:cs="Times New Roman"/>
                <w:b/>
                <w:bCs/>
                <w:snapToGrid w:val="0"/>
                <w:color w:val="auto"/>
                <w:sz w:val="24"/>
                <w:szCs w:val="24"/>
                <w:highlight w:val="none"/>
              </w:rPr>
              <w:t>污染</w:t>
            </w:r>
            <w:r>
              <w:rPr>
                <w:rFonts w:hint="default" w:ascii="Times New Roman" w:hAnsi="Times New Roman" w:cs="Times New Roman"/>
                <w:b/>
                <w:snapToGrid w:val="0"/>
                <w:color w:val="auto"/>
                <w:sz w:val="24"/>
                <w:szCs w:val="24"/>
                <w:highlight w:val="none"/>
              </w:rPr>
              <w:t>物</w:t>
            </w:r>
          </w:p>
          <w:p w14:paraId="15ED0299">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5"/>
                <w:sz w:val="24"/>
                <w:szCs w:val="24"/>
                <w:highlight w:val="none"/>
              </w:rPr>
              <w:t>4.</w:t>
            </w:r>
            <w:r>
              <w:rPr>
                <w:rFonts w:hint="default" w:ascii="Times New Roman" w:hAnsi="Times New Roman" w:eastAsia="宋体" w:cs="Times New Roman"/>
                <w:b/>
                <w:bCs/>
                <w:color w:val="auto"/>
                <w:spacing w:val="-5"/>
                <w:sz w:val="24"/>
                <w:szCs w:val="24"/>
                <w:highlight w:val="none"/>
              </w:rPr>
              <w:t>固体废物影响分析</w:t>
            </w:r>
          </w:p>
          <w:p w14:paraId="29B9CF34">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4"/>
                <w:sz w:val="24"/>
                <w:szCs w:val="24"/>
                <w:highlight w:val="none"/>
              </w:rPr>
              <w:t>4.1</w:t>
            </w:r>
            <w:r>
              <w:rPr>
                <w:rFonts w:hint="default" w:ascii="Times New Roman" w:hAnsi="Times New Roman" w:eastAsia="宋体" w:cs="Times New Roman"/>
                <w:b/>
                <w:bCs/>
                <w:color w:val="auto"/>
                <w:spacing w:val="-4"/>
                <w:sz w:val="24"/>
                <w:szCs w:val="24"/>
                <w:highlight w:val="none"/>
              </w:rPr>
              <w:t>固体废物产生及处置情况</w:t>
            </w:r>
          </w:p>
          <w:p w14:paraId="65595C1D">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项目产生的固体废物主要为生活垃圾、一般工业固废（不合</w:t>
            </w:r>
            <w:r>
              <w:rPr>
                <w:rFonts w:hint="default" w:ascii="Times New Roman" w:hAnsi="Times New Roman" w:eastAsia="宋体" w:cs="Times New Roman"/>
                <w:color w:val="auto"/>
                <w:sz w:val="24"/>
                <w:szCs w:val="24"/>
                <w:highlight w:val="none"/>
              </w:rPr>
              <w:t>格产品、废</w:t>
            </w:r>
            <w:r>
              <w:rPr>
                <w:rFonts w:hint="default" w:ascii="Times New Roman" w:hAnsi="Times New Roman" w:eastAsia="宋体" w:cs="Times New Roman"/>
                <w:color w:val="auto"/>
                <w:spacing w:val="-1"/>
                <w:sz w:val="24"/>
                <w:szCs w:val="24"/>
                <w:highlight w:val="none"/>
              </w:rPr>
              <w:t>包装材料）和危险废物（废活性炭、废催化剂、废机油）。</w:t>
            </w:r>
          </w:p>
          <w:p w14:paraId="33A283C4">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1</w:t>
            </w:r>
            <w:r>
              <w:rPr>
                <w:rFonts w:hint="default" w:ascii="Times New Roman" w:hAnsi="Times New Roman" w:eastAsia="宋体" w:cs="Times New Roman"/>
                <w:color w:val="auto"/>
                <w:spacing w:val="-3"/>
                <w:sz w:val="24"/>
                <w:szCs w:val="24"/>
                <w:highlight w:val="none"/>
              </w:rPr>
              <w:t>）生活垃圾</w:t>
            </w:r>
          </w:p>
          <w:p w14:paraId="39E75030">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pacing w:val="-1"/>
                <w:sz w:val="24"/>
                <w:szCs w:val="24"/>
                <w:highlight w:val="none"/>
              </w:rPr>
              <w:t>项目</w:t>
            </w:r>
            <w:r>
              <w:rPr>
                <w:rFonts w:hint="default" w:ascii="Times New Roman" w:hAnsi="Times New Roman" w:cs="Times New Roman"/>
                <w:color w:val="auto"/>
                <w:spacing w:val="-1"/>
                <w:sz w:val="24"/>
                <w:szCs w:val="24"/>
                <w:highlight w:val="none"/>
                <w:lang w:val="en-US" w:eastAsia="zh-CN"/>
              </w:rPr>
              <w:t>不新增劳动定员，不新增生活垃圾</w:t>
            </w:r>
          </w:p>
          <w:p w14:paraId="3A3A2ABF">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2</w:t>
            </w:r>
            <w:r>
              <w:rPr>
                <w:rFonts w:hint="default" w:ascii="Times New Roman" w:hAnsi="Times New Roman" w:eastAsia="宋体" w:cs="Times New Roman"/>
                <w:color w:val="auto"/>
                <w:spacing w:val="-3"/>
                <w:sz w:val="24"/>
                <w:szCs w:val="24"/>
                <w:highlight w:val="none"/>
              </w:rPr>
              <w:t>）一般固废</w:t>
            </w:r>
          </w:p>
          <w:p w14:paraId="1D1DE2EA">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①不合格产品</w:t>
            </w:r>
          </w:p>
          <w:p w14:paraId="20CDE298">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项目检测工序中会检测出少量的裂纹、厚度不达标的不合格</w:t>
            </w:r>
            <w:r>
              <w:rPr>
                <w:rFonts w:hint="default" w:ascii="Times New Roman" w:hAnsi="Times New Roman" w:eastAsia="宋体" w:cs="Times New Roman"/>
                <w:color w:val="auto"/>
                <w:sz w:val="24"/>
                <w:szCs w:val="24"/>
                <w:highlight w:val="none"/>
              </w:rPr>
              <w:t>产品，根据</w:t>
            </w:r>
            <w:r>
              <w:rPr>
                <w:rFonts w:hint="default" w:ascii="Times New Roman" w:hAnsi="Times New Roman" w:eastAsia="宋体" w:cs="Times New Roman"/>
                <w:color w:val="auto"/>
                <w:spacing w:val="-3"/>
                <w:sz w:val="24"/>
                <w:szCs w:val="24"/>
                <w:highlight w:val="none"/>
              </w:rPr>
              <w:t>建设单位提供的资料，不合格产品的产生量约为</w:t>
            </w:r>
            <w:r>
              <w:rPr>
                <w:rFonts w:hint="default" w:ascii="Times New Roman" w:hAnsi="Times New Roman" w:eastAsia="Times New Roman" w:cs="Times New Roman"/>
                <w:color w:val="auto"/>
                <w:spacing w:val="-3"/>
                <w:sz w:val="24"/>
                <w:szCs w:val="24"/>
                <w:highlight w:val="none"/>
              </w:rPr>
              <w:t>5t/a</w:t>
            </w:r>
            <w:r>
              <w:rPr>
                <w:rFonts w:hint="default" w:ascii="Times New Roman" w:hAnsi="Times New Roman" w:eastAsia="宋体" w:cs="Times New Roman"/>
                <w:color w:val="auto"/>
                <w:spacing w:val="-3"/>
                <w:sz w:val="24"/>
                <w:szCs w:val="24"/>
                <w:highlight w:val="none"/>
              </w:rPr>
              <w:t>，不合格产品集中收集后回用于生产。</w:t>
            </w:r>
          </w:p>
          <w:p w14:paraId="7A13CFD5">
            <w:pPr>
              <w:keepNext w:val="0"/>
              <w:keepLines w:val="0"/>
              <w:pageBreakBefore w:val="0"/>
              <w:widowControl/>
              <w:kinsoku w:val="0"/>
              <w:wordWrap/>
              <w:overflowPunct/>
              <w:topLinePunct w:val="0"/>
              <w:autoSpaceDE w:val="0"/>
              <w:autoSpaceDN w:val="0"/>
              <w:bidi w:val="0"/>
              <w:snapToGrid w:val="0"/>
              <w:spacing w:line="360" w:lineRule="auto"/>
              <w:ind w:left="0" w:right="0" w:firstLine="48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②废包装材料</w:t>
            </w:r>
          </w:p>
          <w:p w14:paraId="4C251475">
            <w:pPr>
              <w:keepNext w:val="0"/>
              <w:keepLines w:val="0"/>
              <w:pageBreakBefore w:val="0"/>
              <w:widowControl/>
              <w:kinsoku w:val="0"/>
              <w:wordWrap/>
              <w:overflowPunct/>
              <w:topLinePunct w:val="0"/>
              <w:autoSpaceDE w:val="0"/>
              <w:autoSpaceDN w:val="0"/>
              <w:bidi w:val="0"/>
              <w:snapToGrid w:val="0"/>
              <w:spacing w:line="360" w:lineRule="auto"/>
              <w:ind w:left="0" w:right="0" w:firstLine="512" w:firstLineChars="200"/>
              <w:textAlignment w:val="baseline"/>
              <w:rPr>
                <w:rFonts w:hint="default" w:ascii="Times New Roman" w:hAnsi="Times New Roman" w:eastAsia="宋体" w:cs="Times New Roman"/>
                <w:color w:val="auto"/>
                <w:spacing w:val="8"/>
                <w:sz w:val="24"/>
                <w:szCs w:val="24"/>
                <w:highlight w:val="none"/>
              </w:rPr>
            </w:pPr>
            <w:r>
              <w:rPr>
                <w:rFonts w:hint="default" w:ascii="Times New Roman" w:hAnsi="Times New Roman" w:eastAsia="宋体" w:cs="Times New Roman"/>
                <w:color w:val="auto"/>
                <w:spacing w:val="8"/>
                <w:sz w:val="24"/>
                <w:szCs w:val="24"/>
                <w:highlight w:val="none"/>
              </w:rPr>
              <w:t>废包装材料主要来自生产原料聚乙烯颗粒、添加剂使用后产生的废弃</w:t>
            </w:r>
            <w:r>
              <w:rPr>
                <w:rFonts w:hint="default" w:ascii="Times New Roman" w:hAnsi="Times New Roman" w:eastAsia="宋体" w:cs="Times New Roman"/>
                <w:color w:val="auto"/>
                <w:spacing w:val="-2"/>
                <w:sz w:val="24"/>
                <w:szCs w:val="24"/>
                <w:highlight w:val="none"/>
              </w:rPr>
              <w:t>包装</w:t>
            </w:r>
            <w:r>
              <w:rPr>
                <w:rFonts w:hint="default" w:ascii="Times New Roman" w:hAnsi="Times New Roman" w:eastAsia="宋体" w:cs="Times New Roman"/>
                <w:color w:val="auto"/>
                <w:spacing w:val="8"/>
                <w:sz w:val="24"/>
                <w:szCs w:val="24"/>
                <w:highlight w:val="none"/>
              </w:rPr>
              <w:t>袋，年产生量约为</w:t>
            </w:r>
            <w:r>
              <w:rPr>
                <w:rFonts w:hint="default" w:ascii="Times New Roman" w:hAnsi="Times New Roman" w:eastAsia="宋体" w:cs="Times New Roman"/>
                <w:color w:val="auto"/>
                <w:spacing w:val="8"/>
                <w:sz w:val="24"/>
                <w:szCs w:val="24"/>
                <w:highlight w:val="none"/>
                <w:lang w:val="en-US" w:eastAsia="zh-CN"/>
              </w:rPr>
              <w:t>5</w:t>
            </w:r>
            <w:r>
              <w:rPr>
                <w:rFonts w:hint="default" w:ascii="Times New Roman" w:hAnsi="Times New Roman" w:eastAsia="宋体" w:cs="Times New Roman"/>
                <w:color w:val="auto"/>
                <w:spacing w:val="8"/>
                <w:sz w:val="24"/>
                <w:szCs w:val="24"/>
                <w:highlight w:val="none"/>
              </w:rPr>
              <w:t>t/a，废包装材料集中收集后定期外售</w:t>
            </w:r>
          </w:p>
          <w:p w14:paraId="722D7AB1">
            <w:pPr>
              <w:keepNext w:val="0"/>
              <w:keepLines w:val="0"/>
              <w:pageBreakBefore w:val="0"/>
              <w:widowControl/>
              <w:kinsoku w:val="0"/>
              <w:wordWrap/>
              <w:overflowPunct/>
              <w:topLinePunct w:val="0"/>
              <w:autoSpaceDE w:val="0"/>
              <w:autoSpaceDN w:val="0"/>
              <w:bidi w:val="0"/>
              <w:snapToGrid w:val="0"/>
              <w:spacing w:line="360" w:lineRule="auto"/>
              <w:ind w:left="0" w:right="0" w:firstLine="512" w:firstLineChars="200"/>
              <w:textAlignment w:val="baseline"/>
              <w:rPr>
                <w:rFonts w:hint="default" w:ascii="Times New Roman" w:hAnsi="Times New Roman" w:eastAsia="宋体" w:cs="Times New Roman"/>
                <w:color w:val="auto"/>
                <w:spacing w:val="8"/>
                <w:sz w:val="24"/>
                <w:szCs w:val="24"/>
                <w:highlight w:val="none"/>
                <w:lang w:val="en-US" w:eastAsia="zh-CN"/>
              </w:rPr>
            </w:pPr>
            <w:r>
              <w:rPr>
                <w:rFonts w:hint="default" w:ascii="Times New Roman" w:hAnsi="Times New Roman" w:eastAsia="宋体" w:cs="Times New Roman"/>
                <w:color w:val="auto"/>
                <w:spacing w:val="8"/>
                <w:sz w:val="24"/>
                <w:szCs w:val="24"/>
                <w:highlight w:val="none"/>
                <w:lang w:val="en-US" w:eastAsia="zh-CN"/>
              </w:rPr>
              <w:t>③沉淀池底泥</w:t>
            </w:r>
          </w:p>
          <w:p w14:paraId="142CD8EC">
            <w:pPr>
              <w:keepNext w:val="0"/>
              <w:keepLines w:val="0"/>
              <w:pageBreakBefore w:val="0"/>
              <w:widowControl/>
              <w:kinsoku w:val="0"/>
              <w:wordWrap/>
              <w:overflowPunct/>
              <w:topLinePunct w:val="0"/>
              <w:autoSpaceDE w:val="0"/>
              <w:autoSpaceDN w:val="0"/>
              <w:bidi w:val="0"/>
              <w:snapToGrid w:val="0"/>
              <w:spacing w:line="360" w:lineRule="auto"/>
              <w:ind w:left="0" w:right="0" w:firstLine="512" w:firstLineChars="200"/>
              <w:textAlignment w:val="baseline"/>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cs="Times New Roman"/>
                <w:color w:val="auto"/>
                <w:spacing w:val="8"/>
                <w:sz w:val="24"/>
                <w:szCs w:val="24"/>
                <w:highlight w:val="none"/>
                <w:lang w:val="en-US" w:eastAsia="zh-CN"/>
              </w:rPr>
              <w:t>本项目</w:t>
            </w:r>
            <w:r>
              <w:rPr>
                <w:rFonts w:hint="default" w:ascii="Times New Roman" w:hAnsi="Times New Roman" w:eastAsia="宋体" w:cs="Times New Roman"/>
                <w:color w:val="auto"/>
                <w:spacing w:val="1"/>
                <w:sz w:val="24"/>
                <w:szCs w:val="24"/>
                <w:highlight w:val="none"/>
              </w:rPr>
              <w:t>生产废水经三级沉淀池沉淀后循环使用不外排</w:t>
            </w:r>
            <w:r>
              <w:rPr>
                <w:rFonts w:hint="eastAsia" w:ascii="Times New Roman" w:hAnsi="Times New Roman" w:cs="Times New Roman"/>
                <w:color w:val="auto"/>
                <w:spacing w:val="1"/>
                <w:sz w:val="24"/>
                <w:szCs w:val="24"/>
                <w:highlight w:val="none"/>
                <w:lang w:val="en-US" w:eastAsia="zh-CN"/>
              </w:rPr>
              <w:t>会产生少量沉淀池底泥，产生量约0.8t/a，</w:t>
            </w:r>
            <w:r>
              <w:rPr>
                <w:rFonts w:hint="default" w:ascii="Times New Roman" w:hAnsi="Times New Roman" w:eastAsia="宋体" w:cs="Times New Roman"/>
                <w:color w:val="auto"/>
                <w:spacing w:val="1"/>
                <w:sz w:val="24"/>
                <w:szCs w:val="24"/>
                <w:highlight w:val="none"/>
                <w:lang w:val="en-US" w:eastAsia="zh-CN"/>
              </w:rPr>
              <w:t>沉淀池产生的污染物为泥沙，生产季结束后清掏，自然干化，干化后用于项目区周边农田配土</w:t>
            </w:r>
            <w:r>
              <w:rPr>
                <w:rFonts w:hint="eastAsia" w:ascii="Times New Roman" w:hAnsi="Times New Roman" w:eastAsia="宋体" w:cs="Times New Roman"/>
                <w:color w:val="auto"/>
                <w:spacing w:val="1"/>
                <w:sz w:val="24"/>
                <w:szCs w:val="24"/>
                <w:highlight w:val="none"/>
                <w:lang w:val="en-US" w:eastAsia="zh-CN"/>
              </w:rPr>
              <w:t>。</w:t>
            </w:r>
          </w:p>
          <w:p w14:paraId="36D80291">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3</w:t>
            </w:r>
            <w:r>
              <w:rPr>
                <w:rFonts w:hint="default" w:ascii="Times New Roman" w:hAnsi="Times New Roman" w:eastAsia="宋体" w:cs="Times New Roman"/>
                <w:color w:val="auto"/>
                <w:spacing w:val="-3"/>
                <w:sz w:val="24"/>
                <w:szCs w:val="24"/>
                <w:highlight w:val="none"/>
              </w:rPr>
              <w:t>）危险废物</w:t>
            </w:r>
          </w:p>
          <w:p w14:paraId="51FE6DE9">
            <w:pPr>
              <w:keepNext w:val="0"/>
              <w:keepLines w:val="0"/>
              <w:pageBreakBefore w:val="0"/>
              <w:widowControl/>
              <w:kinsoku w:val="0"/>
              <w:wordWrap/>
              <w:overflowPunct/>
              <w:topLinePunct w:val="0"/>
              <w:autoSpaceDE w:val="0"/>
              <w:autoSpaceDN w:val="0"/>
              <w:bidi w:val="0"/>
              <w:snapToGrid w:val="0"/>
              <w:spacing w:line="360" w:lineRule="auto"/>
              <w:ind w:left="0" w:right="0" w:firstLine="46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①废活性炭</w:t>
            </w:r>
          </w:p>
          <w:p w14:paraId="1F644D90">
            <w:pPr>
              <w:keepNext w:val="0"/>
              <w:keepLines w:val="0"/>
              <w:pageBreakBefore w:val="0"/>
              <w:widowControl/>
              <w:kinsoku w:val="0"/>
              <w:wordWrap/>
              <w:overflowPunct/>
              <w:topLinePunct w:val="0"/>
              <w:autoSpaceDE w:val="0"/>
              <w:autoSpaceDN w:val="0"/>
              <w:bidi w:val="0"/>
              <w:snapToGrid w:val="0"/>
              <w:spacing w:line="360" w:lineRule="auto"/>
              <w:ind w:left="0" w:right="0" w:firstLine="452"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7"/>
                <w:sz w:val="24"/>
                <w:szCs w:val="24"/>
                <w:highlight w:val="none"/>
              </w:rPr>
              <w:t>本项目采用</w:t>
            </w:r>
            <w:r>
              <w:rPr>
                <w:rFonts w:hint="default" w:ascii="Times New Roman" w:hAnsi="Times New Roman" w:cs="Times New Roman"/>
                <w:color w:val="auto"/>
                <w:spacing w:val="-7"/>
                <w:sz w:val="24"/>
                <w:szCs w:val="24"/>
                <w:highlight w:val="none"/>
                <w:lang w:eastAsia="zh-CN"/>
              </w:rPr>
              <w:t>活性炭吸附脱附+催化燃烧装置处理VOCs（以非甲烷总烃计）</w:t>
            </w:r>
            <w:r>
              <w:rPr>
                <w:rFonts w:hint="default" w:ascii="Times New Roman" w:hAnsi="Times New Roman" w:eastAsia="宋体" w:cs="Times New Roman"/>
                <w:color w:val="auto"/>
                <w:spacing w:val="-7"/>
                <w:sz w:val="24"/>
                <w:szCs w:val="24"/>
                <w:highlight w:val="none"/>
              </w:rPr>
              <w:t>，活性炭放置在</w:t>
            </w:r>
            <w:r>
              <w:rPr>
                <w:rFonts w:hint="default" w:ascii="Times New Roman" w:hAnsi="Times New Roman" w:cs="Times New Roman"/>
                <w:color w:val="auto"/>
                <w:spacing w:val="-7"/>
                <w:sz w:val="24"/>
                <w:szCs w:val="24"/>
                <w:highlight w:val="none"/>
                <w:lang w:eastAsia="zh-CN"/>
              </w:rPr>
              <w:t>活性炭吸附脱附+催化燃烧装置</w:t>
            </w:r>
            <w:r>
              <w:rPr>
                <w:rFonts w:hint="default" w:ascii="Times New Roman" w:hAnsi="Times New Roman" w:eastAsia="宋体" w:cs="Times New Roman"/>
                <w:color w:val="auto"/>
                <w:spacing w:val="-10"/>
                <w:sz w:val="24"/>
                <w:szCs w:val="24"/>
                <w:highlight w:val="none"/>
              </w:rPr>
              <w:t>的活性炭吸附箱内，由于长期使用净化效率大大降低，需定期更换新的活性炭，</w:t>
            </w:r>
            <w:r>
              <w:rPr>
                <w:rFonts w:hint="default" w:ascii="Times New Roman" w:hAnsi="Times New Roman" w:eastAsia="宋体" w:cs="Times New Roman"/>
                <w:color w:val="auto"/>
                <w:spacing w:val="-5"/>
                <w:sz w:val="24"/>
                <w:szCs w:val="24"/>
                <w:highlight w:val="none"/>
              </w:rPr>
              <w:t>本次评价按照每万风量</w:t>
            </w:r>
            <w:r>
              <w:rPr>
                <w:rFonts w:hint="default" w:ascii="Times New Roman" w:hAnsi="Times New Roman" w:eastAsia="Times New Roman" w:cs="Times New Roman"/>
                <w:color w:val="auto"/>
                <w:spacing w:val="-5"/>
                <w:sz w:val="24"/>
                <w:szCs w:val="24"/>
                <w:highlight w:val="none"/>
              </w:rPr>
              <w:t>0.8m</w:t>
            </w:r>
            <w:r>
              <w:rPr>
                <w:rFonts w:hint="default" w:ascii="Times New Roman" w:hAnsi="Times New Roman" w:eastAsia="Times New Roman" w:cs="Times New Roman"/>
                <w:color w:val="auto"/>
                <w:spacing w:val="-5"/>
                <w:position w:val="7"/>
                <w:sz w:val="24"/>
                <w:szCs w:val="24"/>
                <w:highlight w:val="none"/>
              </w:rPr>
              <w:t>3</w:t>
            </w:r>
            <w:r>
              <w:rPr>
                <w:rFonts w:hint="default" w:ascii="Times New Roman" w:hAnsi="Times New Roman" w:eastAsia="宋体" w:cs="Times New Roman"/>
                <w:color w:val="auto"/>
                <w:spacing w:val="-5"/>
                <w:sz w:val="24"/>
                <w:szCs w:val="24"/>
                <w:highlight w:val="none"/>
              </w:rPr>
              <w:t>活性炭填装量进行核算。本项目</w:t>
            </w:r>
            <w:r>
              <w:rPr>
                <w:rFonts w:hint="default" w:ascii="Times New Roman" w:hAnsi="Times New Roman" w:cs="Times New Roman"/>
                <w:color w:val="auto"/>
                <w:spacing w:val="-5"/>
                <w:sz w:val="24"/>
                <w:szCs w:val="24"/>
                <w:highlight w:val="none"/>
                <w:lang w:eastAsia="zh-CN"/>
              </w:rPr>
              <w:t>VOCs（以非甲烷总烃计）</w:t>
            </w:r>
            <w:r>
              <w:rPr>
                <w:rFonts w:hint="default" w:ascii="Times New Roman" w:hAnsi="Times New Roman" w:eastAsia="宋体" w:cs="Times New Roman"/>
                <w:color w:val="auto"/>
                <w:spacing w:val="-6"/>
                <w:sz w:val="24"/>
                <w:szCs w:val="24"/>
                <w:highlight w:val="none"/>
              </w:rPr>
              <w:t>治理设施设计风量为</w:t>
            </w:r>
            <w:r>
              <w:rPr>
                <w:rFonts w:hint="default" w:ascii="Times New Roman" w:hAnsi="Times New Roman" w:eastAsia="Times New Roman" w:cs="Times New Roman"/>
                <w:color w:val="auto"/>
                <w:spacing w:val="-6"/>
                <w:sz w:val="24"/>
                <w:szCs w:val="24"/>
                <w:highlight w:val="none"/>
              </w:rPr>
              <w:t>2</w:t>
            </w:r>
            <w:r>
              <w:rPr>
                <w:rFonts w:hint="default" w:ascii="Times New Roman" w:hAnsi="Times New Roman" w:eastAsia="宋体" w:cs="Times New Roman"/>
                <w:color w:val="auto"/>
                <w:spacing w:val="-6"/>
                <w:sz w:val="24"/>
                <w:szCs w:val="24"/>
                <w:highlight w:val="none"/>
              </w:rPr>
              <w:t>万</w:t>
            </w:r>
            <w:r>
              <w:rPr>
                <w:rFonts w:hint="default" w:ascii="Times New Roman" w:hAnsi="Times New Roman" w:eastAsia="Times New Roman" w:cs="Times New Roman"/>
                <w:color w:val="auto"/>
                <w:spacing w:val="-6"/>
                <w:sz w:val="24"/>
                <w:szCs w:val="24"/>
                <w:highlight w:val="none"/>
              </w:rPr>
              <w:t>m</w:t>
            </w:r>
            <w:r>
              <w:rPr>
                <w:rFonts w:hint="default" w:ascii="Times New Roman" w:hAnsi="Times New Roman" w:eastAsia="Times New Roman" w:cs="Times New Roman"/>
                <w:color w:val="auto"/>
                <w:spacing w:val="-6"/>
                <w:position w:val="7"/>
                <w:sz w:val="24"/>
                <w:szCs w:val="24"/>
                <w:highlight w:val="none"/>
              </w:rPr>
              <w:t>3</w:t>
            </w:r>
            <w:r>
              <w:rPr>
                <w:rFonts w:hint="default" w:ascii="Times New Roman" w:hAnsi="Times New Roman" w:eastAsia="Times New Roman" w:cs="Times New Roman"/>
                <w:color w:val="auto"/>
                <w:spacing w:val="-6"/>
                <w:sz w:val="24"/>
                <w:szCs w:val="24"/>
                <w:highlight w:val="none"/>
              </w:rPr>
              <w:t>/h</w:t>
            </w:r>
            <w:r>
              <w:rPr>
                <w:rFonts w:hint="default" w:ascii="Times New Roman" w:hAnsi="Times New Roman" w:eastAsia="宋体" w:cs="Times New Roman"/>
                <w:color w:val="auto"/>
                <w:spacing w:val="-6"/>
                <w:sz w:val="24"/>
                <w:szCs w:val="24"/>
                <w:highlight w:val="none"/>
              </w:rPr>
              <w:t>，活性炭一次填装</w:t>
            </w:r>
            <w:r>
              <w:rPr>
                <w:rFonts w:hint="default" w:ascii="Times New Roman" w:hAnsi="Times New Roman" w:eastAsia="宋体" w:cs="Times New Roman"/>
                <w:color w:val="auto"/>
                <w:spacing w:val="-7"/>
                <w:sz w:val="24"/>
                <w:szCs w:val="24"/>
                <w:highlight w:val="none"/>
              </w:rPr>
              <w:t>量约为</w:t>
            </w:r>
            <w:r>
              <w:rPr>
                <w:rFonts w:hint="default" w:ascii="Times New Roman" w:hAnsi="Times New Roman" w:eastAsia="Times New Roman" w:cs="Times New Roman"/>
                <w:color w:val="auto"/>
                <w:spacing w:val="-7"/>
                <w:sz w:val="24"/>
                <w:szCs w:val="24"/>
                <w:highlight w:val="none"/>
              </w:rPr>
              <w:t>1.6m</w:t>
            </w:r>
            <w:r>
              <w:rPr>
                <w:rFonts w:hint="default" w:ascii="Times New Roman" w:hAnsi="Times New Roman" w:eastAsia="Times New Roman" w:cs="Times New Roman"/>
                <w:color w:val="auto"/>
                <w:spacing w:val="-7"/>
                <w:position w:val="7"/>
                <w:sz w:val="24"/>
                <w:szCs w:val="24"/>
                <w:highlight w:val="none"/>
              </w:rPr>
              <w:t>3</w:t>
            </w:r>
            <w:r>
              <w:rPr>
                <w:rFonts w:hint="default" w:ascii="Times New Roman" w:hAnsi="Times New Roman" w:eastAsia="宋体" w:cs="Times New Roman"/>
                <w:color w:val="auto"/>
                <w:spacing w:val="-7"/>
                <w:sz w:val="24"/>
                <w:szCs w:val="24"/>
                <w:highlight w:val="none"/>
              </w:rPr>
              <w:t>（密度按</w:t>
            </w:r>
            <w:r>
              <w:rPr>
                <w:rFonts w:hint="default" w:ascii="Times New Roman" w:hAnsi="Times New Roman" w:eastAsia="Times New Roman" w:cs="Times New Roman"/>
                <w:color w:val="auto"/>
                <w:spacing w:val="-7"/>
                <w:sz w:val="24"/>
                <w:szCs w:val="24"/>
                <w:highlight w:val="none"/>
              </w:rPr>
              <w:t>500kg/m</w:t>
            </w:r>
            <w:r>
              <w:rPr>
                <w:rFonts w:hint="default" w:ascii="Times New Roman" w:hAnsi="Times New Roman" w:eastAsia="Times New Roman" w:cs="Times New Roman"/>
                <w:color w:val="auto"/>
                <w:spacing w:val="-7"/>
                <w:position w:val="7"/>
                <w:sz w:val="24"/>
                <w:szCs w:val="24"/>
                <w:highlight w:val="none"/>
              </w:rPr>
              <w:t>3</w:t>
            </w:r>
            <w:r>
              <w:rPr>
                <w:rFonts w:hint="default" w:ascii="Times New Roman" w:hAnsi="Times New Roman" w:eastAsia="宋体" w:cs="Times New Roman"/>
                <w:color w:val="auto"/>
                <w:spacing w:val="-7"/>
                <w:sz w:val="24"/>
                <w:szCs w:val="24"/>
                <w:highlight w:val="none"/>
              </w:rPr>
              <w:t>计</w:t>
            </w:r>
            <w:r>
              <w:rPr>
                <w:rFonts w:hint="default" w:ascii="Times New Roman" w:hAnsi="Times New Roman" w:eastAsia="宋体" w:cs="Times New Roman"/>
                <w:color w:val="auto"/>
                <w:spacing w:val="-53"/>
                <w:sz w:val="24"/>
                <w:szCs w:val="24"/>
                <w:highlight w:val="none"/>
              </w:rPr>
              <w:t>），</w:t>
            </w:r>
            <w:r>
              <w:rPr>
                <w:rFonts w:hint="default" w:ascii="Times New Roman" w:hAnsi="Times New Roman" w:eastAsia="宋体" w:cs="Times New Roman"/>
                <w:color w:val="auto"/>
                <w:spacing w:val="-5"/>
                <w:sz w:val="24"/>
                <w:szCs w:val="24"/>
                <w:highlight w:val="none"/>
              </w:rPr>
              <w:t>则活性炭一次填装量为</w:t>
            </w:r>
            <w:r>
              <w:rPr>
                <w:rFonts w:hint="default" w:ascii="Times New Roman" w:hAnsi="Times New Roman" w:eastAsia="Times New Roman" w:cs="Times New Roman"/>
                <w:color w:val="auto"/>
                <w:spacing w:val="-5"/>
                <w:sz w:val="24"/>
                <w:szCs w:val="24"/>
                <w:highlight w:val="none"/>
              </w:rPr>
              <w:t>0.8t</w:t>
            </w:r>
            <w:r>
              <w:rPr>
                <w:rFonts w:hint="default" w:ascii="Times New Roman" w:hAnsi="Times New Roman" w:eastAsia="宋体" w:cs="Times New Roman"/>
                <w:color w:val="auto"/>
                <w:spacing w:val="-5"/>
                <w:sz w:val="24"/>
                <w:szCs w:val="24"/>
                <w:highlight w:val="none"/>
              </w:rPr>
              <w:t>，本次评价要求建设单位每</w:t>
            </w:r>
            <w:r>
              <w:rPr>
                <w:rFonts w:hint="default" w:ascii="Times New Roman" w:hAnsi="Times New Roman" w:eastAsia="Times New Roman" w:cs="Times New Roman"/>
                <w:color w:val="auto"/>
                <w:spacing w:val="-5"/>
                <w:sz w:val="24"/>
                <w:szCs w:val="24"/>
                <w:highlight w:val="none"/>
              </w:rPr>
              <w:t>3</w:t>
            </w:r>
            <w:r>
              <w:rPr>
                <w:rFonts w:hint="default" w:ascii="Times New Roman" w:hAnsi="Times New Roman" w:eastAsia="宋体" w:cs="Times New Roman"/>
                <w:color w:val="auto"/>
                <w:spacing w:val="-5"/>
                <w:sz w:val="24"/>
                <w:szCs w:val="24"/>
                <w:highlight w:val="none"/>
              </w:rPr>
              <w:t>年更</w:t>
            </w:r>
            <w:r>
              <w:rPr>
                <w:rFonts w:hint="default" w:ascii="Times New Roman" w:hAnsi="Times New Roman" w:eastAsia="宋体" w:cs="Times New Roman"/>
                <w:color w:val="auto"/>
                <w:spacing w:val="-6"/>
                <w:sz w:val="24"/>
                <w:szCs w:val="24"/>
                <w:highlight w:val="none"/>
              </w:rPr>
              <w:t>换</w:t>
            </w:r>
            <w:r>
              <w:rPr>
                <w:rFonts w:hint="default" w:ascii="Times New Roman" w:hAnsi="Times New Roman" w:eastAsia="Times New Roman" w:cs="Times New Roman"/>
                <w:color w:val="auto"/>
                <w:spacing w:val="-6"/>
                <w:sz w:val="24"/>
                <w:szCs w:val="24"/>
                <w:highlight w:val="none"/>
              </w:rPr>
              <w:t>1</w:t>
            </w:r>
            <w:r>
              <w:rPr>
                <w:rFonts w:hint="default" w:ascii="Times New Roman" w:hAnsi="Times New Roman" w:eastAsia="宋体" w:cs="Times New Roman"/>
                <w:color w:val="auto"/>
                <w:spacing w:val="-6"/>
                <w:sz w:val="24"/>
                <w:szCs w:val="24"/>
                <w:highlight w:val="none"/>
              </w:rPr>
              <w:t>次活性炭，本项目约产生废活性炭</w:t>
            </w:r>
            <w:r>
              <w:rPr>
                <w:rFonts w:hint="default" w:ascii="Times New Roman" w:hAnsi="Times New Roman" w:eastAsia="Times New Roman" w:cs="Times New Roman"/>
                <w:color w:val="auto"/>
                <w:spacing w:val="-6"/>
                <w:sz w:val="24"/>
                <w:szCs w:val="24"/>
                <w:highlight w:val="none"/>
              </w:rPr>
              <w:t>0.27t/a</w:t>
            </w:r>
            <w:r>
              <w:rPr>
                <w:rFonts w:hint="default" w:ascii="Times New Roman" w:hAnsi="Times New Roman" w:eastAsia="宋体" w:cs="Times New Roman"/>
                <w:color w:val="auto"/>
                <w:spacing w:val="-6"/>
                <w:sz w:val="24"/>
                <w:szCs w:val="24"/>
                <w:highlight w:val="none"/>
              </w:rPr>
              <w:t>。废活性炭属于危险废物，废</w:t>
            </w:r>
            <w:r>
              <w:rPr>
                <w:rFonts w:hint="default" w:ascii="Times New Roman" w:hAnsi="Times New Roman" w:eastAsia="宋体" w:cs="Times New Roman"/>
                <w:color w:val="auto"/>
                <w:spacing w:val="-7"/>
                <w:sz w:val="24"/>
                <w:szCs w:val="24"/>
                <w:highlight w:val="none"/>
              </w:rPr>
              <w:t>活性炭</w:t>
            </w:r>
            <w:r>
              <w:rPr>
                <w:rFonts w:hint="eastAsia" w:ascii="Times New Roman" w:hAnsi="Times New Roman" w:cs="Times New Roman"/>
                <w:color w:val="auto"/>
                <w:spacing w:val="-7"/>
                <w:sz w:val="24"/>
                <w:szCs w:val="24"/>
                <w:highlight w:val="none"/>
                <w:lang w:val="en-US" w:eastAsia="zh-CN"/>
              </w:rPr>
              <w:t>收集至危废暂存点进行贮存，</w:t>
            </w:r>
            <w:r>
              <w:rPr>
                <w:rFonts w:hint="default" w:ascii="Times New Roman" w:hAnsi="Times New Roman" w:eastAsia="宋体" w:cs="Times New Roman"/>
                <w:color w:val="auto"/>
                <w:spacing w:val="-5"/>
                <w:sz w:val="24"/>
                <w:szCs w:val="24"/>
                <w:highlight w:val="none"/>
              </w:rPr>
              <w:t>定期委托危废</w:t>
            </w:r>
            <w:r>
              <w:rPr>
                <w:rFonts w:hint="default" w:ascii="Times New Roman" w:hAnsi="Times New Roman" w:cs="Times New Roman"/>
                <w:color w:val="auto"/>
                <w:spacing w:val="-5"/>
                <w:sz w:val="24"/>
                <w:szCs w:val="24"/>
                <w:highlight w:val="none"/>
                <w:lang w:val="en-US" w:eastAsia="zh-CN"/>
              </w:rPr>
              <w:t>资质单位处置</w:t>
            </w:r>
            <w:r>
              <w:rPr>
                <w:rFonts w:hint="default" w:ascii="Times New Roman" w:hAnsi="Times New Roman" w:eastAsia="宋体" w:cs="Times New Roman"/>
                <w:color w:val="auto"/>
                <w:spacing w:val="-5"/>
                <w:sz w:val="24"/>
                <w:szCs w:val="24"/>
                <w:highlight w:val="none"/>
              </w:rPr>
              <w:t>。</w:t>
            </w:r>
          </w:p>
          <w:p w14:paraId="52F6F0B1">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②废催化剂</w:t>
            </w:r>
          </w:p>
          <w:p w14:paraId="4AC50360">
            <w:pPr>
              <w:keepNext w:val="0"/>
              <w:keepLines w:val="0"/>
              <w:pageBreakBefore w:val="0"/>
              <w:widowControl/>
              <w:kinsoku w:val="0"/>
              <w:wordWrap/>
              <w:overflowPunct/>
              <w:topLinePunct w:val="0"/>
              <w:autoSpaceDE w:val="0"/>
              <w:autoSpaceDN w:val="0"/>
              <w:bidi w:val="0"/>
              <w:snapToGrid w:val="0"/>
              <w:spacing w:line="360" w:lineRule="auto"/>
              <w:ind w:left="0" w:right="0" w:firstLine="456"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本项目采用</w:t>
            </w:r>
            <w:r>
              <w:rPr>
                <w:rFonts w:hint="default" w:ascii="Times New Roman" w:hAnsi="Times New Roman" w:cs="Times New Roman"/>
                <w:color w:val="auto"/>
                <w:spacing w:val="-6"/>
                <w:sz w:val="24"/>
                <w:szCs w:val="24"/>
                <w:highlight w:val="none"/>
                <w:lang w:eastAsia="zh-CN"/>
              </w:rPr>
              <w:t>活性炭吸附脱附+催化燃烧装置</w:t>
            </w:r>
            <w:r>
              <w:rPr>
                <w:rFonts w:hint="default" w:ascii="Times New Roman" w:hAnsi="Times New Roman" w:eastAsia="宋体" w:cs="Times New Roman"/>
                <w:color w:val="auto"/>
                <w:spacing w:val="-6"/>
                <w:sz w:val="24"/>
                <w:szCs w:val="24"/>
                <w:highlight w:val="none"/>
              </w:rPr>
              <w:t>处理</w:t>
            </w:r>
            <w:r>
              <w:rPr>
                <w:rFonts w:hint="default" w:ascii="Times New Roman" w:hAnsi="Times New Roman" w:cs="Times New Roman"/>
                <w:color w:val="auto"/>
                <w:spacing w:val="-6"/>
                <w:sz w:val="24"/>
                <w:szCs w:val="24"/>
                <w:highlight w:val="none"/>
                <w:lang w:eastAsia="zh-CN"/>
              </w:rPr>
              <w:t>VOCs（以非甲烷总烃计）</w:t>
            </w:r>
            <w:r>
              <w:rPr>
                <w:rFonts w:hint="default" w:ascii="Times New Roman" w:hAnsi="Times New Roman" w:eastAsia="宋体" w:cs="Times New Roman"/>
                <w:color w:val="auto"/>
                <w:spacing w:val="-6"/>
                <w:sz w:val="24"/>
                <w:szCs w:val="24"/>
                <w:highlight w:val="none"/>
              </w:rPr>
              <w:t>，催化剂放置在</w:t>
            </w:r>
            <w:r>
              <w:rPr>
                <w:rFonts w:hint="default" w:ascii="Times New Roman" w:hAnsi="Times New Roman" w:cs="Times New Roman"/>
                <w:color w:val="auto"/>
                <w:spacing w:val="-6"/>
                <w:sz w:val="24"/>
                <w:szCs w:val="24"/>
                <w:highlight w:val="none"/>
                <w:lang w:eastAsia="zh-CN"/>
              </w:rPr>
              <w:t>活性炭吸附脱附+催化燃烧装置</w:t>
            </w:r>
            <w:r>
              <w:rPr>
                <w:rFonts w:hint="default" w:ascii="Times New Roman" w:hAnsi="Times New Roman" w:eastAsia="宋体" w:cs="Times New Roman"/>
                <w:color w:val="auto"/>
                <w:spacing w:val="-7"/>
                <w:sz w:val="24"/>
                <w:szCs w:val="24"/>
                <w:highlight w:val="none"/>
              </w:rPr>
              <w:t>的催</w:t>
            </w:r>
            <w:r>
              <w:rPr>
                <w:rFonts w:hint="default" w:ascii="Times New Roman" w:hAnsi="Times New Roman" w:eastAsia="宋体" w:cs="Times New Roman"/>
                <w:color w:val="auto"/>
                <w:spacing w:val="-1"/>
                <w:sz w:val="24"/>
                <w:szCs w:val="24"/>
                <w:highlight w:val="none"/>
              </w:rPr>
              <w:t>化室内，需定期更换新的催化剂，催化剂含有贵金属（含铂）</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rPr>
              <w:t>根据建设单位</w:t>
            </w:r>
            <w:r>
              <w:rPr>
                <w:rFonts w:hint="default" w:ascii="Times New Roman" w:hAnsi="Times New Roman" w:eastAsia="宋体" w:cs="Times New Roman"/>
                <w:color w:val="auto"/>
                <w:spacing w:val="-6"/>
                <w:sz w:val="24"/>
                <w:szCs w:val="24"/>
                <w:highlight w:val="none"/>
              </w:rPr>
              <w:t>提供的资料，催化剂每</w:t>
            </w:r>
            <w:r>
              <w:rPr>
                <w:rFonts w:hint="default" w:ascii="Times New Roman" w:hAnsi="Times New Roman" w:eastAsia="Times New Roman" w:cs="Times New Roman"/>
                <w:color w:val="auto"/>
                <w:spacing w:val="-6"/>
                <w:sz w:val="24"/>
                <w:szCs w:val="24"/>
                <w:highlight w:val="none"/>
              </w:rPr>
              <w:t>2</w:t>
            </w:r>
            <w:r>
              <w:rPr>
                <w:rFonts w:hint="default" w:ascii="Times New Roman" w:hAnsi="Times New Roman" w:eastAsia="宋体" w:cs="Times New Roman"/>
                <w:color w:val="auto"/>
                <w:spacing w:val="-6"/>
                <w:sz w:val="24"/>
                <w:szCs w:val="24"/>
                <w:highlight w:val="none"/>
              </w:rPr>
              <w:t>年更换</w:t>
            </w:r>
            <w:r>
              <w:rPr>
                <w:rFonts w:hint="default" w:ascii="Times New Roman" w:hAnsi="Times New Roman" w:eastAsia="Times New Roman" w:cs="Times New Roman"/>
                <w:color w:val="auto"/>
                <w:spacing w:val="-6"/>
                <w:sz w:val="24"/>
                <w:szCs w:val="24"/>
                <w:highlight w:val="none"/>
              </w:rPr>
              <w:t>1</w:t>
            </w:r>
            <w:r>
              <w:rPr>
                <w:rFonts w:hint="default" w:ascii="Times New Roman" w:hAnsi="Times New Roman" w:eastAsia="宋体" w:cs="Times New Roman"/>
                <w:color w:val="auto"/>
                <w:spacing w:val="-6"/>
                <w:sz w:val="24"/>
                <w:szCs w:val="24"/>
                <w:highlight w:val="none"/>
              </w:rPr>
              <w:t>次，每次废催化剂的更换量约为</w:t>
            </w:r>
            <w:r>
              <w:rPr>
                <w:rFonts w:hint="default" w:ascii="Times New Roman" w:hAnsi="Times New Roman" w:eastAsia="Times New Roman" w:cs="Times New Roman"/>
                <w:color w:val="auto"/>
                <w:spacing w:val="-6"/>
                <w:sz w:val="24"/>
                <w:szCs w:val="24"/>
                <w:highlight w:val="none"/>
              </w:rPr>
              <w:t>0.5t</w:t>
            </w:r>
            <w:r>
              <w:rPr>
                <w:rFonts w:hint="default" w:ascii="Times New Roman" w:hAnsi="Times New Roman" w:eastAsia="宋体" w:cs="Times New Roman"/>
                <w:color w:val="auto"/>
                <w:spacing w:val="-6"/>
                <w:sz w:val="24"/>
                <w:szCs w:val="24"/>
                <w:highlight w:val="none"/>
              </w:rPr>
              <w:t>，则废</w:t>
            </w:r>
            <w:r>
              <w:rPr>
                <w:rFonts w:hint="default" w:ascii="Times New Roman" w:hAnsi="Times New Roman" w:eastAsia="宋体" w:cs="Times New Roman"/>
                <w:color w:val="auto"/>
                <w:spacing w:val="-5"/>
                <w:sz w:val="24"/>
                <w:szCs w:val="24"/>
                <w:highlight w:val="none"/>
              </w:rPr>
              <w:t>催化剂的年产生量约为</w:t>
            </w:r>
            <w:r>
              <w:rPr>
                <w:rFonts w:hint="default" w:ascii="Times New Roman" w:hAnsi="Times New Roman" w:eastAsia="Times New Roman" w:cs="Times New Roman"/>
                <w:color w:val="auto"/>
                <w:spacing w:val="-5"/>
                <w:sz w:val="24"/>
                <w:szCs w:val="24"/>
                <w:highlight w:val="none"/>
              </w:rPr>
              <w:t>0.25t/a</w:t>
            </w:r>
            <w:r>
              <w:rPr>
                <w:rFonts w:hint="default" w:ascii="Times New Roman" w:hAnsi="Times New Roman" w:eastAsia="宋体" w:cs="Times New Roman"/>
                <w:color w:val="auto"/>
                <w:spacing w:val="-5"/>
                <w:sz w:val="24"/>
                <w:szCs w:val="24"/>
                <w:highlight w:val="none"/>
              </w:rPr>
              <w:t>，废</w:t>
            </w:r>
            <w:r>
              <w:rPr>
                <w:rFonts w:hint="default" w:ascii="Times New Roman" w:hAnsi="Times New Roman" w:eastAsia="宋体" w:cs="Times New Roman"/>
                <w:color w:val="auto"/>
                <w:spacing w:val="-6"/>
                <w:sz w:val="24"/>
                <w:szCs w:val="24"/>
                <w:highlight w:val="none"/>
              </w:rPr>
              <w:t>催化剂属于危险废物，本项目废催化剂</w:t>
            </w:r>
            <w:r>
              <w:rPr>
                <w:rFonts w:hint="default" w:ascii="Times New Roman" w:hAnsi="Times New Roman" w:eastAsia="宋体" w:cs="Times New Roman"/>
                <w:color w:val="auto"/>
                <w:spacing w:val="-5"/>
                <w:sz w:val="24"/>
                <w:szCs w:val="24"/>
                <w:highlight w:val="none"/>
              </w:rPr>
              <w:t>定期委托危废</w:t>
            </w:r>
            <w:r>
              <w:rPr>
                <w:rFonts w:hint="default" w:ascii="Times New Roman" w:hAnsi="Times New Roman" w:cs="Times New Roman"/>
                <w:color w:val="auto"/>
                <w:spacing w:val="-5"/>
                <w:sz w:val="24"/>
                <w:szCs w:val="24"/>
                <w:highlight w:val="none"/>
                <w:lang w:val="en-US" w:eastAsia="zh-CN"/>
              </w:rPr>
              <w:t>资质单位处置</w:t>
            </w:r>
            <w:r>
              <w:rPr>
                <w:rFonts w:hint="default" w:ascii="Times New Roman" w:hAnsi="Times New Roman" w:eastAsia="宋体" w:cs="Times New Roman"/>
                <w:color w:val="auto"/>
                <w:spacing w:val="-5"/>
                <w:sz w:val="24"/>
                <w:szCs w:val="24"/>
                <w:highlight w:val="none"/>
              </w:rPr>
              <w:t>。</w:t>
            </w:r>
          </w:p>
          <w:p w14:paraId="705F8C81">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③废机油</w:t>
            </w:r>
          </w:p>
          <w:p w14:paraId="42246942">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项目营运期由于机械维修等会产生少量废机油，根据建设单</w:t>
            </w:r>
            <w:r>
              <w:rPr>
                <w:rFonts w:hint="default" w:ascii="Times New Roman" w:hAnsi="Times New Roman" w:eastAsia="宋体" w:cs="Times New Roman"/>
                <w:color w:val="auto"/>
                <w:sz w:val="24"/>
                <w:szCs w:val="24"/>
                <w:highlight w:val="none"/>
              </w:rPr>
              <w:t>位提供的资</w:t>
            </w:r>
            <w:r>
              <w:rPr>
                <w:rFonts w:hint="default" w:ascii="Times New Roman" w:hAnsi="Times New Roman" w:eastAsia="宋体" w:cs="Times New Roman"/>
                <w:color w:val="auto"/>
                <w:spacing w:val="-1"/>
                <w:sz w:val="24"/>
                <w:szCs w:val="24"/>
                <w:highlight w:val="none"/>
              </w:rPr>
              <w:t>料，废机油产生量约为</w:t>
            </w:r>
            <w:r>
              <w:rPr>
                <w:rFonts w:hint="default" w:ascii="Times New Roman" w:hAnsi="Times New Roman" w:eastAsia="Times New Roman" w:cs="Times New Roman"/>
                <w:color w:val="auto"/>
                <w:spacing w:val="-1"/>
                <w:sz w:val="24"/>
                <w:szCs w:val="24"/>
                <w:highlight w:val="none"/>
              </w:rPr>
              <w:t>0.5t/a</w:t>
            </w:r>
            <w:r>
              <w:rPr>
                <w:rFonts w:hint="default" w:ascii="Times New Roman" w:hAnsi="Times New Roman" w:eastAsia="宋体" w:cs="Times New Roman"/>
                <w:color w:val="auto"/>
                <w:spacing w:val="-1"/>
                <w:sz w:val="24"/>
                <w:szCs w:val="24"/>
                <w:highlight w:val="none"/>
              </w:rPr>
              <w:t>，由企业收集后暂存</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2"/>
                <w:sz w:val="24"/>
                <w:szCs w:val="24"/>
                <w:highlight w:val="none"/>
              </w:rPr>
              <w:t>5m</w:t>
            </w:r>
            <w:r>
              <w:rPr>
                <w:rFonts w:hint="default" w:ascii="Times New Roman" w:hAnsi="Times New Roman" w:eastAsia="Times New Roman" w:cs="Times New Roman"/>
                <w:color w:val="auto"/>
                <w:spacing w:val="-2"/>
                <w:position w:val="7"/>
                <w:sz w:val="24"/>
                <w:szCs w:val="24"/>
                <w:highlight w:val="none"/>
              </w:rPr>
              <w:t>2</w:t>
            </w:r>
            <w:r>
              <w:rPr>
                <w:rFonts w:hint="default" w:ascii="Times New Roman" w:hAnsi="Times New Roman" w:eastAsia="宋体" w:cs="Times New Roman"/>
                <w:color w:val="auto"/>
                <w:spacing w:val="-11"/>
                <w:sz w:val="24"/>
                <w:szCs w:val="24"/>
                <w:highlight w:val="none"/>
              </w:rPr>
              <w:t>），</w:t>
            </w:r>
            <w:r>
              <w:rPr>
                <w:rFonts w:hint="default" w:ascii="Times New Roman" w:hAnsi="Times New Roman" w:eastAsia="宋体" w:cs="Times New Roman"/>
                <w:color w:val="auto"/>
                <w:spacing w:val="-2"/>
                <w:sz w:val="24"/>
                <w:szCs w:val="24"/>
                <w:highlight w:val="none"/>
              </w:rPr>
              <w:t>定期</w:t>
            </w:r>
            <w:r>
              <w:rPr>
                <w:rFonts w:hint="default" w:ascii="Times New Roman" w:hAnsi="Times New Roman" w:eastAsia="宋体" w:cs="Times New Roman"/>
                <w:color w:val="auto"/>
                <w:spacing w:val="-4"/>
                <w:sz w:val="24"/>
                <w:szCs w:val="24"/>
                <w:highlight w:val="none"/>
              </w:rPr>
              <w:t>委托有相关危废处理资质的单位进行处置。</w:t>
            </w:r>
          </w:p>
          <w:p w14:paraId="6E75E4A4">
            <w:pPr>
              <w:keepNext w:val="0"/>
              <w:keepLines w:val="0"/>
              <w:pageBreakBefore w:val="0"/>
              <w:widowControl/>
              <w:kinsoku w:val="0"/>
              <w:wordWrap/>
              <w:overflowPunct/>
              <w:topLinePunct w:val="0"/>
              <w:autoSpaceDE w:val="0"/>
              <w:autoSpaceDN w:val="0"/>
              <w:bidi w:val="0"/>
              <w:snapToGrid w:val="0"/>
              <w:spacing w:line="360" w:lineRule="auto"/>
              <w:ind w:left="0" w:right="0" w:firstLine="46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根据《固体废物分类与代码目录》（公告2024年第4号）及《</w:t>
            </w:r>
            <w:r>
              <w:rPr>
                <w:rFonts w:hint="default" w:ascii="Times New Roman" w:hAnsi="Times New Roman" w:eastAsia="宋体" w:cs="Times New Roman"/>
                <w:color w:val="auto"/>
                <w:spacing w:val="-5"/>
                <w:sz w:val="24"/>
                <w:szCs w:val="24"/>
                <w:highlight w:val="none"/>
              </w:rPr>
              <w:t>国家危险</w:t>
            </w:r>
            <w:r>
              <w:rPr>
                <w:rFonts w:hint="default" w:ascii="Times New Roman" w:hAnsi="Times New Roman" w:eastAsia="宋体" w:cs="Times New Roman"/>
                <w:color w:val="auto"/>
                <w:spacing w:val="1"/>
                <w:sz w:val="24"/>
                <w:szCs w:val="24"/>
                <w:highlight w:val="none"/>
              </w:rPr>
              <w:t>废物名录》（</w:t>
            </w:r>
            <w:r>
              <w:rPr>
                <w:rFonts w:hint="default" w:ascii="Times New Roman" w:hAnsi="Times New Roman" w:eastAsia="Times New Roman" w:cs="Times New Roman"/>
                <w:color w:val="auto"/>
                <w:spacing w:val="1"/>
                <w:sz w:val="24"/>
                <w:szCs w:val="24"/>
                <w:highlight w:val="none"/>
              </w:rPr>
              <w:t>2021</w:t>
            </w:r>
            <w:r>
              <w:rPr>
                <w:rFonts w:hint="default" w:ascii="Times New Roman" w:hAnsi="Times New Roman" w:eastAsia="宋体" w:cs="Times New Roman"/>
                <w:color w:val="auto"/>
                <w:spacing w:val="1"/>
                <w:sz w:val="24"/>
                <w:szCs w:val="24"/>
                <w:highlight w:val="none"/>
              </w:rPr>
              <w:t>年版</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pacing w:val="1"/>
                <w:sz w:val="24"/>
                <w:szCs w:val="24"/>
                <w:highlight w:val="none"/>
              </w:rPr>
              <w:t>将本项目产生的固体废物进行汇总及分类，</w:t>
            </w:r>
            <w:r>
              <w:rPr>
                <w:rFonts w:hint="default" w:ascii="Times New Roman" w:hAnsi="Times New Roman" w:eastAsia="宋体" w:cs="Times New Roman"/>
                <w:color w:val="auto"/>
                <w:sz w:val="24"/>
                <w:szCs w:val="24"/>
                <w:highlight w:val="none"/>
              </w:rPr>
              <w:t>具体</w:t>
            </w:r>
            <w:r>
              <w:rPr>
                <w:rFonts w:hint="default" w:ascii="Times New Roman" w:hAnsi="Times New Roman" w:eastAsia="宋体" w:cs="Times New Roman"/>
                <w:color w:val="auto"/>
                <w:spacing w:val="-2"/>
                <w:sz w:val="24"/>
                <w:szCs w:val="24"/>
                <w:highlight w:val="none"/>
              </w:rPr>
              <w:t>见表</w:t>
            </w:r>
            <w:r>
              <w:rPr>
                <w:rFonts w:hint="default" w:ascii="Times New Roman" w:hAnsi="Times New Roman" w:eastAsia="Times New Roman" w:cs="Times New Roman"/>
                <w:color w:val="auto"/>
                <w:spacing w:val="-2"/>
                <w:sz w:val="24"/>
                <w:szCs w:val="24"/>
                <w:highlight w:val="none"/>
              </w:rPr>
              <w:t>4-</w:t>
            </w:r>
            <w:r>
              <w:rPr>
                <w:rFonts w:hint="default" w:ascii="Times New Roman" w:hAnsi="Times New Roman" w:eastAsia="宋体" w:cs="Times New Roman"/>
                <w:color w:val="auto"/>
                <w:spacing w:val="-2"/>
                <w:sz w:val="24"/>
                <w:szCs w:val="24"/>
                <w:highlight w:val="none"/>
                <w:lang w:val="en-US" w:eastAsia="zh-CN"/>
              </w:rPr>
              <w:t>9</w:t>
            </w:r>
            <w:r>
              <w:rPr>
                <w:rFonts w:hint="default" w:ascii="Times New Roman" w:hAnsi="Times New Roman" w:eastAsia="宋体" w:cs="Times New Roman"/>
                <w:color w:val="auto"/>
                <w:spacing w:val="-2"/>
                <w:sz w:val="24"/>
                <w:szCs w:val="24"/>
                <w:highlight w:val="none"/>
              </w:rPr>
              <w:t>。</w:t>
            </w:r>
          </w:p>
          <w:p w14:paraId="727454DB">
            <w:pPr>
              <w:keepNext w:val="0"/>
              <w:keepLines w:val="0"/>
              <w:pageBreakBefore w:val="0"/>
              <w:widowControl/>
              <w:kinsoku w:val="0"/>
              <w:wordWrap/>
              <w:overflowPunct/>
              <w:topLinePunct w:val="0"/>
              <w:autoSpaceDE w:val="0"/>
              <w:autoSpaceDN w:val="0"/>
              <w:bidi w:val="0"/>
              <w:snapToGrid w:val="0"/>
              <w:spacing w:line="240" w:lineRule="auto"/>
              <w:ind w:left="0" w:right="0" w:firstLine="442" w:firstLineChars="200"/>
              <w:jc w:val="center"/>
              <w:textAlignment w:val="baseline"/>
              <w:rPr>
                <w:rFonts w:hint="default" w:ascii="Times New Roman" w:hAnsi="Times New Roman" w:eastAsia="宋体" w:cs="Times New Roman"/>
                <w:b/>
                <w:bCs/>
                <w:color w:val="auto"/>
                <w:spacing w:val="5"/>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color w:val="auto"/>
                <w:spacing w:val="5"/>
                <w:sz w:val="21"/>
                <w:szCs w:val="21"/>
                <w:highlight w:val="none"/>
              </w:rPr>
              <w:t>4-</w:t>
            </w:r>
            <w:r>
              <w:rPr>
                <w:rFonts w:hint="default" w:ascii="Times New Roman" w:hAnsi="Times New Roman" w:eastAsia="宋体" w:cs="Times New Roman"/>
                <w:color w:val="auto"/>
                <w:spacing w:val="5"/>
                <w:sz w:val="21"/>
                <w:szCs w:val="21"/>
                <w:highlight w:val="none"/>
                <w:lang w:val="en-US" w:eastAsia="zh-CN"/>
              </w:rPr>
              <w:t>9</w:t>
            </w:r>
            <w:r>
              <w:rPr>
                <w:rFonts w:hint="eastAsia" w:ascii="Times New Roman" w:hAnsi="Times New Roman" w:cs="Times New Roman"/>
                <w:color w:val="auto"/>
                <w:spacing w:val="5"/>
                <w:sz w:val="21"/>
                <w:szCs w:val="21"/>
                <w:highlight w:val="none"/>
                <w:lang w:val="en-US" w:eastAsia="zh-CN"/>
              </w:rPr>
              <w:t xml:space="preserve">   </w:t>
            </w:r>
            <w:r>
              <w:rPr>
                <w:rFonts w:hint="default" w:ascii="Times New Roman" w:hAnsi="Times New Roman" w:eastAsia="宋体" w:cs="Times New Roman"/>
                <w:b/>
                <w:bCs/>
                <w:color w:val="auto"/>
                <w:spacing w:val="5"/>
                <w:sz w:val="21"/>
                <w:szCs w:val="21"/>
                <w:highlight w:val="none"/>
              </w:rPr>
              <w:t>固体废物排放量及处置设施</w:t>
            </w:r>
          </w:p>
          <w:tbl>
            <w:tblPr>
              <w:tblStyle w:val="54"/>
              <w:tblW w:w="748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97"/>
              <w:gridCol w:w="461"/>
              <w:gridCol w:w="458"/>
              <w:gridCol w:w="1332"/>
              <w:gridCol w:w="681"/>
              <w:gridCol w:w="681"/>
              <w:gridCol w:w="727"/>
              <w:gridCol w:w="939"/>
              <w:gridCol w:w="1713"/>
            </w:tblGrid>
            <w:tr w14:paraId="46DB47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tcBorders>
                    <w:bottom w:val="single" w:color="000000" w:sz="12" w:space="0"/>
                  </w:tcBorders>
                  <w:vAlign w:val="center"/>
                </w:tcPr>
                <w:p w14:paraId="06A99A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类型</w:t>
                  </w:r>
                </w:p>
              </w:tc>
              <w:tc>
                <w:tcPr>
                  <w:tcW w:w="461" w:type="dxa"/>
                  <w:tcBorders>
                    <w:bottom w:val="single" w:color="000000" w:sz="12" w:space="0"/>
                  </w:tcBorders>
                  <w:vAlign w:val="center"/>
                </w:tcPr>
                <w:p w14:paraId="101F48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产生源</w:t>
                  </w:r>
                </w:p>
              </w:tc>
              <w:tc>
                <w:tcPr>
                  <w:tcW w:w="458" w:type="dxa"/>
                  <w:tcBorders>
                    <w:bottom w:val="single" w:color="000000" w:sz="12" w:space="0"/>
                  </w:tcBorders>
                  <w:vAlign w:val="center"/>
                </w:tcPr>
                <w:p w14:paraId="386F7C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名称</w:t>
                  </w:r>
                </w:p>
              </w:tc>
              <w:tc>
                <w:tcPr>
                  <w:tcW w:w="1332" w:type="dxa"/>
                  <w:tcBorders>
                    <w:bottom w:val="single" w:color="000000" w:sz="12" w:space="0"/>
                  </w:tcBorders>
                  <w:vAlign w:val="center"/>
                </w:tcPr>
                <w:p w14:paraId="036C4A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一般固体废</w:t>
                  </w:r>
                  <w:r>
                    <w:rPr>
                      <w:rFonts w:hint="default" w:ascii="Times New Roman" w:hAnsi="Times New Roman" w:eastAsia="宋体" w:cs="Times New Roman"/>
                      <w:b/>
                      <w:bCs/>
                      <w:color w:val="auto"/>
                      <w:spacing w:val="6"/>
                      <w:sz w:val="21"/>
                      <w:szCs w:val="21"/>
                      <w:highlight w:val="none"/>
                    </w:rPr>
                    <w:t>物分类与代</w:t>
                  </w:r>
                  <w:r>
                    <w:rPr>
                      <w:rFonts w:hint="default" w:ascii="Times New Roman" w:hAnsi="Times New Roman" w:eastAsia="宋体" w:cs="Times New Roman"/>
                      <w:b/>
                      <w:bCs/>
                      <w:color w:val="auto"/>
                      <w:spacing w:val="-1"/>
                      <w:sz w:val="21"/>
                      <w:szCs w:val="21"/>
                      <w:highlight w:val="none"/>
                    </w:rPr>
                    <w:t>码</w:t>
                  </w:r>
                </w:p>
              </w:tc>
              <w:tc>
                <w:tcPr>
                  <w:tcW w:w="681" w:type="dxa"/>
                  <w:tcBorders>
                    <w:bottom w:val="single" w:color="000000" w:sz="12" w:space="0"/>
                  </w:tcBorders>
                  <w:vAlign w:val="center"/>
                </w:tcPr>
                <w:p w14:paraId="4F4A1B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3"/>
                      <w:sz w:val="21"/>
                      <w:szCs w:val="21"/>
                      <w:highlight w:val="none"/>
                    </w:rPr>
                    <w:t>主要</w:t>
                  </w:r>
                  <w:r>
                    <w:rPr>
                      <w:rFonts w:hint="default" w:ascii="Times New Roman" w:hAnsi="Times New Roman" w:eastAsia="宋体" w:cs="Times New Roman"/>
                      <w:b/>
                      <w:bCs/>
                      <w:color w:val="auto"/>
                      <w:spacing w:val="2"/>
                      <w:sz w:val="21"/>
                      <w:szCs w:val="21"/>
                      <w:highlight w:val="none"/>
                    </w:rPr>
                    <w:t>危险</w:t>
                  </w:r>
                  <w:r>
                    <w:rPr>
                      <w:rFonts w:hint="default" w:ascii="Times New Roman" w:hAnsi="Times New Roman" w:eastAsia="宋体" w:cs="Times New Roman"/>
                      <w:b/>
                      <w:bCs/>
                      <w:color w:val="auto"/>
                      <w:spacing w:val="3"/>
                      <w:sz w:val="21"/>
                      <w:szCs w:val="21"/>
                      <w:highlight w:val="none"/>
                    </w:rPr>
                    <w:t>成分</w:t>
                  </w:r>
                </w:p>
              </w:tc>
              <w:tc>
                <w:tcPr>
                  <w:tcW w:w="681" w:type="dxa"/>
                  <w:tcBorders>
                    <w:bottom w:val="single" w:color="000000" w:sz="12" w:space="0"/>
                  </w:tcBorders>
                  <w:vAlign w:val="center"/>
                </w:tcPr>
                <w:p w14:paraId="293F04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rPr>
                    <w:t>危险</w:t>
                  </w:r>
                  <w:r>
                    <w:rPr>
                      <w:rFonts w:hint="default" w:ascii="Times New Roman" w:hAnsi="Times New Roman" w:eastAsia="宋体" w:cs="Times New Roman"/>
                      <w:b/>
                      <w:bCs/>
                      <w:color w:val="auto"/>
                      <w:spacing w:val="3"/>
                      <w:sz w:val="21"/>
                      <w:szCs w:val="21"/>
                      <w:highlight w:val="none"/>
                    </w:rPr>
                    <w:t>特性</w:t>
                  </w:r>
                </w:p>
              </w:tc>
              <w:tc>
                <w:tcPr>
                  <w:tcW w:w="727" w:type="dxa"/>
                  <w:tcBorders>
                    <w:bottom w:val="single" w:color="000000" w:sz="12" w:space="0"/>
                  </w:tcBorders>
                  <w:vAlign w:val="center"/>
                </w:tcPr>
                <w:p w14:paraId="65A2BE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3"/>
                      <w:sz w:val="21"/>
                      <w:szCs w:val="21"/>
                      <w:highlight w:val="none"/>
                    </w:rPr>
                    <w:t>排放</w:t>
                  </w:r>
                  <w:r>
                    <w:rPr>
                      <w:rFonts w:hint="default" w:ascii="Times New Roman" w:hAnsi="Times New Roman" w:eastAsia="宋体" w:cs="Times New Roman"/>
                      <w:b/>
                      <w:bCs/>
                      <w:color w:val="auto"/>
                      <w:spacing w:val="-2"/>
                      <w:sz w:val="21"/>
                      <w:szCs w:val="21"/>
                      <w:highlight w:val="none"/>
                    </w:rPr>
                    <w:t>量</w:t>
                  </w:r>
                </w:p>
              </w:tc>
              <w:tc>
                <w:tcPr>
                  <w:tcW w:w="939" w:type="dxa"/>
                  <w:tcBorders>
                    <w:bottom w:val="single" w:color="000000" w:sz="12" w:space="0"/>
                  </w:tcBorders>
                  <w:vAlign w:val="center"/>
                </w:tcPr>
                <w:p w14:paraId="57535E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4"/>
                      <w:sz w:val="21"/>
                      <w:szCs w:val="21"/>
                      <w:highlight w:val="none"/>
                    </w:rPr>
                    <w:t>处置办</w:t>
                  </w:r>
                  <w:r>
                    <w:rPr>
                      <w:rFonts w:hint="default" w:ascii="Times New Roman" w:hAnsi="Times New Roman" w:eastAsia="宋体" w:cs="Times New Roman"/>
                      <w:b/>
                      <w:bCs/>
                      <w:color w:val="auto"/>
                      <w:spacing w:val="-3"/>
                      <w:sz w:val="21"/>
                      <w:szCs w:val="21"/>
                      <w:highlight w:val="none"/>
                    </w:rPr>
                    <w:t>法</w:t>
                  </w:r>
                </w:p>
              </w:tc>
              <w:tc>
                <w:tcPr>
                  <w:tcW w:w="1713" w:type="dxa"/>
                  <w:tcBorders>
                    <w:bottom w:val="single" w:color="000000" w:sz="12" w:space="0"/>
                  </w:tcBorders>
                  <w:vAlign w:val="center"/>
                </w:tcPr>
                <w:p w14:paraId="4757E9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环境管理要求</w:t>
                  </w:r>
                </w:p>
              </w:tc>
            </w:tr>
            <w:tr w14:paraId="337F76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vMerge w:val="restart"/>
                  <w:tcBorders>
                    <w:tl2br w:val="nil"/>
                    <w:tr2bl w:val="nil"/>
                  </w:tcBorders>
                  <w:vAlign w:val="center"/>
                </w:tcPr>
                <w:p w14:paraId="273720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1"/>
                      <w:w w:val="46"/>
                      <w:sz w:val="21"/>
                      <w:szCs w:val="21"/>
                      <w:highlight w:val="none"/>
                    </w:rPr>
                    <w:t>一</w:t>
                  </w:r>
                  <w:r>
                    <w:rPr>
                      <w:rFonts w:hint="eastAsia" w:ascii="Times New Roman" w:hAnsi="Times New Roman" w:cs="Times New Roman"/>
                      <w:color w:val="auto"/>
                      <w:spacing w:val="-71"/>
                      <w:w w:val="46"/>
                      <w:sz w:val="21"/>
                      <w:szCs w:val="21"/>
                      <w:highlight w:val="none"/>
                      <w:lang w:val="en-US" w:eastAsia="zh-CN"/>
                    </w:rPr>
                    <w:t>一</w:t>
                  </w:r>
                  <w:r>
                    <w:rPr>
                      <w:rFonts w:hint="default" w:ascii="Times New Roman" w:hAnsi="Times New Roman" w:eastAsia="宋体" w:cs="Times New Roman"/>
                      <w:color w:val="auto"/>
                      <w:spacing w:val="6"/>
                      <w:sz w:val="21"/>
                      <w:szCs w:val="21"/>
                      <w:highlight w:val="none"/>
                    </w:rPr>
                    <w:t>般固废</w:t>
                  </w:r>
                </w:p>
              </w:tc>
              <w:tc>
                <w:tcPr>
                  <w:tcW w:w="461" w:type="dxa"/>
                  <w:tcBorders>
                    <w:tl2br w:val="nil"/>
                    <w:tr2bl w:val="nil"/>
                  </w:tcBorders>
                  <w:vAlign w:val="center"/>
                </w:tcPr>
                <w:p w14:paraId="3728A5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不合格产品</w:t>
                  </w:r>
                </w:p>
              </w:tc>
              <w:tc>
                <w:tcPr>
                  <w:tcW w:w="458" w:type="dxa"/>
                  <w:tcBorders>
                    <w:tl2br w:val="nil"/>
                    <w:tr2bl w:val="nil"/>
                  </w:tcBorders>
                  <w:vAlign w:val="center"/>
                </w:tcPr>
                <w:p w14:paraId="7EE9E4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不合格产品</w:t>
                  </w:r>
                </w:p>
              </w:tc>
              <w:tc>
                <w:tcPr>
                  <w:tcW w:w="1332" w:type="dxa"/>
                  <w:tcBorders>
                    <w:tl2br w:val="nil"/>
                    <w:tr2bl w:val="nil"/>
                  </w:tcBorders>
                  <w:vAlign w:val="center"/>
                </w:tcPr>
                <w:p w14:paraId="746B58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900-099-S59</w:t>
                  </w:r>
                </w:p>
              </w:tc>
              <w:tc>
                <w:tcPr>
                  <w:tcW w:w="681" w:type="dxa"/>
                  <w:tcBorders>
                    <w:tl2br w:val="nil"/>
                    <w:tr2bl w:val="nil"/>
                  </w:tcBorders>
                  <w:vAlign w:val="center"/>
                </w:tcPr>
                <w:p w14:paraId="3D8E0B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681" w:type="dxa"/>
                  <w:tcBorders>
                    <w:tl2br w:val="nil"/>
                    <w:tr2bl w:val="nil"/>
                  </w:tcBorders>
                  <w:vAlign w:val="center"/>
                </w:tcPr>
                <w:p w14:paraId="366906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727" w:type="dxa"/>
                  <w:tcBorders>
                    <w:tl2br w:val="nil"/>
                    <w:tr2bl w:val="nil"/>
                  </w:tcBorders>
                  <w:vAlign w:val="center"/>
                </w:tcPr>
                <w:p w14:paraId="5F10E97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5t/a</w:t>
                  </w:r>
                </w:p>
              </w:tc>
              <w:tc>
                <w:tcPr>
                  <w:tcW w:w="939" w:type="dxa"/>
                  <w:tcBorders>
                    <w:tl2br w:val="nil"/>
                    <w:tr2bl w:val="nil"/>
                  </w:tcBorders>
                  <w:vAlign w:val="center"/>
                </w:tcPr>
                <w:p w14:paraId="6AB3E9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集中收集后</w:t>
                  </w:r>
                  <w:r>
                    <w:rPr>
                      <w:rFonts w:hint="default" w:ascii="Times New Roman" w:hAnsi="Times New Roman" w:eastAsia="宋体" w:cs="Times New Roman"/>
                      <w:color w:val="auto"/>
                      <w:sz w:val="21"/>
                      <w:szCs w:val="21"/>
                      <w:highlight w:val="none"/>
                    </w:rPr>
                    <w:t>回用于</w:t>
                  </w:r>
                  <w:r>
                    <w:rPr>
                      <w:rFonts w:hint="default" w:ascii="Times New Roman" w:hAnsi="Times New Roman" w:eastAsia="宋体" w:cs="Times New Roman"/>
                      <w:color w:val="auto"/>
                      <w:spacing w:val="3"/>
                      <w:sz w:val="21"/>
                      <w:szCs w:val="21"/>
                      <w:highlight w:val="none"/>
                    </w:rPr>
                    <w:t>生产</w:t>
                  </w:r>
                </w:p>
              </w:tc>
              <w:tc>
                <w:tcPr>
                  <w:tcW w:w="1713" w:type="dxa"/>
                  <w:vMerge w:val="restart"/>
                  <w:tcBorders>
                    <w:tl2br w:val="nil"/>
                    <w:tr2bl w:val="nil"/>
                  </w:tcBorders>
                  <w:vAlign w:val="center"/>
                </w:tcPr>
                <w:p w14:paraId="2DC504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执行《一般工业固</w:t>
                  </w:r>
                  <w:r>
                    <w:rPr>
                      <w:rFonts w:hint="default" w:ascii="Times New Roman" w:hAnsi="Times New Roman" w:eastAsia="宋体" w:cs="Times New Roman"/>
                      <w:color w:val="auto"/>
                      <w:spacing w:val="8"/>
                      <w:sz w:val="21"/>
                      <w:szCs w:val="21"/>
                      <w:highlight w:val="none"/>
                    </w:rPr>
                    <w:t>体废物贮存和填</w:t>
                  </w:r>
                  <w:r>
                    <w:rPr>
                      <w:rFonts w:hint="default" w:ascii="Times New Roman" w:hAnsi="Times New Roman" w:eastAsia="宋体" w:cs="Times New Roman"/>
                      <w:color w:val="auto"/>
                      <w:spacing w:val="7"/>
                      <w:sz w:val="21"/>
                      <w:szCs w:val="21"/>
                      <w:highlight w:val="none"/>
                    </w:rPr>
                    <w:t>埋污染控制标准》</w:t>
                  </w:r>
                  <w:r>
                    <w:rPr>
                      <w:rFonts w:hint="default" w:ascii="Times New Roman" w:hAnsi="Times New Roman" w:eastAsia="宋体" w:cs="Times New Roman"/>
                      <w:color w:val="auto"/>
                      <w:spacing w:val="5"/>
                      <w:sz w:val="21"/>
                      <w:szCs w:val="21"/>
                      <w:highlight w:val="none"/>
                    </w:rPr>
                    <w:t>（</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5"/>
                      <w:sz w:val="21"/>
                      <w:szCs w:val="21"/>
                      <w:highlight w:val="none"/>
                    </w:rPr>
                    <w:t>18599-2020</w:t>
                  </w:r>
                  <w:r>
                    <w:rPr>
                      <w:rFonts w:hint="default" w:ascii="Times New Roman" w:hAnsi="Times New Roman" w:eastAsia="宋体" w:cs="Times New Roman"/>
                      <w:color w:val="auto"/>
                      <w:spacing w:val="5"/>
                      <w:sz w:val="21"/>
                      <w:szCs w:val="21"/>
                      <w:highlight w:val="none"/>
                    </w:rPr>
                    <w:t>）贮存场</w:t>
                  </w:r>
                  <w:r>
                    <w:rPr>
                      <w:rFonts w:hint="default" w:ascii="Times New Roman" w:hAnsi="Times New Roman" w:eastAsia="宋体" w:cs="Times New Roman"/>
                      <w:color w:val="auto"/>
                      <w:spacing w:val="7"/>
                      <w:sz w:val="21"/>
                      <w:szCs w:val="21"/>
                      <w:highlight w:val="none"/>
                    </w:rPr>
                    <w:t>相关要求</w:t>
                  </w:r>
                </w:p>
              </w:tc>
            </w:tr>
            <w:tr w14:paraId="7FABB7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vMerge w:val="continue"/>
                  <w:tcBorders>
                    <w:tl2br w:val="nil"/>
                    <w:tr2bl w:val="nil"/>
                  </w:tcBorders>
                  <w:vAlign w:val="center"/>
                </w:tcPr>
                <w:p w14:paraId="5B50E78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461" w:type="dxa"/>
                  <w:tcBorders>
                    <w:tl2br w:val="nil"/>
                    <w:tr2bl w:val="nil"/>
                  </w:tcBorders>
                  <w:vAlign w:val="center"/>
                </w:tcPr>
                <w:p w14:paraId="2FEA70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废包装材料</w:t>
                  </w:r>
                </w:p>
              </w:tc>
              <w:tc>
                <w:tcPr>
                  <w:tcW w:w="458" w:type="dxa"/>
                  <w:tcBorders>
                    <w:tl2br w:val="nil"/>
                    <w:tr2bl w:val="nil"/>
                  </w:tcBorders>
                  <w:vAlign w:val="center"/>
                </w:tcPr>
                <w:p w14:paraId="74EA4F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废包装袋</w:t>
                  </w:r>
                </w:p>
              </w:tc>
              <w:tc>
                <w:tcPr>
                  <w:tcW w:w="1332" w:type="dxa"/>
                  <w:tcBorders>
                    <w:tl2br w:val="nil"/>
                    <w:tr2bl w:val="nil"/>
                  </w:tcBorders>
                  <w:vAlign w:val="center"/>
                </w:tcPr>
                <w:p w14:paraId="0D24E2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900-003-S17</w:t>
                  </w:r>
                </w:p>
              </w:tc>
              <w:tc>
                <w:tcPr>
                  <w:tcW w:w="681" w:type="dxa"/>
                  <w:tcBorders>
                    <w:tl2br w:val="nil"/>
                    <w:tr2bl w:val="nil"/>
                  </w:tcBorders>
                  <w:vAlign w:val="center"/>
                </w:tcPr>
                <w:p w14:paraId="35F739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681" w:type="dxa"/>
                  <w:tcBorders>
                    <w:tl2br w:val="nil"/>
                    <w:tr2bl w:val="nil"/>
                  </w:tcBorders>
                  <w:vAlign w:val="center"/>
                </w:tcPr>
                <w:p w14:paraId="1CBC1F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727" w:type="dxa"/>
                  <w:tcBorders>
                    <w:tl2br w:val="nil"/>
                    <w:tr2bl w:val="nil"/>
                  </w:tcBorders>
                  <w:vAlign w:val="center"/>
                </w:tcPr>
                <w:p w14:paraId="794C13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pacing w:val="2"/>
                      <w:sz w:val="21"/>
                      <w:szCs w:val="21"/>
                      <w:highlight w:val="none"/>
                      <w:lang w:val="en-US" w:eastAsia="zh-CN"/>
                    </w:rPr>
                    <w:t>5</w:t>
                  </w:r>
                  <w:r>
                    <w:rPr>
                      <w:rFonts w:hint="default" w:ascii="Times New Roman" w:hAnsi="Times New Roman" w:eastAsia="Times New Roman" w:cs="Times New Roman"/>
                      <w:color w:val="auto"/>
                      <w:spacing w:val="2"/>
                      <w:sz w:val="21"/>
                      <w:szCs w:val="21"/>
                      <w:highlight w:val="none"/>
                    </w:rPr>
                    <w:t>t/a</w:t>
                  </w:r>
                </w:p>
              </w:tc>
              <w:tc>
                <w:tcPr>
                  <w:tcW w:w="939" w:type="dxa"/>
                  <w:tcBorders>
                    <w:tl2br w:val="nil"/>
                    <w:tr2bl w:val="nil"/>
                  </w:tcBorders>
                  <w:vAlign w:val="center"/>
                </w:tcPr>
                <w:p w14:paraId="580AAF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集中收集后外</w:t>
                  </w:r>
                  <w:r>
                    <w:rPr>
                      <w:rFonts w:hint="default" w:ascii="Times New Roman" w:hAnsi="Times New Roman" w:eastAsia="宋体" w:cs="Times New Roman"/>
                      <w:color w:val="auto"/>
                      <w:sz w:val="21"/>
                      <w:szCs w:val="21"/>
                      <w:highlight w:val="none"/>
                    </w:rPr>
                    <w:t>售</w:t>
                  </w:r>
                </w:p>
              </w:tc>
              <w:tc>
                <w:tcPr>
                  <w:tcW w:w="1713" w:type="dxa"/>
                  <w:vMerge w:val="continue"/>
                  <w:tcBorders>
                    <w:tl2br w:val="nil"/>
                    <w:tr2bl w:val="nil"/>
                  </w:tcBorders>
                  <w:vAlign w:val="center"/>
                </w:tcPr>
                <w:p w14:paraId="1EC404D0">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43713D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vMerge w:val="continue"/>
                  <w:tcBorders>
                    <w:tl2br w:val="nil"/>
                    <w:tr2bl w:val="nil"/>
                  </w:tcBorders>
                  <w:vAlign w:val="center"/>
                </w:tcPr>
                <w:p w14:paraId="323660C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461" w:type="dxa"/>
                  <w:tcBorders>
                    <w:tl2br w:val="nil"/>
                    <w:tr2bl w:val="nil"/>
                  </w:tcBorders>
                  <w:vAlign w:val="center"/>
                </w:tcPr>
                <w:p w14:paraId="20FE5C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6"/>
                      <w:sz w:val="21"/>
                      <w:szCs w:val="21"/>
                      <w:highlight w:val="none"/>
                      <w:lang w:val="en-US" w:eastAsia="zh-CN"/>
                    </w:rPr>
                  </w:pPr>
                  <w:r>
                    <w:rPr>
                      <w:rFonts w:hint="eastAsia" w:ascii="Times New Roman" w:hAnsi="Times New Roman" w:cs="Times New Roman"/>
                      <w:color w:val="auto"/>
                      <w:spacing w:val="6"/>
                      <w:sz w:val="21"/>
                      <w:szCs w:val="21"/>
                      <w:highlight w:val="none"/>
                      <w:lang w:val="en-US" w:eastAsia="zh-CN"/>
                    </w:rPr>
                    <w:t>沉淀池底泥</w:t>
                  </w:r>
                </w:p>
              </w:tc>
              <w:tc>
                <w:tcPr>
                  <w:tcW w:w="458" w:type="dxa"/>
                  <w:tcBorders>
                    <w:tl2br w:val="nil"/>
                    <w:tr2bl w:val="nil"/>
                  </w:tcBorders>
                  <w:vAlign w:val="center"/>
                </w:tcPr>
                <w:p w14:paraId="062DAD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6"/>
                      <w:sz w:val="21"/>
                      <w:szCs w:val="21"/>
                      <w:highlight w:val="none"/>
                    </w:rPr>
                  </w:pPr>
                  <w:r>
                    <w:rPr>
                      <w:rFonts w:hint="eastAsia" w:ascii="Times New Roman" w:hAnsi="Times New Roman" w:cs="Times New Roman"/>
                      <w:color w:val="auto"/>
                      <w:spacing w:val="6"/>
                      <w:sz w:val="21"/>
                      <w:szCs w:val="21"/>
                      <w:highlight w:val="none"/>
                      <w:lang w:val="en-US" w:eastAsia="zh-CN"/>
                    </w:rPr>
                    <w:t>沉淀池底泥</w:t>
                  </w:r>
                </w:p>
              </w:tc>
              <w:tc>
                <w:tcPr>
                  <w:tcW w:w="1332" w:type="dxa"/>
                  <w:tcBorders>
                    <w:tl2br w:val="nil"/>
                    <w:tr2bl w:val="nil"/>
                  </w:tcBorders>
                  <w:vAlign w:val="center"/>
                </w:tcPr>
                <w:p w14:paraId="2532BC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eastAsia="Times New Roman" w:cs="Times New Roman"/>
                      <w:color w:val="auto"/>
                      <w:spacing w:val="3"/>
                      <w:sz w:val="21"/>
                      <w:szCs w:val="21"/>
                      <w:highlight w:val="none"/>
                    </w:rPr>
                    <w:t>900-003-S</w:t>
                  </w:r>
                  <w:r>
                    <w:rPr>
                      <w:rFonts w:hint="eastAsia" w:ascii="Times New Roman" w:hAnsi="Times New Roman" w:eastAsia="宋体" w:cs="Times New Roman"/>
                      <w:color w:val="auto"/>
                      <w:spacing w:val="3"/>
                      <w:sz w:val="21"/>
                      <w:szCs w:val="21"/>
                      <w:highlight w:val="none"/>
                      <w:lang w:val="en-US" w:eastAsia="zh-CN"/>
                    </w:rPr>
                    <w:t>14</w:t>
                  </w:r>
                </w:p>
              </w:tc>
              <w:tc>
                <w:tcPr>
                  <w:tcW w:w="681" w:type="dxa"/>
                  <w:tcBorders>
                    <w:tl2br w:val="nil"/>
                    <w:tr2bl w:val="nil"/>
                  </w:tcBorders>
                  <w:vAlign w:val="center"/>
                </w:tcPr>
                <w:p w14:paraId="1D562C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rPr>
                  </w:pPr>
                  <w:r>
                    <w:rPr>
                      <w:rFonts w:hint="eastAsia" w:ascii="Times New Roman" w:hAnsi="Times New Roman" w:eastAsia="宋体" w:cs="Times New Roman"/>
                      <w:color w:val="auto"/>
                      <w:spacing w:val="2"/>
                      <w:sz w:val="21"/>
                      <w:szCs w:val="21"/>
                      <w:highlight w:val="none"/>
                      <w:lang w:val="en-US" w:eastAsia="zh-CN"/>
                    </w:rPr>
                    <w:t>/</w:t>
                  </w:r>
                </w:p>
              </w:tc>
              <w:tc>
                <w:tcPr>
                  <w:tcW w:w="681" w:type="dxa"/>
                  <w:tcBorders>
                    <w:tl2br w:val="nil"/>
                    <w:tr2bl w:val="nil"/>
                  </w:tcBorders>
                  <w:vAlign w:val="center"/>
                </w:tcPr>
                <w:p w14:paraId="641083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Times New Roman" w:hAnsi="Times New Roman" w:eastAsia="宋体" w:cs="Times New Roman"/>
                      <w:color w:val="auto"/>
                      <w:spacing w:val="2"/>
                      <w:sz w:val="21"/>
                      <w:szCs w:val="21"/>
                      <w:highlight w:val="none"/>
                      <w:lang w:val="en-US" w:eastAsia="zh-CN"/>
                    </w:rPr>
                  </w:pPr>
                  <w:r>
                    <w:rPr>
                      <w:rFonts w:hint="eastAsia" w:ascii="Times New Roman" w:hAnsi="Times New Roman" w:eastAsia="宋体" w:cs="Times New Roman"/>
                      <w:color w:val="auto"/>
                      <w:spacing w:val="2"/>
                      <w:sz w:val="21"/>
                      <w:szCs w:val="21"/>
                      <w:highlight w:val="none"/>
                      <w:lang w:val="en-US" w:eastAsia="zh-CN"/>
                    </w:rPr>
                    <w:t>/</w:t>
                  </w:r>
                </w:p>
              </w:tc>
              <w:tc>
                <w:tcPr>
                  <w:tcW w:w="727" w:type="dxa"/>
                  <w:tcBorders>
                    <w:tl2br w:val="nil"/>
                    <w:tr2bl w:val="nil"/>
                  </w:tcBorders>
                  <w:vAlign w:val="center"/>
                </w:tcPr>
                <w:p w14:paraId="5FFAB1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0.8</w:t>
                  </w:r>
                </w:p>
              </w:tc>
              <w:tc>
                <w:tcPr>
                  <w:tcW w:w="939" w:type="dxa"/>
                  <w:tcBorders>
                    <w:tl2br w:val="nil"/>
                    <w:tr2bl w:val="nil"/>
                  </w:tcBorders>
                  <w:vAlign w:val="center"/>
                </w:tcPr>
                <w:p w14:paraId="47FEBA1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z w:val="21"/>
                      <w:szCs w:val="21"/>
                      <w:highlight w:val="none"/>
                      <w:lang w:val="en-US" w:eastAsia="zh-CN"/>
                    </w:rPr>
                    <w:t>沉淀池产生的污染物为泥沙，生产季结束后清掏，自然干化，干化后用于项目区周边农田配土</w:t>
                  </w:r>
                </w:p>
              </w:tc>
              <w:tc>
                <w:tcPr>
                  <w:tcW w:w="1713" w:type="dxa"/>
                  <w:vMerge w:val="continue"/>
                  <w:tcBorders>
                    <w:tl2br w:val="nil"/>
                    <w:tr2bl w:val="nil"/>
                  </w:tcBorders>
                  <w:vAlign w:val="center"/>
                </w:tcPr>
                <w:p w14:paraId="4DCC13C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4B481C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vMerge w:val="restart"/>
                  <w:tcBorders>
                    <w:tl2br w:val="nil"/>
                    <w:tr2bl w:val="nil"/>
                  </w:tcBorders>
                  <w:vAlign w:val="center"/>
                </w:tcPr>
                <w:p w14:paraId="18BE5D7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危险废物</w:t>
                  </w:r>
                </w:p>
              </w:tc>
              <w:tc>
                <w:tcPr>
                  <w:tcW w:w="461" w:type="dxa"/>
                  <w:tcBorders>
                    <w:tl2br w:val="nil"/>
                    <w:tr2bl w:val="nil"/>
                  </w:tcBorders>
                  <w:vAlign w:val="center"/>
                </w:tcPr>
                <w:p w14:paraId="45C949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设备维护</w:t>
                  </w:r>
                </w:p>
              </w:tc>
              <w:tc>
                <w:tcPr>
                  <w:tcW w:w="458" w:type="dxa"/>
                  <w:tcBorders>
                    <w:tl2br w:val="nil"/>
                    <w:tr2bl w:val="nil"/>
                  </w:tcBorders>
                  <w:vAlign w:val="center"/>
                </w:tcPr>
                <w:p w14:paraId="5EE54B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废机油</w:t>
                  </w:r>
                </w:p>
              </w:tc>
              <w:tc>
                <w:tcPr>
                  <w:tcW w:w="1332" w:type="dxa"/>
                  <w:tcBorders>
                    <w:tl2br w:val="nil"/>
                    <w:tr2bl w:val="nil"/>
                  </w:tcBorders>
                  <w:vAlign w:val="center"/>
                </w:tcPr>
                <w:p w14:paraId="408E2F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rPr>
                    <w:t>HW</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pacing w:val="10"/>
                      <w:sz w:val="21"/>
                      <w:szCs w:val="21"/>
                      <w:highlight w:val="none"/>
                    </w:rPr>
                    <w:t>08</w:t>
                  </w:r>
                  <w:r>
                    <w:rPr>
                      <w:rFonts w:hint="default" w:ascii="Times New Roman" w:hAnsi="Times New Roman" w:eastAsia="Times New Roman" w:cs="Times New Roman"/>
                      <w:color w:val="auto"/>
                      <w:spacing w:val="3"/>
                      <w:sz w:val="21"/>
                      <w:szCs w:val="21"/>
                      <w:highlight w:val="none"/>
                    </w:rPr>
                    <w:t>900-214-08</w:t>
                  </w:r>
                </w:p>
              </w:tc>
              <w:tc>
                <w:tcPr>
                  <w:tcW w:w="681" w:type="dxa"/>
                  <w:tcBorders>
                    <w:tl2br w:val="nil"/>
                    <w:tr2bl w:val="nil"/>
                  </w:tcBorders>
                  <w:vAlign w:val="center"/>
                </w:tcPr>
                <w:p w14:paraId="4A2AB9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石油</w:t>
                  </w:r>
                  <w:r>
                    <w:rPr>
                      <w:rFonts w:hint="default" w:ascii="Times New Roman" w:hAnsi="Times New Roman" w:eastAsia="宋体" w:cs="Times New Roman"/>
                      <w:color w:val="auto"/>
                      <w:spacing w:val="-24"/>
                      <w:w w:val="98"/>
                      <w:sz w:val="21"/>
                      <w:szCs w:val="21"/>
                      <w:highlight w:val="none"/>
                    </w:rPr>
                    <w:t>烃、金</w:t>
                  </w:r>
                  <w:r>
                    <w:rPr>
                      <w:rFonts w:hint="default" w:ascii="Times New Roman" w:hAnsi="Times New Roman" w:eastAsia="宋体" w:cs="Times New Roman"/>
                      <w:color w:val="auto"/>
                      <w:spacing w:val="30"/>
                      <w:sz w:val="21"/>
                      <w:szCs w:val="21"/>
                      <w:highlight w:val="none"/>
                    </w:rPr>
                    <w:t>属污</w:t>
                  </w:r>
                  <w:r>
                    <w:rPr>
                      <w:rFonts w:hint="default" w:ascii="Times New Roman" w:hAnsi="Times New Roman" w:eastAsia="宋体" w:cs="Times New Roman"/>
                      <w:color w:val="auto"/>
                      <w:spacing w:val="3"/>
                      <w:sz w:val="21"/>
                      <w:szCs w:val="21"/>
                      <w:highlight w:val="none"/>
                    </w:rPr>
                    <w:t>染物</w:t>
                  </w:r>
                </w:p>
              </w:tc>
              <w:tc>
                <w:tcPr>
                  <w:tcW w:w="681" w:type="dxa"/>
                  <w:tcBorders>
                    <w:tl2br w:val="nil"/>
                    <w:tr2bl w:val="nil"/>
                  </w:tcBorders>
                  <w:vAlign w:val="center"/>
                </w:tcPr>
                <w:p w14:paraId="06F237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石油</w:t>
                  </w:r>
                  <w:r>
                    <w:rPr>
                      <w:rFonts w:hint="default" w:ascii="Times New Roman" w:hAnsi="Times New Roman" w:eastAsia="宋体" w:cs="Times New Roman"/>
                      <w:color w:val="auto"/>
                      <w:spacing w:val="-24"/>
                      <w:w w:val="98"/>
                      <w:sz w:val="21"/>
                      <w:szCs w:val="21"/>
                      <w:highlight w:val="none"/>
                    </w:rPr>
                    <w:t>烃、金</w:t>
                  </w:r>
                  <w:r>
                    <w:rPr>
                      <w:rFonts w:hint="default" w:ascii="Times New Roman" w:hAnsi="Times New Roman" w:eastAsia="宋体" w:cs="Times New Roman"/>
                      <w:color w:val="auto"/>
                      <w:spacing w:val="30"/>
                      <w:sz w:val="21"/>
                      <w:szCs w:val="21"/>
                      <w:highlight w:val="none"/>
                    </w:rPr>
                    <w:t>属污</w:t>
                  </w:r>
                  <w:r>
                    <w:rPr>
                      <w:rFonts w:hint="default" w:ascii="Times New Roman" w:hAnsi="Times New Roman" w:eastAsia="宋体" w:cs="Times New Roman"/>
                      <w:color w:val="auto"/>
                      <w:spacing w:val="3"/>
                      <w:sz w:val="21"/>
                      <w:szCs w:val="21"/>
                      <w:highlight w:val="none"/>
                    </w:rPr>
                    <w:t>染物</w:t>
                  </w:r>
                </w:p>
              </w:tc>
              <w:tc>
                <w:tcPr>
                  <w:tcW w:w="727" w:type="dxa"/>
                  <w:tcBorders>
                    <w:tl2br w:val="nil"/>
                    <w:tr2bl w:val="nil"/>
                  </w:tcBorders>
                  <w:vAlign w:val="center"/>
                </w:tcPr>
                <w:p w14:paraId="7A386D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0.5t/a</w:t>
                  </w:r>
                </w:p>
              </w:tc>
              <w:tc>
                <w:tcPr>
                  <w:tcW w:w="939" w:type="dxa"/>
                  <w:tcBorders>
                    <w:tl2br w:val="nil"/>
                    <w:tr2bl w:val="nil"/>
                  </w:tcBorders>
                  <w:vAlign w:val="center"/>
                </w:tcPr>
                <w:p w14:paraId="3A94BA1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pacing w:val="6"/>
                      <w:sz w:val="21"/>
                      <w:szCs w:val="21"/>
                      <w:highlight w:val="none"/>
                      <w:lang w:eastAsia="zh-CN"/>
                    </w:rPr>
                    <w:t>危废暂存点</w:t>
                  </w:r>
                  <w:r>
                    <w:rPr>
                      <w:rFonts w:hint="default" w:ascii="Times New Roman" w:hAnsi="Times New Roman" w:eastAsia="宋体" w:cs="Times New Roman"/>
                      <w:color w:val="auto"/>
                      <w:spacing w:val="7"/>
                      <w:sz w:val="21"/>
                      <w:szCs w:val="21"/>
                      <w:highlight w:val="none"/>
                    </w:rPr>
                    <w:t>暂</w:t>
                  </w:r>
                  <w:r>
                    <w:rPr>
                      <w:rFonts w:hint="default" w:ascii="Times New Roman" w:hAnsi="Times New Roman" w:eastAsia="宋体" w:cs="Times New Roman"/>
                      <w:color w:val="auto"/>
                      <w:spacing w:val="1"/>
                      <w:sz w:val="21"/>
                      <w:szCs w:val="21"/>
                      <w:highlight w:val="none"/>
                    </w:rPr>
                    <w:t>存，委托</w:t>
                  </w:r>
                  <w:r>
                    <w:rPr>
                      <w:rFonts w:hint="default" w:ascii="Times New Roman" w:hAnsi="Times New Roman" w:eastAsia="宋体" w:cs="Times New Roman"/>
                      <w:color w:val="auto"/>
                      <w:spacing w:val="37"/>
                      <w:sz w:val="21"/>
                      <w:szCs w:val="21"/>
                      <w:highlight w:val="none"/>
                    </w:rPr>
                    <w:t>具有处</w:t>
                  </w:r>
                  <w:r>
                    <w:rPr>
                      <w:rFonts w:hint="default" w:ascii="Times New Roman" w:hAnsi="Times New Roman" w:eastAsia="宋体" w:cs="Times New Roman"/>
                      <w:color w:val="auto"/>
                      <w:spacing w:val="6"/>
                      <w:sz w:val="21"/>
                      <w:szCs w:val="21"/>
                      <w:highlight w:val="none"/>
                    </w:rPr>
                    <w:t>理资质</w:t>
                  </w:r>
                  <w:r>
                    <w:rPr>
                      <w:rFonts w:hint="default" w:ascii="Times New Roman" w:hAnsi="Times New Roman" w:eastAsia="宋体" w:cs="Times New Roman"/>
                      <w:color w:val="auto"/>
                      <w:spacing w:val="1"/>
                      <w:sz w:val="21"/>
                      <w:szCs w:val="21"/>
                      <w:highlight w:val="none"/>
                    </w:rPr>
                    <w:t>的单位</w:t>
                  </w:r>
                  <w:r>
                    <w:rPr>
                      <w:rFonts w:hint="default" w:ascii="Times New Roman" w:hAnsi="Times New Roman" w:eastAsia="宋体" w:cs="Times New Roman"/>
                      <w:color w:val="auto"/>
                      <w:spacing w:val="2"/>
                      <w:sz w:val="21"/>
                      <w:szCs w:val="21"/>
                      <w:highlight w:val="none"/>
                    </w:rPr>
                    <w:t>处置</w:t>
                  </w:r>
                </w:p>
              </w:tc>
              <w:tc>
                <w:tcPr>
                  <w:tcW w:w="1713" w:type="dxa"/>
                  <w:vMerge w:val="restart"/>
                  <w:tcBorders>
                    <w:tl2br w:val="nil"/>
                    <w:tr2bl w:val="nil"/>
                  </w:tcBorders>
                  <w:vAlign w:val="center"/>
                </w:tcPr>
                <w:p w14:paraId="5D63D57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执行《危险废物贮</w:t>
                  </w:r>
                  <w:r>
                    <w:rPr>
                      <w:rFonts w:hint="default" w:ascii="Times New Roman" w:hAnsi="Times New Roman" w:eastAsia="宋体" w:cs="Times New Roman"/>
                      <w:color w:val="auto"/>
                      <w:spacing w:val="7"/>
                      <w:sz w:val="21"/>
                      <w:szCs w:val="21"/>
                      <w:highlight w:val="none"/>
                    </w:rPr>
                    <w:t>存污染控制标准》</w:t>
                  </w:r>
                  <w:r>
                    <w:rPr>
                      <w:rFonts w:hint="default" w:ascii="Times New Roman" w:hAnsi="Times New Roman" w:eastAsia="宋体" w:cs="Times New Roman"/>
                      <w:color w:val="auto"/>
                      <w:spacing w:val="5"/>
                      <w:sz w:val="21"/>
                      <w:szCs w:val="21"/>
                      <w:highlight w:val="none"/>
                    </w:rPr>
                    <w:t>（</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5"/>
                      <w:sz w:val="21"/>
                      <w:szCs w:val="21"/>
                      <w:highlight w:val="none"/>
                    </w:rPr>
                    <w:t>185</w:t>
                  </w:r>
                  <w:r>
                    <w:rPr>
                      <w:rFonts w:hint="default" w:ascii="Times New Roman" w:hAnsi="Times New Roman" w:eastAsia="Times New Roman" w:cs="Times New Roman"/>
                      <w:color w:val="auto"/>
                      <w:spacing w:val="3"/>
                      <w:sz w:val="21"/>
                      <w:szCs w:val="21"/>
                      <w:highlight w:val="none"/>
                    </w:rPr>
                    <w:t>97-2023</w:t>
                  </w:r>
                  <w:r>
                    <w:rPr>
                      <w:rFonts w:hint="default" w:ascii="Times New Roman" w:hAnsi="Times New Roman" w:eastAsia="宋体" w:cs="Times New Roman"/>
                      <w:color w:val="auto"/>
                      <w:spacing w:val="3"/>
                      <w:sz w:val="21"/>
                      <w:szCs w:val="21"/>
                      <w:highlight w:val="none"/>
                    </w:rPr>
                    <w:t>）相关要</w:t>
                  </w:r>
                  <w:r>
                    <w:rPr>
                      <w:rFonts w:hint="default" w:ascii="Times New Roman" w:hAnsi="Times New Roman" w:eastAsia="宋体" w:cs="Times New Roman"/>
                      <w:color w:val="auto"/>
                      <w:sz w:val="21"/>
                      <w:szCs w:val="21"/>
                      <w:highlight w:val="none"/>
                    </w:rPr>
                    <w:t>求</w:t>
                  </w:r>
                </w:p>
              </w:tc>
            </w:tr>
            <w:tr w14:paraId="5F726E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497" w:type="dxa"/>
                  <w:vMerge w:val="continue"/>
                  <w:tcBorders>
                    <w:tl2br w:val="nil"/>
                    <w:tr2bl w:val="nil"/>
                  </w:tcBorders>
                  <w:vAlign w:val="center"/>
                </w:tcPr>
                <w:p w14:paraId="5B50C3B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461" w:type="dxa"/>
                  <w:vMerge w:val="restart"/>
                  <w:tcBorders>
                    <w:tl2br w:val="nil"/>
                    <w:tr2bl w:val="nil"/>
                  </w:tcBorders>
                  <w:vAlign w:val="center"/>
                </w:tcPr>
                <w:p w14:paraId="4295E9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设备除</w:t>
                  </w:r>
                  <w:r>
                    <w:rPr>
                      <w:rFonts w:hint="default" w:ascii="Times New Roman" w:hAnsi="Times New Roman" w:eastAsia="宋体" w:cs="Times New Roman"/>
                      <w:color w:val="auto"/>
                      <w:sz w:val="21"/>
                      <w:szCs w:val="21"/>
                      <w:highlight w:val="none"/>
                    </w:rPr>
                    <w:t>尘</w:t>
                  </w:r>
                </w:p>
              </w:tc>
              <w:tc>
                <w:tcPr>
                  <w:tcW w:w="458" w:type="dxa"/>
                  <w:tcBorders>
                    <w:tl2br w:val="nil"/>
                    <w:tr2bl w:val="nil"/>
                  </w:tcBorders>
                  <w:vAlign w:val="center"/>
                </w:tcPr>
                <w:p w14:paraId="3DE174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废活性</w:t>
                  </w:r>
                  <w:r>
                    <w:rPr>
                      <w:rFonts w:hint="default" w:ascii="Times New Roman" w:hAnsi="Times New Roman" w:eastAsia="宋体" w:cs="Times New Roman"/>
                      <w:color w:val="auto"/>
                      <w:sz w:val="21"/>
                      <w:szCs w:val="21"/>
                      <w:highlight w:val="none"/>
                    </w:rPr>
                    <w:t>炭</w:t>
                  </w:r>
                </w:p>
              </w:tc>
              <w:tc>
                <w:tcPr>
                  <w:tcW w:w="1332" w:type="dxa"/>
                  <w:tcBorders>
                    <w:tl2br w:val="nil"/>
                    <w:tr2bl w:val="nil"/>
                  </w:tcBorders>
                  <w:vAlign w:val="center"/>
                </w:tcPr>
                <w:p w14:paraId="6FAD866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rPr>
                    <w:t>SW</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pacing w:val="5"/>
                      <w:sz w:val="21"/>
                      <w:szCs w:val="21"/>
                      <w:highlight w:val="none"/>
                    </w:rPr>
                    <w:t>59</w:t>
                  </w:r>
                  <w:r>
                    <w:rPr>
                      <w:rFonts w:hint="default" w:ascii="Times New Roman" w:hAnsi="Times New Roman" w:eastAsia="Times New Roman" w:cs="Times New Roman"/>
                      <w:color w:val="auto"/>
                      <w:spacing w:val="3"/>
                      <w:sz w:val="21"/>
                      <w:szCs w:val="21"/>
                      <w:highlight w:val="none"/>
                    </w:rPr>
                    <w:t>900-008-S59</w:t>
                  </w:r>
                </w:p>
              </w:tc>
              <w:tc>
                <w:tcPr>
                  <w:tcW w:w="681" w:type="dxa"/>
                  <w:tcBorders>
                    <w:tl2br w:val="nil"/>
                    <w:tr2bl w:val="nil"/>
                  </w:tcBorders>
                  <w:vAlign w:val="center"/>
                </w:tcPr>
                <w:p w14:paraId="6CBA54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吸附</w:t>
                  </w:r>
                  <w:r>
                    <w:rPr>
                      <w:rFonts w:hint="default" w:ascii="Times New Roman" w:hAnsi="Times New Roman" w:eastAsia="宋体" w:cs="Times New Roman"/>
                      <w:color w:val="auto"/>
                      <w:spacing w:val="4"/>
                      <w:sz w:val="21"/>
                      <w:szCs w:val="21"/>
                      <w:highlight w:val="none"/>
                    </w:rPr>
                    <w:t>较多有机物质</w:t>
                  </w:r>
                </w:p>
              </w:tc>
              <w:tc>
                <w:tcPr>
                  <w:tcW w:w="681" w:type="dxa"/>
                  <w:tcBorders>
                    <w:tl2br w:val="nil"/>
                    <w:tr2bl w:val="nil"/>
                  </w:tcBorders>
                  <w:vAlign w:val="center"/>
                </w:tcPr>
                <w:p w14:paraId="7F6AA3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吸附</w:t>
                  </w:r>
                  <w:r>
                    <w:rPr>
                      <w:rFonts w:hint="default" w:ascii="Times New Roman" w:hAnsi="Times New Roman" w:eastAsia="宋体" w:cs="Times New Roman"/>
                      <w:color w:val="auto"/>
                      <w:spacing w:val="4"/>
                      <w:sz w:val="21"/>
                      <w:szCs w:val="21"/>
                      <w:highlight w:val="none"/>
                    </w:rPr>
                    <w:t>较多有机物质</w:t>
                  </w:r>
                </w:p>
              </w:tc>
              <w:tc>
                <w:tcPr>
                  <w:tcW w:w="727" w:type="dxa"/>
                  <w:tcBorders>
                    <w:tl2br w:val="nil"/>
                    <w:tr2bl w:val="nil"/>
                  </w:tcBorders>
                  <w:vAlign w:val="center"/>
                </w:tcPr>
                <w:p w14:paraId="12CB6D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0.27t/a</w:t>
                  </w:r>
                </w:p>
              </w:tc>
              <w:tc>
                <w:tcPr>
                  <w:tcW w:w="939" w:type="dxa"/>
                  <w:vMerge w:val="restart"/>
                  <w:tcBorders>
                    <w:tl2br w:val="nil"/>
                    <w:tr2bl w:val="nil"/>
                  </w:tcBorders>
                  <w:vAlign w:val="center"/>
                </w:tcPr>
                <w:p w14:paraId="760CC4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sz w:val="24"/>
                      <w:szCs w:val="24"/>
                      <w:highlight w:val="none"/>
                    </w:rPr>
                    <w:t>定期委托危废</w:t>
                  </w:r>
                  <w:r>
                    <w:rPr>
                      <w:rFonts w:hint="default" w:ascii="Times New Roman" w:hAnsi="Times New Roman" w:cs="Times New Roman"/>
                      <w:color w:val="auto"/>
                      <w:spacing w:val="-5"/>
                      <w:sz w:val="24"/>
                      <w:szCs w:val="24"/>
                      <w:highlight w:val="none"/>
                      <w:lang w:val="en-US" w:eastAsia="zh-CN"/>
                    </w:rPr>
                    <w:t>资质单位处置</w:t>
                  </w:r>
                </w:p>
              </w:tc>
              <w:tc>
                <w:tcPr>
                  <w:tcW w:w="1713" w:type="dxa"/>
                  <w:vMerge w:val="continue"/>
                  <w:tcBorders>
                    <w:tl2br w:val="nil"/>
                    <w:tr2bl w:val="nil"/>
                  </w:tcBorders>
                  <w:vAlign w:val="center"/>
                </w:tcPr>
                <w:p w14:paraId="15EE487F">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559D2D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97" w:type="dxa"/>
                  <w:vMerge w:val="continue"/>
                  <w:tcBorders>
                    <w:tl2br w:val="nil"/>
                    <w:tr2bl w:val="nil"/>
                  </w:tcBorders>
                  <w:vAlign w:val="center"/>
                </w:tcPr>
                <w:p w14:paraId="4E390289">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461" w:type="dxa"/>
                  <w:vMerge w:val="continue"/>
                  <w:tcBorders>
                    <w:tl2br w:val="nil"/>
                    <w:tr2bl w:val="nil"/>
                  </w:tcBorders>
                  <w:vAlign w:val="center"/>
                </w:tcPr>
                <w:p w14:paraId="66FA991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458" w:type="dxa"/>
                  <w:tcBorders>
                    <w:tl2br w:val="nil"/>
                    <w:tr2bl w:val="nil"/>
                  </w:tcBorders>
                  <w:vAlign w:val="center"/>
                </w:tcPr>
                <w:p w14:paraId="455417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废催化剂</w:t>
                  </w:r>
                </w:p>
              </w:tc>
              <w:tc>
                <w:tcPr>
                  <w:tcW w:w="1332" w:type="dxa"/>
                  <w:tcBorders>
                    <w:tl2br w:val="nil"/>
                    <w:tr2bl w:val="nil"/>
                  </w:tcBorders>
                  <w:vAlign w:val="center"/>
                </w:tcPr>
                <w:p w14:paraId="3655A8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z w:val="21"/>
                      <w:szCs w:val="21"/>
                      <w:highlight w:val="none"/>
                    </w:rPr>
                    <w:t>SW</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Times New Roman" w:cs="Times New Roman"/>
                      <w:color w:val="auto"/>
                      <w:spacing w:val="5"/>
                      <w:sz w:val="21"/>
                      <w:szCs w:val="21"/>
                      <w:highlight w:val="none"/>
                    </w:rPr>
                    <w:t>59</w:t>
                  </w:r>
                  <w:r>
                    <w:rPr>
                      <w:rFonts w:hint="default" w:ascii="Times New Roman" w:hAnsi="Times New Roman" w:eastAsia="Times New Roman" w:cs="Times New Roman"/>
                      <w:color w:val="auto"/>
                      <w:spacing w:val="3"/>
                      <w:sz w:val="21"/>
                      <w:szCs w:val="21"/>
                      <w:highlight w:val="none"/>
                    </w:rPr>
                    <w:t>900-004-59</w:t>
                  </w:r>
                </w:p>
              </w:tc>
              <w:tc>
                <w:tcPr>
                  <w:tcW w:w="681" w:type="dxa"/>
                  <w:tcBorders>
                    <w:tl2br w:val="nil"/>
                    <w:tr2bl w:val="nil"/>
                  </w:tcBorders>
                  <w:vAlign w:val="center"/>
                </w:tcPr>
                <w:p w14:paraId="410DB4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含有</w:t>
                  </w:r>
                  <w:r>
                    <w:rPr>
                      <w:rFonts w:hint="default" w:ascii="Times New Roman" w:hAnsi="Times New Roman" w:eastAsia="宋体" w:cs="Times New Roman"/>
                      <w:color w:val="auto"/>
                      <w:spacing w:val="-24"/>
                      <w:w w:val="98"/>
                      <w:sz w:val="21"/>
                      <w:szCs w:val="21"/>
                      <w:highlight w:val="none"/>
                    </w:rPr>
                    <w:t>铂、钯</w:t>
                  </w:r>
                  <w:r>
                    <w:rPr>
                      <w:rFonts w:hint="default" w:ascii="Times New Roman" w:hAnsi="Times New Roman" w:eastAsia="宋体" w:cs="Times New Roman"/>
                      <w:color w:val="auto"/>
                      <w:spacing w:val="30"/>
                      <w:sz w:val="21"/>
                      <w:szCs w:val="21"/>
                      <w:highlight w:val="none"/>
                    </w:rPr>
                    <w:t>等贵</w:t>
                  </w:r>
                  <w:r>
                    <w:rPr>
                      <w:rFonts w:hint="default" w:ascii="Times New Roman" w:hAnsi="Times New Roman" w:eastAsia="宋体" w:cs="Times New Roman"/>
                      <w:color w:val="auto"/>
                      <w:spacing w:val="3"/>
                      <w:sz w:val="21"/>
                      <w:szCs w:val="21"/>
                      <w:highlight w:val="none"/>
                    </w:rPr>
                    <w:t>金属</w:t>
                  </w:r>
                </w:p>
              </w:tc>
              <w:tc>
                <w:tcPr>
                  <w:tcW w:w="681" w:type="dxa"/>
                  <w:tcBorders>
                    <w:tl2br w:val="nil"/>
                    <w:tr2bl w:val="nil"/>
                  </w:tcBorders>
                  <w:vAlign w:val="center"/>
                </w:tcPr>
                <w:p w14:paraId="4597E6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含有</w:t>
                  </w:r>
                  <w:r>
                    <w:rPr>
                      <w:rFonts w:hint="default" w:ascii="Times New Roman" w:hAnsi="Times New Roman" w:eastAsia="宋体" w:cs="Times New Roman"/>
                      <w:color w:val="auto"/>
                      <w:spacing w:val="-24"/>
                      <w:w w:val="98"/>
                      <w:sz w:val="21"/>
                      <w:szCs w:val="21"/>
                      <w:highlight w:val="none"/>
                    </w:rPr>
                    <w:t>铂、钯</w:t>
                  </w:r>
                  <w:r>
                    <w:rPr>
                      <w:rFonts w:hint="default" w:ascii="Times New Roman" w:hAnsi="Times New Roman" w:eastAsia="宋体" w:cs="Times New Roman"/>
                      <w:color w:val="auto"/>
                      <w:spacing w:val="30"/>
                      <w:sz w:val="21"/>
                      <w:szCs w:val="21"/>
                      <w:highlight w:val="none"/>
                    </w:rPr>
                    <w:t>等贵</w:t>
                  </w:r>
                  <w:r>
                    <w:rPr>
                      <w:rFonts w:hint="default" w:ascii="Times New Roman" w:hAnsi="Times New Roman" w:eastAsia="宋体" w:cs="Times New Roman"/>
                      <w:color w:val="auto"/>
                      <w:spacing w:val="3"/>
                      <w:sz w:val="21"/>
                      <w:szCs w:val="21"/>
                      <w:highlight w:val="none"/>
                    </w:rPr>
                    <w:t>金属</w:t>
                  </w:r>
                </w:p>
              </w:tc>
              <w:tc>
                <w:tcPr>
                  <w:tcW w:w="727" w:type="dxa"/>
                  <w:tcBorders>
                    <w:tl2br w:val="nil"/>
                    <w:tr2bl w:val="nil"/>
                  </w:tcBorders>
                  <w:vAlign w:val="center"/>
                </w:tcPr>
                <w:p w14:paraId="03DA22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0.25t/a</w:t>
                  </w:r>
                </w:p>
              </w:tc>
              <w:tc>
                <w:tcPr>
                  <w:tcW w:w="939" w:type="dxa"/>
                  <w:vMerge w:val="continue"/>
                  <w:tcBorders>
                    <w:tl2br w:val="nil"/>
                    <w:tr2bl w:val="nil"/>
                  </w:tcBorders>
                  <w:vAlign w:val="center"/>
                </w:tcPr>
                <w:p w14:paraId="2F206BB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c>
                <w:tcPr>
                  <w:tcW w:w="1713" w:type="dxa"/>
                  <w:vMerge w:val="continue"/>
                  <w:tcBorders>
                    <w:tl2br w:val="nil"/>
                    <w:tr2bl w:val="nil"/>
                  </w:tcBorders>
                  <w:vAlign w:val="center"/>
                </w:tcPr>
                <w:p w14:paraId="292CADF1">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bl>
          <w:p w14:paraId="55463A11">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由上表可以得出该项目所产生的各种固体废物均具有良好的处置方法，</w:t>
            </w:r>
            <w:r>
              <w:rPr>
                <w:rFonts w:hint="default" w:ascii="Times New Roman" w:hAnsi="Times New Roman" w:eastAsia="宋体" w:cs="Times New Roman"/>
                <w:color w:val="auto"/>
                <w:spacing w:val="-4"/>
                <w:sz w:val="24"/>
                <w:szCs w:val="24"/>
                <w:highlight w:val="none"/>
              </w:rPr>
              <w:t>处置率</w:t>
            </w:r>
            <w:r>
              <w:rPr>
                <w:rFonts w:hint="default" w:ascii="Times New Roman" w:hAnsi="Times New Roman" w:eastAsia="Times New Roman" w:cs="Times New Roman"/>
                <w:color w:val="auto"/>
                <w:spacing w:val="-4"/>
                <w:sz w:val="24"/>
                <w:szCs w:val="24"/>
                <w:highlight w:val="none"/>
              </w:rPr>
              <w:t>100%</w:t>
            </w:r>
            <w:r>
              <w:rPr>
                <w:rFonts w:hint="default" w:ascii="Times New Roman" w:hAnsi="Times New Roman" w:eastAsia="宋体" w:cs="Times New Roman"/>
                <w:color w:val="auto"/>
                <w:spacing w:val="-4"/>
                <w:sz w:val="24"/>
                <w:szCs w:val="24"/>
                <w:highlight w:val="none"/>
              </w:rPr>
              <w:t>，符合固体废物减量化、资源化、无害化要求，防治措施可行，</w:t>
            </w:r>
            <w:r>
              <w:rPr>
                <w:rFonts w:hint="default" w:ascii="Times New Roman" w:hAnsi="Times New Roman" w:eastAsia="宋体" w:cs="Times New Roman"/>
                <w:color w:val="auto"/>
                <w:spacing w:val="-2"/>
                <w:sz w:val="24"/>
                <w:szCs w:val="24"/>
                <w:highlight w:val="none"/>
              </w:rPr>
              <w:t>不会对周围环境产生影响。</w:t>
            </w:r>
          </w:p>
          <w:p w14:paraId="70E76638">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4.2</w:t>
            </w:r>
            <w:r>
              <w:rPr>
                <w:rFonts w:hint="default" w:ascii="Times New Roman" w:hAnsi="Times New Roman" w:eastAsia="宋体" w:cs="Times New Roman"/>
                <w:b/>
                <w:bCs/>
                <w:color w:val="auto"/>
                <w:spacing w:val="-2"/>
                <w:sz w:val="24"/>
                <w:szCs w:val="24"/>
                <w:highlight w:val="none"/>
              </w:rPr>
              <w:t>固体废物防治措施及环境管理要求</w:t>
            </w:r>
          </w:p>
          <w:p w14:paraId="57F07D86">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）固体废物产生及处置情况</w:t>
            </w:r>
          </w:p>
          <w:p w14:paraId="4EBCB72E">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本项目固体废物主要为员工生活垃圾、不合格产品、废包装材料、</w:t>
            </w:r>
            <w:r>
              <w:rPr>
                <w:rFonts w:hint="default" w:ascii="Times New Roman" w:hAnsi="Times New Roman" w:eastAsia="宋体" w:cs="Times New Roman"/>
                <w:color w:val="auto"/>
                <w:sz w:val="24"/>
                <w:szCs w:val="24"/>
                <w:highlight w:val="none"/>
              </w:rPr>
              <w:t>废活</w:t>
            </w:r>
            <w:r>
              <w:rPr>
                <w:rFonts w:hint="default" w:ascii="Times New Roman" w:hAnsi="Times New Roman" w:eastAsia="宋体" w:cs="Times New Roman"/>
                <w:color w:val="auto"/>
                <w:spacing w:val="1"/>
                <w:sz w:val="24"/>
                <w:szCs w:val="24"/>
                <w:highlight w:val="none"/>
              </w:rPr>
              <w:t>性炭、废催化剂、废机油。员工生活垃圾收集后交由环卫部门统一清理</w:t>
            </w:r>
            <w:r>
              <w:rPr>
                <w:rFonts w:hint="default" w:ascii="Times New Roman" w:hAnsi="Times New Roman" w:eastAsia="宋体" w:cs="Times New Roman"/>
                <w:color w:val="auto"/>
                <w:sz w:val="24"/>
                <w:szCs w:val="24"/>
                <w:highlight w:val="none"/>
              </w:rPr>
              <w:t>；不</w:t>
            </w:r>
            <w:r>
              <w:rPr>
                <w:rFonts w:hint="default" w:ascii="Times New Roman" w:hAnsi="Times New Roman" w:eastAsia="宋体" w:cs="Times New Roman"/>
                <w:color w:val="auto"/>
                <w:spacing w:val="1"/>
                <w:sz w:val="24"/>
                <w:szCs w:val="24"/>
                <w:highlight w:val="none"/>
              </w:rPr>
              <w:t>合格产品集中收集后回用于生产，废包装材料集中收集后外售；废活性</w:t>
            </w:r>
            <w:r>
              <w:rPr>
                <w:rFonts w:hint="default" w:ascii="Times New Roman" w:hAnsi="Times New Roman" w:eastAsia="宋体" w:cs="Times New Roman"/>
                <w:color w:val="auto"/>
                <w:sz w:val="24"/>
                <w:szCs w:val="24"/>
                <w:highlight w:val="none"/>
              </w:rPr>
              <w:t>炭、</w:t>
            </w:r>
            <w:r>
              <w:rPr>
                <w:rFonts w:hint="default" w:ascii="Times New Roman" w:hAnsi="Times New Roman" w:eastAsia="宋体" w:cs="Times New Roman"/>
                <w:color w:val="auto"/>
                <w:spacing w:val="1"/>
                <w:sz w:val="24"/>
                <w:szCs w:val="24"/>
                <w:highlight w:val="none"/>
              </w:rPr>
              <w:t>废催化剂</w:t>
            </w:r>
            <w:r>
              <w:rPr>
                <w:rFonts w:hint="default" w:ascii="Times New Roman" w:hAnsi="Times New Roman" w:eastAsia="宋体" w:cs="Times New Roman"/>
                <w:color w:val="auto"/>
                <w:spacing w:val="-5"/>
                <w:sz w:val="24"/>
                <w:szCs w:val="24"/>
                <w:highlight w:val="none"/>
              </w:rPr>
              <w:t>定期委托危废</w:t>
            </w:r>
            <w:r>
              <w:rPr>
                <w:rFonts w:hint="default" w:ascii="Times New Roman" w:hAnsi="Times New Roman" w:cs="Times New Roman"/>
                <w:color w:val="auto"/>
                <w:spacing w:val="-5"/>
                <w:sz w:val="24"/>
                <w:szCs w:val="24"/>
                <w:highlight w:val="none"/>
                <w:lang w:val="en-US" w:eastAsia="zh-CN"/>
              </w:rPr>
              <w:t>资质单位处置</w:t>
            </w:r>
            <w:r>
              <w:rPr>
                <w:rFonts w:hint="default" w:ascii="Times New Roman" w:hAnsi="Times New Roman" w:eastAsia="宋体" w:cs="Times New Roman"/>
                <w:color w:val="auto"/>
                <w:spacing w:val="1"/>
                <w:sz w:val="24"/>
                <w:szCs w:val="24"/>
                <w:highlight w:val="none"/>
              </w:rPr>
              <w:t>，废机油</w:t>
            </w:r>
            <w:r>
              <w:rPr>
                <w:rFonts w:hint="default" w:ascii="Times New Roman" w:hAnsi="Times New Roman" w:eastAsia="宋体" w:cs="Times New Roman"/>
                <w:color w:val="auto"/>
                <w:sz w:val="24"/>
                <w:szCs w:val="24"/>
                <w:highlight w:val="none"/>
              </w:rPr>
              <w:t>集中</w:t>
            </w:r>
            <w:r>
              <w:rPr>
                <w:rFonts w:hint="default" w:ascii="Times New Roman" w:hAnsi="Times New Roman" w:eastAsia="宋体" w:cs="Times New Roman"/>
                <w:color w:val="auto"/>
                <w:spacing w:val="-1"/>
                <w:sz w:val="24"/>
                <w:szCs w:val="24"/>
                <w:highlight w:val="none"/>
              </w:rPr>
              <w:t>收集至</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后，定期委托有相关资质的单位统一处置。综上，项目固体废物可得到合理处置，对外环境影响较小。</w:t>
            </w:r>
          </w:p>
          <w:p w14:paraId="65ECE0E3">
            <w:pPr>
              <w:spacing w:line="360" w:lineRule="auto"/>
              <w:ind w:firstLine="480" w:firstLineChars="200"/>
              <w:textAlignment w:val="baseline"/>
              <w:rPr>
                <w:rFonts w:hint="default" w:eastAsia="宋体"/>
                <w:color w:val="auto"/>
                <w:kern w:val="0"/>
                <w:sz w:val="24"/>
                <w:highlight w:val="none"/>
                <w:lang w:val="en-US" w:eastAsia="zh-CN"/>
              </w:rPr>
            </w:pPr>
            <w:r>
              <w:rPr>
                <w:color w:val="auto"/>
                <w:kern w:val="0"/>
                <w:sz w:val="24"/>
                <w:highlight w:val="none"/>
              </w:rPr>
              <w:t>本项目</w:t>
            </w:r>
            <w:r>
              <w:rPr>
                <w:rFonts w:hint="eastAsia"/>
                <w:color w:val="auto"/>
                <w:kern w:val="0"/>
                <w:sz w:val="24"/>
                <w:highlight w:val="none"/>
              </w:rPr>
              <w:t>产生的危险废物依托原有工程</w:t>
            </w:r>
            <w:r>
              <w:rPr>
                <w:rFonts w:hint="eastAsia"/>
                <w:color w:val="auto"/>
                <w:kern w:val="0"/>
                <w:sz w:val="24"/>
                <w:highlight w:val="none"/>
                <w:lang w:eastAsia="zh-CN"/>
              </w:rPr>
              <w:t>危废贮存点</w:t>
            </w:r>
            <w:r>
              <w:rPr>
                <w:rFonts w:hint="eastAsia"/>
                <w:color w:val="auto"/>
                <w:kern w:val="0"/>
                <w:sz w:val="24"/>
                <w:highlight w:val="none"/>
              </w:rPr>
              <w:t>，原有工程建设有1座占地面积为10m</w:t>
            </w:r>
            <w:r>
              <w:rPr>
                <w:rFonts w:hint="eastAsia"/>
                <w:color w:val="auto"/>
                <w:kern w:val="0"/>
                <w:sz w:val="24"/>
                <w:highlight w:val="none"/>
                <w:vertAlign w:val="superscript"/>
              </w:rPr>
              <w:t>2</w:t>
            </w:r>
            <w:r>
              <w:rPr>
                <w:rFonts w:hint="eastAsia"/>
                <w:color w:val="auto"/>
                <w:kern w:val="0"/>
                <w:sz w:val="24"/>
                <w:highlight w:val="none"/>
              </w:rPr>
              <w:t>的</w:t>
            </w:r>
            <w:r>
              <w:rPr>
                <w:rFonts w:hint="eastAsia"/>
                <w:color w:val="auto"/>
                <w:kern w:val="0"/>
                <w:sz w:val="24"/>
                <w:highlight w:val="none"/>
                <w:lang w:eastAsia="zh-CN"/>
              </w:rPr>
              <w:t>危废贮存点</w:t>
            </w:r>
            <w:r>
              <w:rPr>
                <w:rFonts w:hint="eastAsia"/>
                <w:color w:val="auto"/>
                <w:kern w:val="0"/>
                <w:sz w:val="24"/>
                <w:highlight w:val="none"/>
              </w:rPr>
              <w:t>，</w:t>
            </w:r>
            <w:r>
              <w:rPr>
                <w:rFonts w:hint="eastAsia"/>
                <w:color w:val="auto"/>
                <w:kern w:val="0"/>
                <w:sz w:val="24"/>
                <w:highlight w:val="none"/>
                <w:lang w:val="en-US" w:eastAsia="zh-CN"/>
              </w:rPr>
              <w:t>设计最大贮存量为2t，</w:t>
            </w:r>
            <w:r>
              <w:rPr>
                <w:rFonts w:hint="eastAsia"/>
                <w:color w:val="auto"/>
                <w:kern w:val="0"/>
                <w:sz w:val="24"/>
                <w:highlight w:val="none"/>
              </w:rPr>
              <w:t>用于贮存危险废物，原有工程</w:t>
            </w:r>
            <w:r>
              <w:rPr>
                <w:rFonts w:hint="eastAsia"/>
                <w:color w:val="auto"/>
                <w:kern w:val="0"/>
                <w:sz w:val="24"/>
                <w:highlight w:val="none"/>
                <w:lang w:eastAsia="zh-CN"/>
              </w:rPr>
              <w:t>危废贮存点</w:t>
            </w:r>
            <w:r>
              <w:rPr>
                <w:rFonts w:hint="eastAsia"/>
                <w:color w:val="auto"/>
                <w:kern w:val="0"/>
                <w:sz w:val="24"/>
                <w:highlight w:val="none"/>
                <w:lang w:val="en-US" w:eastAsia="zh-CN"/>
              </w:rPr>
              <w:t>容量</w:t>
            </w:r>
            <w:r>
              <w:rPr>
                <w:rFonts w:hint="eastAsia"/>
                <w:color w:val="auto"/>
                <w:kern w:val="0"/>
                <w:sz w:val="24"/>
                <w:highlight w:val="none"/>
              </w:rPr>
              <w:t>可以容纳本项目产生的危废</w:t>
            </w:r>
            <w:r>
              <w:rPr>
                <w:rFonts w:hint="eastAsia"/>
                <w:color w:val="auto"/>
                <w:kern w:val="0"/>
                <w:sz w:val="24"/>
                <w:highlight w:val="none"/>
                <w:lang w:eastAsia="zh-CN"/>
              </w:rPr>
              <w:t>，</w:t>
            </w:r>
            <w:r>
              <w:rPr>
                <w:rFonts w:hint="eastAsia"/>
                <w:color w:val="auto"/>
                <w:kern w:val="0"/>
                <w:sz w:val="24"/>
                <w:highlight w:val="none"/>
                <w:lang w:val="en-US" w:eastAsia="zh-CN"/>
              </w:rPr>
              <w:t>依托可行。</w:t>
            </w:r>
          </w:p>
          <w:p w14:paraId="44F53AA7">
            <w:pPr>
              <w:spacing w:line="360" w:lineRule="auto"/>
              <w:ind w:firstLine="480" w:firstLineChars="200"/>
              <w:textAlignment w:val="baseline"/>
              <w:rPr>
                <w:rFonts w:hint="eastAsia"/>
                <w:color w:val="auto"/>
                <w:kern w:val="0"/>
                <w:sz w:val="24"/>
                <w:highlight w:val="none"/>
                <w:lang w:val="en-US" w:eastAsia="zh-CN"/>
              </w:rPr>
            </w:pPr>
            <w:r>
              <w:rPr>
                <w:rFonts w:hint="eastAsia"/>
                <w:color w:val="auto"/>
                <w:kern w:val="0"/>
                <w:sz w:val="24"/>
                <w:highlight w:val="none"/>
                <w:lang w:val="en-US" w:eastAsia="zh-CN"/>
              </w:rPr>
              <w:t>根据</w:t>
            </w:r>
            <w:r>
              <w:rPr>
                <w:color w:val="auto"/>
                <w:kern w:val="0"/>
                <w:sz w:val="24"/>
                <w:highlight w:val="none"/>
              </w:rPr>
              <w:t>《危险废物贮存污染控制标准》（GB18597-2023）</w:t>
            </w:r>
            <w:r>
              <w:rPr>
                <w:rFonts w:hint="eastAsia"/>
                <w:color w:val="auto"/>
                <w:kern w:val="0"/>
                <w:sz w:val="24"/>
                <w:highlight w:val="none"/>
                <w:lang w:eastAsia="zh-CN"/>
              </w:rPr>
              <w:t>，</w:t>
            </w:r>
            <w:r>
              <w:rPr>
                <w:rFonts w:hint="eastAsia"/>
                <w:color w:val="auto"/>
                <w:kern w:val="0"/>
                <w:sz w:val="24"/>
                <w:highlight w:val="none"/>
              </w:rPr>
              <w:t>原有工程</w:t>
            </w:r>
            <w:r>
              <w:rPr>
                <w:rFonts w:hint="eastAsia"/>
                <w:color w:val="auto"/>
                <w:kern w:val="0"/>
                <w:sz w:val="24"/>
                <w:highlight w:val="none"/>
                <w:lang w:eastAsia="zh-CN"/>
              </w:rPr>
              <w:t>危废贮存点</w:t>
            </w:r>
            <w:r>
              <w:rPr>
                <w:rFonts w:hint="eastAsia"/>
                <w:color w:val="auto"/>
                <w:kern w:val="0"/>
                <w:sz w:val="24"/>
                <w:highlight w:val="none"/>
                <w:lang w:val="en-US" w:eastAsia="zh-CN"/>
              </w:rPr>
              <w:t>在独立区域单独建设，具备</w:t>
            </w:r>
            <w:r>
              <w:rPr>
                <w:rFonts w:ascii="宋体" w:hAnsi="宋体" w:eastAsia="宋体" w:cs="宋体"/>
                <w:color w:val="auto"/>
                <w:sz w:val="24"/>
                <w:szCs w:val="24"/>
                <w:highlight w:val="none"/>
              </w:rPr>
              <w:t>防风、防晒、防雨、防漏、防渗、防腐</w:t>
            </w:r>
            <w:r>
              <w:rPr>
                <w:rFonts w:hint="eastAsia" w:ascii="宋体" w:hAnsi="宋体" w:eastAsia="宋体" w:cs="宋体"/>
                <w:color w:val="auto"/>
                <w:sz w:val="24"/>
                <w:szCs w:val="24"/>
                <w:highlight w:val="none"/>
                <w:lang w:val="en-US" w:eastAsia="zh-CN"/>
              </w:rPr>
              <w:t>等要求。危废贮存点内已进行分区隔离，用于存放废灯管和废矿物油。危废贮存点</w:t>
            </w:r>
            <w:r>
              <w:rPr>
                <w:rFonts w:ascii="宋体" w:hAnsi="宋体" w:eastAsia="宋体" w:cs="宋体"/>
                <w:color w:val="auto"/>
                <w:sz w:val="24"/>
                <w:szCs w:val="24"/>
                <w:highlight w:val="none"/>
              </w:rPr>
              <w:t>内地面、墙面裙脚、隔板和墙体等表面无裂缝。</w:t>
            </w:r>
            <w:r>
              <w:rPr>
                <w:color w:val="auto"/>
                <w:kern w:val="0"/>
                <w:sz w:val="24"/>
                <w:highlight w:val="none"/>
              </w:rPr>
              <w:t>在醒目位置</w:t>
            </w:r>
            <w:r>
              <w:rPr>
                <w:rFonts w:hint="eastAsia"/>
                <w:color w:val="auto"/>
                <w:kern w:val="0"/>
                <w:sz w:val="24"/>
                <w:highlight w:val="none"/>
              </w:rPr>
              <w:t>张贴</w:t>
            </w:r>
            <w:r>
              <w:rPr>
                <w:rFonts w:hint="eastAsia"/>
                <w:color w:val="auto"/>
                <w:kern w:val="0"/>
                <w:sz w:val="24"/>
                <w:highlight w:val="none"/>
                <w:lang w:val="en-US" w:eastAsia="zh-CN"/>
              </w:rPr>
              <w:t>有</w:t>
            </w:r>
            <w:r>
              <w:rPr>
                <w:color w:val="auto"/>
                <w:kern w:val="0"/>
                <w:sz w:val="24"/>
                <w:highlight w:val="none"/>
              </w:rPr>
              <w:t>危废标识牌</w:t>
            </w:r>
            <w:r>
              <w:rPr>
                <w:rFonts w:hint="eastAsia"/>
                <w:color w:val="auto"/>
                <w:kern w:val="0"/>
                <w:sz w:val="24"/>
                <w:highlight w:val="none"/>
                <w:lang w:val="en-US" w:eastAsia="zh-CN"/>
              </w:rPr>
              <w:t>。</w:t>
            </w:r>
          </w:p>
          <w:p w14:paraId="548AB560">
            <w:pPr>
              <w:spacing w:line="360" w:lineRule="auto"/>
              <w:ind w:firstLine="480" w:firstLineChars="200"/>
              <w:textAlignment w:val="baseline"/>
              <w:rPr>
                <w:rFonts w:hint="default"/>
                <w:color w:val="auto"/>
                <w:highlight w:val="none"/>
                <w:lang w:val="en-US" w:eastAsia="zh-CN"/>
              </w:rPr>
            </w:pPr>
            <w:r>
              <w:rPr>
                <w:rFonts w:hint="eastAsia"/>
                <w:color w:val="auto"/>
                <w:kern w:val="0"/>
                <w:sz w:val="24"/>
                <w:highlight w:val="none"/>
                <w:lang w:val="en-US" w:eastAsia="zh-CN"/>
              </w:rPr>
              <w:t>根据现场勘察，</w:t>
            </w:r>
            <w:r>
              <w:rPr>
                <w:rFonts w:hint="eastAsia" w:ascii="Times New Roman" w:hAnsi="Times New Roman" w:eastAsia="宋体" w:cs="Times New Roman"/>
                <w:color w:val="auto"/>
                <w:kern w:val="0"/>
                <w:sz w:val="24"/>
                <w:highlight w:val="none"/>
                <w:lang w:val="en-US" w:eastAsia="zh-CN"/>
              </w:rPr>
              <w:t>原有危废贮存点内无液体导流和收集设施，本次评价要求建设单位对危废贮存点进行改造，在危废贮存点内</w:t>
            </w:r>
            <w:r>
              <w:rPr>
                <w:rFonts w:ascii="宋体" w:hAnsi="宋体" w:cs="宋体"/>
                <w:color w:val="auto"/>
                <w:kern w:val="0"/>
                <w:sz w:val="24"/>
                <w:highlight w:val="none"/>
                <w:lang w:bidi="ar"/>
              </w:rPr>
              <w:t>废矿物油</w:t>
            </w:r>
            <w:r>
              <w:rPr>
                <w:rFonts w:hint="eastAsia" w:ascii="宋体" w:hAnsi="宋体" w:cs="宋体"/>
                <w:color w:val="auto"/>
                <w:kern w:val="0"/>
                <w:sz w:val="24"/>
                <w:highlight w:val="none"/>
                <w:lang w:val="en-US" w:eastAsia="zh-CN" w:bidi="ar"/>
              </w:rPr>
              <w:t>贮存区域设置导流沟并建设收集池，收集池</w:t>
            </w:r>
            <w:r>
              <w:rPr>
                <w:rFonts w:ascii="宋体" w:hAnsi="宋体" w:eastAsia="宋体" w:cs="宋体"/>
                <w:color w:val="auto"/>
                <w:sz w:val="24"/>
                <w:szCs w:val="24"/>
                <w:highlight w:val="none"/>
              </w:rPr>
              <w:t>最小容积不应低于对应贮存区域最大液态废物容器容积或液态废物总储量1/10（二者取较大者）</w:t>
            </w:r>
            <w:r>
              <w:rPr>
                <w:rFonts w:hint="eastAsia" w:ascii="宋体" w:hAnsi="宋体" w:eastAsia="宋体" w:cs="宋体"/>
                <w:color w:val="auto"/>
                <w:sz w:val="24"/>
                <w:szCs w:val="24"/>
                <w:highlight w:val="none"/>
                <w:lang w:eastAsia="zh-CN"/>
              </w:rPr>
              <w:t>，</w:t>
            </w:r>
            <w:r>
              <w:rPr>
                <w:rFonts w:hint="eastAsia" w:ascii="宋体" w:hAnsi="宋体" w:cs="宋体"/>
                <w:color w:val="auto"/>
                <w:kern w:val="0"/>
                <w:sz w:val="24"/>
                <w:highlight w:val="none"/>
                <w:lang w:val="en-US" w:eastAsia="zh-CN" w:bidi="ar"/>
              </w:rPr>
              <w:t>用于防止废矿物油贮存期间因事故泄露导致环境污染。</w:t>
            </w:r>
          </w:p>
          <w:p w14:paraId="5C82C109">
            <w:pPr>
              <w:spacing w:line="360" w:lineRule="auto"/>
              <w:ind w:firstLine="480" w:firstLineChars="200"/>
              <w:textAlignment w:val="baseline"/>
              <w:rPr>
                <w:rFonts w:hint="default" w:ascii="Times New Roman" w:hAnsi="Times New Roman" w:eastAsia="宋体" w:cs="Times New Roman"/>
                <w:color w:val="auto"/>
                <w:spacing w:val="-2"/>
                <w:sz w:val="24"/>
                <w:szCs w:val="24"/>
                <w:highlight w:val="none"/>
              </w:rPr>
            </w:pPr>
            <w:r>
              <w:rPr>
                <w:color w:val="auto"/>
                <w:sz w:val="24"/>
                <w:highlight w:val="none"/>
              </w:rPr>
              <w:t>本项目运行后，</w:t>
            </w:r>
            <w:r>
              <w:rPr>
                <w:rFonts w:hint="eastAsia"/>
                <w:color w:val="auto"/>
                <w:sz w:val="24"/>
                <w:highlight w:val="none"/>
              </w:rPr>
              <w:t>在</w:t>
            </w:r>
            <w:r>
              <w:rPr>
                <w:color w:val="auto"/>
                <w:sz w:val="24"/>
                <w:highlight w:val="none"/>
              </w:rPr>
              <w:t>危废</w:t>
            </w:r>
            <w:r>
              <w:rPr>
                <w:rFonts w:hint="eastAsia"/>
                <w:color w:val="auto"/>
                <w:sz w:val="24"/>
                <w:highlight w:val="none"/>
              </w:rPr>
              <w:t>转移</w:t>
            </w:r>
            <w:r>
              <w:rPr>
                <w:color w:val="auto"/>
                <w:sz w:val="24"/>
                <w:highlight w:val="none"/>
              </w:rPr>
              <w:t>处理前（危废在厂内暂存时间不得超过一年），应提供与具有危险废物处置资质的单位签订委托处置协议，落实危废处置去向。</w:t>
            </w:r>
            <w:r>
              <w:rPr>
                <w:rFonts w:hint="eastAsia"/>
                <w:color w:val="auto"/>
                <w:kern w:val="0"/>
                <w:sz w:val="24"/>
                <w:highlight w:val="none"/>
              </w:rPr>
              <w:t>同时按照《危险废物管理计划和管理台账制定技术导则》制定危废管理计划，建立危废管理台账。</w:t>
            </w:r>
          </w:p>
          <w:p w14:paraId="65F56AC0">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2</w:t>
            </w:r>
            <w:r>
              <w:rPr>
                <w:rFonts w:hint="default" w:ascii="Times New Roman" w:hAnsi="Times New Roman" w:eastAsia="宋体" w:cs="Times New Roman"/>
                <w:color w:val="auto"/>
                <w:spacing w:val="-2"/>
                <w:sz w:val="24"/>
                <w:szCs w:val="24"/>
                <w:highlight w:val="none"/>
              </w:rPr>
              <w:t>）一般固废暂存要求</w:t>
            </w:r>
          </w:p>
          <w:p w14:paraId="3A65F791">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pacing w:val="1"/>
                <w:sz w:val="24"/>
                <w:szCs w:val="24"/>
                <w:highlight w:val="none"/>
              </w:rPr>
            </w:pPr>
            <w:r>
              <w:rPr>
                <w:rFonts w:hint="default" w:ascii="Times New Roman" w:hAnsi="Times New Roman" w:cs="Times New Roman"/>
                <w:color w:val="auto"/>
                <w:spacing w:val="1"/>
                <w:sz w:val="24"/>
                <w:szCs w:val="24"/>
                <w:highlight w:val="none"/>
                <w:lang w:val="en-US" w:eastAsia="zh-CN"/>
              </w:rPr>
              <w:t>建设单位已建设</w:t>
            </w:r>
            <w:r>
              <w:rPr>
                <w:rFonts w:hint="default" w:ascii="Times New Roman" w:hAnsi="Times New Roman" w:eastAsia="宋体" w:cs="Times New Roman"/>
                <w:b/>
                <w:bCs/>
                <w:color w:val="auto"/>
                <w:kern w:val="0"/>
                <w:sz w:val="24"/>
                <w:szCs w:val="24"/>
                <w:highlight w:val="none"/>
                <w:lang w:val="en-US" w:eastAsia="zh-CN" w:bidi="ar"/>
              </w:rPr>
              <w:t>一</w:t>
            </w:r>
            <w:r>
              <w:rPr>
                <w:rFonts w:hint="default" w:ascii="Times New Roman" w:hAnsi="Times New Roman" w:eastAsia="宋体" w:cs="Times New Roman"/>
                <w:b w:val="0"/>
                <w:bCs w:val="0"/>
                <w:color w:val="auto"/>
                <w:kern w:val="0"/>
                <w:sz w:val="24"/>
                <w:szCs w:val="24"/>
                <w:highlight w:val="none"/>
                <w:lang w:val="en-US" w:eastAsia="zh-CN" w:bidi="ar"/>
              </w:rPr>
              <w:t>般固废贮存区，占地400m</w:t>
            </w:r>
            <w:r>
              <w:rPr>
                <w:rFonts w:hint="default" w:ascii="Times New Roman" w:hAnsi="Times New Roman" w:eastAsia="宋体" w:cs="Times New Roman"/>
                <w:b w:val="0"/>
                <w:bCs w:val="0"/>
                <w:color w:val="auto"/>
                <w:kern w:val="0"/>
                <w:sz w:val="24"/>
                <w:szCs w:val="24"/>
                <w:highlight w:val="none"/>
                <w:vertAlign w:val="superscript"/>
                <w:lang w:val="en-US" w:eastAsia="zh-CN" w:bidi="ar"/>
              </w:rPr>
              <w:t>2</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spacing w:val="1"/>
                <w:sz w:val="24"/>
                <w:szCs w:val="24"/>
                <w:highlight w:val="none"/>
              </w:rPr>
              <w:t>根据</w:t>
            </w:r>
            <w:r>
              <w:rPr>
                <w:rFonts w:hint="default" w:ascii="Times New Roman" w:hAnsi="Times New Roman" w:eastAsia="宋体" w:cs="Times New Roman"/>
                <w:color w:val="auto"/>
                <w:spacing w:val="1"/>
                <w:sz w:val="24"/>
                <w:szCs w:val="24"/>
                <w:highlight w:val="none"/>
              </w:rPr>
              <w:t>一般固废种类进行分类收集，分类贮存，贮存场所设置挡风、挡雨和防渗措施，可有效防止扬尘、渗滤液对周围环境造成影响。</w:t>
            </w:r>
          </w:p>
          <w:p w14:paraId="614FC973">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1"/>
                <w:sz w:val="24"/>
                <w:szCs w:val="24"/>
                <w:highlight w:val="none"/>
                <w:lang w:val="en-US" w:eastAsia="zh-CN"/>
              </w:rPr>
              <w:t>本次环评要求建设单位对</w:t>
            </w:r>
            <w:r>
              <w:rPr>
                <w:rFonts w:hint="default" w:ascii="Times New Roman" w:hAnsi="Times New Roman" w:eastAsia="宋体" w:cs="Times New Roman"/>
                <w:color w:val="auto"/>
                <w:spacing w:val="1"/>
                <w:sz w:val="24"/>
                <w:szCs w:val="24"/>
                <w:highlight w:val="none"/>
              </w:rPr>
              <w:t>一般固</w:t>
            </w:r>
            <w:r>
              <w:rPr>
                <w:rFonts w:hint="default" w:ascii="Times New Roman" w:hAnsi="Times New Roman" w:eastAsia="宋体" w:cs="Times New Roman"/>
                <w:color w:val="auto"/>
                <w:sz w:val="24"/>
                <w:szCs w:val="24"/>
                <w:highlight w:val="none"/>
              </w:rPr>
              <w:t>废临时</w:t>
            </w:r>
            <w:r>
              <w:rPr>
                <w:rFonts w:hint="default" w:ascii="Times New Roman" w:hAnsi="Times New Roman" w:eastAsia="宋体" w:cs="Times New Roman"/>
                <w:color w:val="auto"/>
                <w:spacing w:val="-6"/>
                <w:sz w:val="24"/>
                <w:szCs w:val="24"/>
                <w:highlight w:val="none"/>
              </w:rPr>
              <w:t>暂存场所按照《一般工业固体废物贮存和填埋污染</w:t>
            </w:r>
            <w:r>
              <w:rPr>
                <w:rFonts w:hint="default" w:ascii="Times New Roman" w:hAnsi="Times New Roman" w:eastAsia="宋体" w:cs="Times New Roman"/>
                <w:color w:val="auto"/>
                <w:spacing w:val="-7"/>
                <w:sz w:val="24"/>
                <w:szCs w:val="24"/>
                <w:highlight w:val="none"/>
              </w:rPr>
              <w:t>控制标准》</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GB18599-2020</w:t>
            </w:r>
            <w:r>
              <w:rPr>
                <w:rFonts w:hint="default" w:ascii="Times New Roman" w:hAnsi="Times New Roman" w:eastAsia="宋体" w:cs="Times New Roman"/>
                <w:color w:val="auto"/>
                <w:spacing w:val="-1"/>
                <w:sz w:val="24"/>
                <w:szCs w:val="24"/>
                <w:highlight w:val="none"/>
              </w:rPr>
              <w:t>）的相关要求进行</w:t>
            </w:r>
            <w:r>
              <w:rPr>
                <w:rFonts w:hint="default" w:ascii="Times New Roman" w:hAnsi="Times New Roman" w:cs="Times New Roman"/>
                <w:color w:val="auto"/>
                <w:spacing w:val="-1"/>
                <w:sz w:val="24"/>
                <w:szCs w:val="24"/>
                <w:highlight w:val="none"/>
                <w:lang w:eastAsia="zh-CN"/>
              </w:rPr>
              <w:t>设置</w:t>
            </w:r>
            <w:r>
              <w:rPr>
                <w:rFonts w:hint="default" w:ascii="Times New Roman" w:hAnsi="Times New Roman" w:cs="Times New Roman"/>
                <w:color w:val="auto"/>
                <w:spacing w:val="-1"/>
                <w:sz w:val="24"/>
                <w:szCs w:val="24"/>
                <w:highlight w:val="none"/>
                <w:lang w:val="en-US" w:eastAsia="zh-CN"/>
              </w:rPr>
              <w:t>并完善建设的不足</w:t>
            </w:r>
            <w:r>
              <w:rPr>
                <w:rFonts w:hint="default" w:ascii="Times New Roman" w:hAnsi="Times New Roman" w:eastAsia="宋体" w:cs="Times New Roman"/>
                <w:color w:val="auto"/>
                <w:spacing w:val="-1"/>
                <w:sz w:val="24"/>
                <w:szCs w:val="24"/>
                <w:highlight w:val="none"/>
              </w:rPr>
              <w:t>。同时，根据《一般工业固体废物管</w:t>
            </w:r>
            <w:r>
              <w:rPr>
                <w:rFonts w:hint="default" w:ascii="Times New Roman" w:hAnsi="Times New Roman" w:eastAsia="宋体" w:cs="Times New Roman"/>
                <w:color w:val="auto"/>
                <w:spacing w:val="1"/>
                <w:sz w:val="24"/>
                <w:szCs w:val="24"/>
                <w:highlight w:val="none"/>
              </w:rPr>
              <w:t>理台账制定指南（试行）》，建立一般工业固体废物管理台账，一般</w:t>
            </w:r>
            <w:r>
              <w:rPr>
                <w:rFonts w:hint="default" w:ascii="Times New Roman" w:hAnsi="Times New Roman" w:eastAsia="宋体" w:cs="Times New Roman"/>
                <w:color w:val="auto"/>
                <w:sz w:val="24"/>
                <w:szCs w:val="24"/>
                <w:highlight w:val="none"/>
              </w:rPr>
              <w:t>工业固</w:t>
            </w:r>
            <w:r>
              <w:rPr>
                <w:rFonts w:hint="default" w:ascii="Times New Roman" w:hAnsi="Times New Roman" w:eastAsia="宋体" w:cs="Times New Roman"/>
                <w:color w:val="auto"/>
                <w:spacing w:val="1"/>
                <w:sz w:val="24"/>
                <w:szCs w:val="24"/>
                <w:highlight w:val="none"/>
              </w:rPr>
              <w:t>体废物管理台账实施分级管理，主要用于记录固体废物的基础信息及</w:t>
            </w:r>
            <w:r>
              <w:rPr>
                <w:rFonts w:hint="default" w:ascii="Times New Roman" w:hAnsi="Times New Roman" w:eastAsia="宋体" w:cs="Times New Roman"/>
                <w:color w:val="auto"/>
                <w:sz w:val="24"/>
                <w:szCs w:val="24"/>
                <w:highlight w:val="none"/>
              </w:rPr>
              <w:t>流向信</w:t>
            </w:r>
            <w:r>
              <w:rPr>
                <w:rFonts w:hint="default" w:ascii="Times New Roman" w:hAnsi="Times New Roman" w:eastAsia="宋体" w:cs="Times New Roman"/>
                <w:color w:val="auto"/>
                <w:spacing w:val="1"/>
                <w:sz w:val="24"/>
                <w:szCs w:val="24"/>
                <w:highlight w:val="none"/>
              </w:rPr>
              <w:t>息，每一批次固体废物的出厂以及转移信息均应当如实记录。企业应</w:t>
            </w:r>
            <w:r>
              <w:rPr>
                <w:rFonts w:hint="default" w:ascii="Times New Roman" w:hAnsi="Times New Roman" w:eastAsia="宋体" w:cs="Times New Roman"/>
                <w:color w:val="auto"/>
                <w:sz w:val="24"/>
                <w:szCs w:val="24"/>
                <w:highlight w:val="none"/>
              </w:rPr>
              <w:t>设置专</w:t>
            </w:r>
            <w:r>
              <w:rPr>
                <w:rFonts w:hint="default" w:ascii="Times New Roman" w:hAnsi="Times New Roman" w:eastAsia="宋体" w:cs="Times New Roman"/>
                <w:color w:val="auto"/>
                <w:spacing w:val="-2"/>
                <w:sz w:val="24"/>
                <w:szCs w:val="24"/>
                <w:highlight w:val="none"/>
              </w:rPr>
              <w:t>人负责台账的管理与归档，一般工业固体废物管理台账保存期限不少于</w:t>
            </w:r>
            <w:r>
              <w:rPr>
                <w:rFonts w:hint="default" w:ascii="Times New Roman" w:hAnsi="Times New Roman" w:eastAsia="Times New Roman" w:cs="Times New Roman"/>
                <w:color w:val="auto"/>
                <w:spacing w:val="-2"/>
                <w:sz w:val="24"/>
                <w:szCs w:val="24"/>
                <w:highlight w:val="none"/>
              </w:rPr>
              <w:t>5</w:t>
            </w:r>
            <w:r>
              <w:rPr>
                <w:rFonts w:hint="default" w:ascii="Times New Roman" w:hAnsi="Times New Roman" w:eastAsia="宋体" w:cs="Times New Roman"/>
                <w:color w:val="auto"/>
                <w:spacing w:val="-2"/>
                <w:sz w:val="24"/>
                <w:szCs w:val="24"/>
                <w:highlight w:val="none"/>
              </w:rPr>
              <w:t>年，</w:t>
            </w:r>
            <w:r>
              <w:rPr>
                <w:rFonts w:hint="default" w:ascii="Times New Roman" w:hAnsi="Times New Roman" w:eastAsia="宋体" w:cs="Times New Roman"/>
                <w:color w:val="auto"/>
                <w:sz w:val="24"/>
                <w:szCs w:val="24"/>
                <w:highlight w:val="none"/>
              </w:rPr>
              <w:t>台账记录的负责人要对各表单记录信息的真实性</w:t>
            </w:r>
            <w:r>
              <w:rPr>
                <w:rFonts w:hint="default" w:ascii="Times New Roman" w:hAnsi="Times New Roman" w:eastAsia="宋体" w:cs="Times New Roman"/>
                <w:color w:val="auto"/>
                <w:spacing w:val="-1"/>
                <w:sz w:val="24"/>
                <w:szCs w:val="24"/>
                <w:highlight w:val="none"/>
              </w:rPr>
              <w:t>、完整性和规范性负责。</w:t>
            </w:r>
          </w:p>
          <w:p w14:paraId="0A1DFA73">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3</w:t>
            </w:r>
            <w:r>
              <w:rPr>
                <w:rFonts w:hint="default" w:ascii="Times New Roman" w:hAnsi="Times New Roman" w:eastAsia="宋体" w:cs="Times New Roman"/>
                <w:color w:val="auto"/>
                <w:spacing w:val="-2"/>
                <w:sz w:val="24"/>
                <w:szCs w:val="24"/>
                <w:highlight w:val="none"/>
              </w:rPr>
              <w:t>）危废管理基本要求</w:t>
            </w:r>
          </w:p>
          <w:p w14:paraId="1624E28C">
            <w:pPr>
              <w:keepNext w:val="0"/>
              <w:keepLines w:val="0"/>
              <w:pageBreakBefore w:val="0"/>
              <w:widowControl/>
              <w:kinsoku w:val="0"/>
              <w:wordWrap/>
              <w:overflowPunct/>
              <w:topLinePunct w:val="0"/>
              <w:autoSpaceDE w:val="0"/>
              <w:autoSpaceDN w:val="0"/>
              <w:bidi w:val="0"/>
              <w:snapToGrid w:val="0"/>
              <w:spacing w:line="360" w:lineRule="auto"/>
              <w:ind w:left="0" w:right="0" w:firstLine="64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2"/>
                <w:sz w:val="24"/>
                <w:szCs w:val="24"/>
                <w:highlight w:val="none"/>
              </w:rPr>
              <w:t>本项目</w:t>
            </w:r>
            <w:r>
              <w:rPr>
                <w:rFonts w:hint="default" w:ascii="Times New Roman" w:hAnsi="Times New Roman" w:cs="Times New Roman"/>
                <w:color w:val="auto"/>
                <w:spacing w:val="42"/>
                <w:sz w:val="24"/>
                <w:szCs w:val="24"/>
                <w:highlight w:val="none"/>
                <w:lang w:eastAsia="zh-CN"/>
              </w:rPr>
              <w:t>危废暂存点</w:t>
            </w:r>
            <w:r>
              <w:rPr>
                <w:rFonts w:hint="default" w:ascii="Times New Roman" w:hAnsi="Times New Roman" w:cs="Times New Roman"/>
                <w:color w:val="auto"/>
                <w:spacing w:val="42"/>
                <w:sz w:val="24"/>
                <w:szCs w:val="24"/>
                <w:highlight w:val="none"/>
                <w:lang w:val="en-US" w:eastAsia="zh-CN"/>
              </w:rPr>
              <w:t>已建设完成，并</w:t>
            </w:r>
            <w:r>
              <w:rPr>
                <w:rFonts w:hint="default" w:ascii="Times New Roman" w:hAnsi="Times New Roman" w:eastAsia="宋体" w:cs="Times New Roman"/>
                <w:color w:val="auto"/>
                <w:spacing w:val="42"/>
                <w:sz w:val="24"/>
                <w:szCs w:val="24"/>
                <w:highlight w:val="none"/>
              </w:rPr>
              <w:t>按照《危险废物贮存</w:t>
            </w:r>
            <w:r>
              <w:rPr>
                <w:rFonts w:hint="default" w:ascii="Times New Roman" w:hAnsi="Times New Roman" w:eastAsia="宋体" w:cs="Times New Roman"/>
                <w:color w:val="auto"/>
                <w:spacing w:val="41"/>
                <w:sz w:val="24"/>
                <w:szCs w:val="24"/>
                <w:highlight w:val="none"/>
              </w:rPr>
              <w:t>污染控制标准》</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GB18597-2023</w:t>
            </w:r>
            <w:r>
              <w:rPr>
                <w:rFonts w:hint="default" w:ascii="Times New Roman" w:hAnsi="Times New Roman" w:eastAsia="宋体" w:cs="Times New Roman"/>
                <w:color w:val="auto"/>
                <w:spacing w:val="-1"/>
                <w:sz w:val="24"/>
                <w:szCs w:val="24"/>
                <w:highlight w:val="none"/>
              </w:rPr>
              <w:t>）和《危险废物收集贮存运输技术规范》</w:t>
            </w:r>
            <w:r>
              <w:rPr>
                <w:rFonts w:hint="default" w:ascii="Times New Roman" w:hAnsi="Times New Roman" w:eastAsia="Times New Roman" w:cs="Times New Roman"/>
                <w:color w:val="auto"/>
                <w:spacing w:val="-1"/>
                <w:sz w:val="24"/>
                <w:szCs w:val="24"/>
                <w:highlight w:val="none"/>
              </w:rPr>
              <w:t>(HJ2025-2</w:t>
            </w:r>
            <w:r>
              <w:rPr>
                <w:rFonts w:hint="default" w:ascii="Times New Roman" w:hAnsi="Times New Roman" w:eastAsia="Times New Roman" w:cs="Times New Roman"/>
                <w:color w:val="auto"/>
                <w:spacing w:val="-2"/>
                <w:sz w:val="24"/>
                <w:szCs w:val="24"/>
                <w:highlight w:val="none"/>
              </w:rPr>
              <w:t>012)</w:t>
            </w:r>
            <w:r>
              <w:rPr>
                <w:rFonts w:hint="default" w:ascii="Times New Roman" w:hAnsi="Times New Roman" w:eastAsia="宋体" w:cs="Times New Roman"/>
                <w:color w:val="auto"/>
                <w:spacing w:val="-2"/>
                <w:sz w:val="24"/>
                <w:szCs w:val="24"/>
                <w:highlight w:val="none"/>
              </w:rPr>
              <w:t>的要</w:t>
            </w:r>
            <w:r>
              <w:rPr>
                <w:rFonts w:hint="default" w:ascii="Times New Roman" w:hAnsi="Times New Roman" w:eastAsia="宋体" w:cs="Times New Roman"/>
                <w:color w:val="auto"/>
                <w:spacing w:val="1"/>
                <w:sz w:val="24"/>
                <w:szCs w:val="24"/>
                <w:highlight w:val="none"/>
              </w:rPr>
              <w:t>求</w:t>
            </w:r>
            <w:r>
              <w:rPr>
                <w:rFonts w:hint="default" w:ascii="Times New Roman" w:hAnsi="Times New Roman" w:cs="Times New Roman"/>
                <w:color w:val="auto"/>
                <w:spacing w:val="1"/>
                <w:sz w:val="24"/>
                <w:szCs w:val="24"/>
                <w:highlight w:val="none"/>
                <w:lang w:val="en-US" w:eastAsia="zh-CN"/>
              </w:rPr>
              <w:t>进行整改</w:t>
            </w:r>
            <w:r>
              <w:rPr>
                <w:rFonts w:hint="default" w:ascii="Times New Roman" w:hAnsi="Times New Roman" w:eastAsia="宋体" w:cs="Times New Roman"/>
                <w:color w:val="auto"/>
                <w:spacing w:val="1"/>
                <w:sz w:val="24"/>
                <w:szCs w:val="24"/>
                <w:highlight w:val="none"/>
              </w:rPr>
              <w:t>。现将本次</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设计、建设和运行阶段应采取的污</w:t>
            </w:r>
            <w:r>
              <w:rPr>
                <w:rFonts w:hint="default" w:ascii="Times New Roman" w:hAnsi="Times New Roman" w:eastAsia="宋体" w:cs="Times New Roman"/>
                <w:color w:val="auto"/>
                <w:sz w:val="24"/>
                <w:szCs w:val="24"/>
                <w:highlight w:val="none"/>
              </w:rPr>
              <w:t>染防治措施</w:t>
            </w:r>
            <w:r>
              <w:rPr>
                <w:rFonts w:hint="default" w:ascii="Times New Roman" w:hAnsi="Times New Roman" w:eastAsia="宋体" w:cs="Times New Roman"/>
                <w:color w:val="auto"/>
                <w:spacing w:val="-3"/>
                <w:sz w:val="24"/>
                <w:szCs w:val="24"/>
                <w:highlight w:val="none"/>
              </w:rPr>
              <w:t>说明如下：</w:t>
            </w:r>
          </w:p>
          <w:p w14:paraId="11B2B7F5">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3"/>
                <w:sz w:val="24"/>
                <w:szCs w:val="24"/>
                <w:highlight w:val="none"/>
              </w:rPr>
              <w:t>1</w:t>
            </w:r>
            <w:r>
              <w:rPr>
                <w:rFonts w:hint="default" w:ascii="Times New Roman" w:hAnsi="Times New Roman" w:eastAsia="宋体" w:cs="Times New Roman"/>
                <w:color w:val="auto"/>
                <w:spacing w:val="-3"/>
                <w:sz w:val="24"/>
                <w:szCs w:val="24"/>
                <w:highlight w:val="none"/>
              </w:rPr>
              <w:t>）</w:t>
            </w:r>
            <w:r>
              <w:rPr>
                <w:rFonts w:hint="default" w:ascii="Times New Roman" w:hAnsi="Times New Roman" w:cs="Times New Roman"/>
                <w:color w:val="auto"/>
                <w:spacing w:val="-3"/>
                <w:sz w:val="24"/>
                <w:szCs w:val="24"/>
                <w:highlight w:val="none"/>
                <w:lang w:eastAsia="zh-CN"/>
              </w:rPr>
              <w:t>危废暂存点</w:t>
            </w:r>
            <w:r>
              <w:rPr>
                <w:rFonts w:hint="default" w:ascii="Times New Roman" w:hAnsi="Times New Roman" w:eastAsia="宋体" w:cs="Times New Roman"/>
                <w:color w:val="auto"/>
                <w:spacing w:val="-3"/>
                <w:sz w:val="24"/>
                <w:szCs w:val="24"/>
                <w:highlight w:val="none"/>
              </w:rPr>
              <w:t>设计原则</w:t>
            </w:r>
          </w:p>
          <w:p w14:paraId="286D49D4">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地面与裙脚用坚固、防渗的材料建造，建筑材料必须与危</w:t>
            </w:r>
            <w:r>
              <w:rPr>
                <w:rFonts w:hint="default" w:ascii="Times New Roman" w:hAnsi="Times New Roman" w:eastAsia="宋体" w:cs="Times New Roman"/>
                <w:color w:val="auto"/>
                <w:spacing w:val="2"/>
                <w:sz w:val="24"/>
                <w:szCs w:val="24"/>
                <w:highlight w:val="none"/>
              </w:rPr>
              <w:t>险废物相容。地基承载力特征值</w:t>
            </w:r>
            <w:r>
              <w:rPr>
                <w:rFonts w:hint="default" w:ascii="Times New Roman" w:hAnsi="Times New Roman" w:eastAsia="Times New Roman" w:cs="Times New Roman"/>
                <w:color w:val="auto"/>
                <w:sz w:val="24"/>
                <w:szCs w:val="24"/>
                <w:highlight w:val="none"/>
              </w:rPr>
              <w:t>fak</w:t>
            </w:r>
            <w:r>
              <w:rPr>
                <w:rFonts w:hint="default" w:ascii="Times New Roman" w:hAnsi="Times New Roman" w:eastAsia="Times New Roman" w:cs="Times New Roman"/>
                <w:color w:val="auto"/>
                <w:spacing w:val="2"/>
                <w:sz w:val="24"/>
                <w:szCs w:val="24"/>
                <w:highlight w:val="none"/>
              </w:rPr>
              <w:t>≥200</w:t>
            </w:r>
            <w:r>
              <w:rPr>
                <w:rFonts w:hint="default" w:ascii="Times New Roman" w:hAnsi="Times New Roman" w:eastAsia="Times New Roman" w:cs="Times New Roman"/>
                <w:color w:val="auto"/>
                <w:sz w:val="24"/>
                <w:szCs w:val="24"/>
                <w:highlight w:val="none"/>
              </w:rPr>
              <w:t>kPa</w:t>
            </w:r>
            <w:r>
              <w:rPr>
                <w:rFonts w:hint="default" w:ascii="Times New Roman" w:hAnsi="Times New Roman" w:eastAsia="宋体" w:cs="Times New Roman"/>
                <w:color w:val="auto"/>
                <w:spacing w:val="2"/>
                <w:sz w:val="24"/>
                <w:szCs w:val="24"/>
                <w:highlight w:val="none"/>
              </w:rPr>
              <w:t>；墙裙角防渗处理高度同挡土墙</w:t>
            </w:r>
            <w:r>
              <w:rPr>
                <w:rFonts w:hint="default" w:ascii="Times New Roman" w:hAnsi="Times New Roman" w:eastAsia="宋体" w:cs="Times New Roman"/>
                <w:color w:val="auto"/>
                <w:spacing w:val="-6"/>
                <w:sz w:val="24"/>
                <w:szCs w:val="24"/>
                <w:highlight w:val="none"/>
              </w:rPr>
              <w:t>高度。</w:t>
            </w:r>
          </w:p>
          <w:p w14:paraId="2048D0D2">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②设施内要有安全照明设施和观察窗口。</w:t>
            </w:r>
          </w:p>
          <w:p w14:paraId="0EFD821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③防渗衬里要能够覆盖危险废物或其溶出物可能</w:t>
            </w:r>
            <w:r>
              <w:rPr>
                <w:rFonts w:hint="default" w:ascii="Times New Roman" w:hAnsi="Times New Roman" w:cs="Times New Roman"/>
                <w:color w:val="auto"/>
                <w:spacing w:val="1"/>
                <w:sz w:val="24"/>
                <w:szCs w:val="24"/>
                <w:highlight w:val="none"/>
                <w:lang w:eastAsia="zh-CN"/>
              </w:rPr>
              <w:t>涉及</w:t>
            </w:r>
            <w:r>
              <w:rPr>
                <w:rFonts w:hint="default" w:ascii="Times New Roman" w:hAnsi="Times New Roman" w:eastAsia="宋体" w:cs="Times New Roman"/>
                <w:color w:val="auto"/>
                <w:spacing w:val="1"/>
                <w:sz w:val="24"/>
                <w:szCs w:val="24"/>
                <w:highlight w:val="none"/>
              </w:rPr>
              <w:t>的范围。衬里材</w:t>
            </w:r>
            <w:r>
              <w:rPr>
                <w:rFonts w:hint="default" w:ascii="Times New Roman" w:hAnsi="Times New Roman" w:eastAsia="宋体" w:cs="Times New Roman"/>
                <w:color w:val="auto"/>
                <w:spacing w:val="-1"/>
                <w:sz w:val="24"/>
                <w:szCs w:val="24"/>
                <w:highlight w:val="none"/>
              </w:rPr>
              <w:t>料与堆放危险废物相容。</w:t>
            </w:r>
          </w:p>
          <w:p w14:paraId="33CC532F">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2</w:t>
            </w:r>
            <w:r>
              <w:rPr>
                <w:rFonts w:hint="default" w:ascii="Times New Roman" w:hAnsi="Times New Roman" w:eastAsia="宋体" w:cs="Times New Roman"/>
                <w:color w:val="auto"/>
                <w:spacing w:val="-1"/>
                <w:sz w:val="24"/>
                <w:szCs w:val="24"/>
                <w:highlight w:val="none"/>
              </w:rPr>
              <w:t>）</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运行与管理</w:t>
            </w:r>
          </w:p>
          <w:p w14:paraId="41D59E76">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①危险废物转移过程应按《危险废物转移管理办法》执行。</w:t>
            </w:r>
          </w:p>
          <w:p w14:paraId="7776F3F8">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②废机油入暂存间贮存前应进行检验，并登记注册。建立档案制度，在废机油的收集、贮存、转运及处理过程中，实行</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宋体" w:cs="Times New Roman"/>
                <w:color w:val="auto"/>
                <w:spacing w:val="1"/>
                <w:sz w:val="24"/>
                <w:szCs w:val="24"/>
                <w:highlight w:val="none"/>
              </w:rPr>
              <w:t>转移联</w:t>
            </w:r>
            <w:r>
              <w:rPr>
                <w:rFonts w:hint="default" w:ascii="Times New Roman" w:hAnsi="Times New Roman" w:eastAsia="宋体" w:cs="Times New Roman"/>
                <w:color w:val="auto"/>
                <w:sz w:val="24"/>
                <w:szCs w:val="24"/>
                <w:highlight w:val="none"/>
              </w:rPr>
              <w:t>单制度</w:t>
            </w:r>
            <w:r>
              <w:rPr>
                <w:rFonts w:hint="default" w:ascii="Times New Roman" w:hAnsi="Times New Roman" w:eastAsia="Times New Roman" w:cs="Times New Roman"/>
                <w:color w:val="auto"/>
                <w:sz w:val="24"/>
                <w:szCs w:val="24"/>
                <w:highlight w:val="none"/>
              </w:rPr>
              <w:t>”</w:t>
            </w:r>
            <w:r>
              <w:rPr>
                <w:rFonts w:hint="default" w:ascii="Times New Roman" w:hAnsi="Times New Roman" w:eastAsia="宋体" w:cs="Times New Roman"/>
                <w:color w:val="auto"/>
                <w:sz w:val="24"/>
                <w:szCs w:val="24"/>
                <w:highlight w:val="none"/>
              </w:rPr>
              <w:t>，对暂存的</w:t>
            </w:r>
            <w:r>
              <w:rPr>
                <w:rFonts w:hint="default" w:ascii="Times New Roman" w:hAnsi="Times New Roman" w:eastAsia="宋体" w:cs="Times New Roman"/>
                <w:color w:val="auto"/>
                <w:spacing w:val="1"/>
                <w:sz w:val="24"/>
                <w:szCs w:val="24"/>
                <w:highlight w:val="none"/>
              </w:rPr>
              <w:t>废机油数量、存放库位、存入日期、运出日期等详细记录在案并长期保</w:t>
            </w:r>
            <w:r>
              <w:rPr>
                <w:rFonts w:hint="default" w:ascii="Times New Roman" w:hAnsi="Times New Roman" w:eastAsia="宋体" w:cs="Times New Roman"/>
                <w:color w:val="auto"/>
                <w:sz w:val="24"/>
                <w:szCs w:val="24"/>
                <w:highlight w:val="none"/>
              </w:rPr>
              <w:t>存。</w:t>
            </w:r>
            <w:r>
              <w:rPr>
                <w:rFonts w:hint="default" w:ascii="Times New Roman" w:hAnsi="Times New Roman" w:eastAsia="宋体" w:cs="Times New Roman"/>
                <w:color w:val="auto"/>
                <w:spacing w:val="-1"/>
                <w:sz w:val="24"/>
                <w:szCs w:val="24"/>
                <w:highlight w:val="none"/>
              </w:rPr>
              <w:t>建立定期巡查、维护制度。</w:t>
            </w:r>
          </w:p>
          <w:p w14:paraId="11C166B7">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③根据《危险废物管理计划和管理台账制定技术导则》（</w:t>
            </w:r>
            <w:r>
              <w:rPr>
                <w:rFonts w:hint="default" w:ascii="Times New Roman" w:hAnsi="Times New Roman" w:eastAsia="Times New Roman" w:cs="Times New Roman"/>
                <w:color w:val="auto"/>
                <w:sz w:val="24"/>
                <w:szCs w:val="24"/>
                <w:highlight w:val="none"/>
              </w:rPr>
              <w:t>HJ</w:t>
            </w:r>
            <w:r>
              <w:rPr>
                <w:rFonts w:hint="default" w:ascii="Times New Roman" w:hAnsi="Times New Roman" w:eastAsia="Times New Roman" w:cs="Times New Roman"/>
                <w:color w:val="auto"/>
                <w:spacing w:val="-1"/>
                <w:sz w:val="24"/>
                <w:szCs w:val="24"/>
                <w:highlight w:val="none"/>
              </w:rPr>
              <w:t>1259-2022</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宋体" w:cs="Times New Roman"/>
                <w:color w:val="auto"/>
                <w:spacing w:val="-4"/>
                <w:sz w:val="24"/>
                <w:szCs w:val="24"/>
                <w:highlight w:val="none"/>
              </w:rPr>
              <w:t>要求，建立危险废物管理台账，对转移的危险废物进行计量称重，如实记录、</w:t>
            </w:r>
            <w:r>
              <w:rPr>
                <w:rFonts w:hint="default" w:ascii="Times New Roman" w:hAnsi="Times New Roman" w:eastAsia="宋体" w:cs="Times New Roman"/>
                <w:color w:val="auto"/>
                <w:spacing w:val="2"/>
                <w:sz w:val="24"/>
                <w:szCs w:val="24"/>
                <w:highlight w:val="none"/>
              </w:rPr>
              <w:t>妥善保管转移危险废物的种类、重量（数量）和</w:t>
            </w:r>
            <w:r>
              <w:rPr>
                <w:rFonts w:hint="default" w:ascii="Times New Roman" w:hAnsi="Times New Roman" w:cs="Times New Roman"/>
                <w:color w:val="auto"/>
                <w:spacing w:val="2"/>
                <w:sz w:val="24"/>
                <w:szCs w:val="24"/>
                <w:highlight w:val="none"/>
                <w:lang w:eastAsia="zh-CN"/>
              </w:rPr>
              <w:t>接收人</w:t>
            </w:r>
            <w:r>
              <w:rPr>
                <w:rFonts w:hint="default" w:ascii="Times New Roman" w:hAnsi="Times New Roman" w:eastAsia="宋体" w:cs="Times New Roman"/>
                <w:color w:val="auto"/>
                <w:spacing w:val="1"/>
                <w:sz w:val="24"/>
                <w:szCs w:val="24"/>
                <w:highlight w:val="none"/>
              </w:rPr>
              <w:t>等相关信息。填写、</w:t>
            </w:r>
            <w:r>
              <w:rPr>
                <w:rFonts w:hint="default" w:ascii="Times New Roman" w:hAnsi="Times New Roman" w:eastAsia="宋体" w:cs="Times New Roman"/>
                <w:color w:val="auto"/>
                <w:spacing w:val="2"/>
                <w:sz w:val="24"/>
                <w:szCs w:val="24"/>
                <w:highlight w:val="none"/>
              </w:rPr>
              <w:t>运行危险废物转移联单，在危险废物转移联单中如实填</w:t>
            </w:r>
            <w:r>
              <w:rPr>
                <w:rFonts w:hint="default" w:ascii="Times New Roman" w:hAnsi="Times New Roman" w:eastAsia="宋体" w:cs="Times New Roman"/>
                <w:color w:val="auto"/>
                <w:spacing w:val="1"/>
                <w:sz w:val="24"/>
                <w:szCs w:val="24"/>
                <w:highlight w:val="none"/>
              </w:rPr>
              <w:t>写移出人、承运人、</w:t>
            </w:r>
            <w:r>
              <w:rPr>
                <w:rFonts w:hint="default" w:ascii="Times New Roman" w:hAnsi="Times New Roman" w:cs="Times New Roman"/>
                <w:color w:val="auto"/>
                <w:spacing w:val="1"/>
                <w:sz w:val="24"/>
                <w:szCs w:val="24"/>
                <w:highlight w:val="none"/>
                <w:lang w:eastAsia="zh-CN"/>
              </w:rPr>
              <w:t>接收</w:t>
            </w:r>
            <w:r>
              <w:rPr>
                <w:rFonts w:hint="default" w:ascii="Times New Roman" w:hAnsi="Times New Roman" w:eastAsia="宋体" w:cs="Times New Roman"/>
                <w:color w:val="auto"/>
                <w:spacing w:val="1"/>
                <w:sz w:val="24"/>
                <w:szCs w:val="24"/>
                <w:highlight w:val="none"/>
              </w:rPr>
              <w:t>人信息，转移危险废物的种类、重量（数量）、危险特性等信息，</w:t>
            </w:r>
            <w:r>
              <w:rPr>
                <w:rFonts w:hint="default" w:ascii="Times New Roman" w:hAnsi="Times New Roman" w:eastAsia="宋体" w:cs="Times New Roman"/>
                <w:color w:val="auto"/>
                <w:sz w:val="24"/>
                <w:szCs w:val="24"/>
                <w:highlight w:val="none"/>
              </w:rPr>
              <w:t>以及</w:t>
            </w:r>
            <w:r>
              <w:rPr>
                <w:rFonts w:hint="default" w:ascii="Times New Roman" w:hAnsi="Times New Roman" w:eastAsia="宋体" w:cs="Times New Roman"/>
                <w:color w:val="auto"/>
                <w:spacing w:val="-1"/>
                <w:sz w:val="24"/>
                <w:szCs w:val="24"/>
                <w:highlight w:val="none"/>
              </w:rPr>
              <w:t>突发环境事件的防范措施等。</w:t>
            </w:r>
          </w:p>
          <w:p w14:paraId="467D2C7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④必须定期对所贮存的危险废物包装容器及贮存设施进行检查，发现破</w:t>
            </w:r>
            <w:r>
              <w:rPr>
                <w:rFonts w:hint="default" w:ascii="Times New Roman" w:hAnsi="Times New Roman" w:eastAsia="宋体" w:cs="Times New Roman"/>
                <w:color w:val="auto"/>
                <w:spacing w:val="-1"/>
                <w:sz w:val="24"/>
                <w:szCs w:val="24"/>
                <w:highlight w:val="none"/>
              </w:rPr>
              <w:t>损，应及时采取措施清理更换。</w:t>
            </w:r>
          </w:p>
          <w:p w14:paraId="20FDEB61">
            <w:pPr>
              <w:keepNext w:val="0"/>
              <w:keepLines w:val="0"/>
              <w:pageBreakBefore w:val="0"/>
              <w:widowControl/>
              <w:kinsoku w:val="0"/>
              <w:wordWrap/>
              <w:overflowPunct/>
              <w:topLinePunct w:val="0"/>
              <w:autoSpaceDE w:val="0"/>
              <w:autoSpaceDN w:val="0"/>
              <w:bidi w:val="0"/>
              <w:snapToGrid w:val="0"/>
              <w:spacing w:line="360" w:lineRule="auto"/>
              <w:ind w:left="0" w:right="0" w:firstLine="5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6"/>
                <w:sz w:val="24"/>
                <w:szCs w:val="24"/>
                <w:highlight w:val="none"/>
              </w:rPr>
              <w:t>⑤危险废物贮存设施必须按《危险废物识别标志设置技术规范》</w:t>
            </w:r>
            <w:r>
              <w:rPr>
                <w:rFonts w:hint="default" w:ascii="Times New Roman" w:hAnsi="Times New Roman" w:eastAsia="宋体" w:cs="Times New Roman"/>
                <w:color w:val="auto"/>
                <w:spacing w:val="10"/>
                <w:sz w:val="24"/>
                <w:szCs w:val="24"/>
                <w:highlight w:val="none"/>
              </w:rPr>
              <w:t>（</w:t>
            </w:r>
            <w:r>
              <w:rPr>
                <w:rFonts w:hint="default" w:ascii="Times New Roman" w:hAnsi="Times New Roman" w:eastAsia="Times New Roman" w:cs="Times New Roman"/>
                <w:color w:val="auto"/>
                <w:sz w:val="24"/>
                <w:szCs w:val="24"/>
                <w:highlight w:val="none"/>
              </w:rPr>
              <w:t>HJ</w:t>
            </w:r>
            <w:r>
              <w:rPr>
                <w:rFonts w:hint="default" w:ascii="Times New Roman" w:hAnsi="Times New Roman" w:eastAsia="Times New Roman" w:cs="Times New Roman"/>
                <w:color w:val="auto"/>
                <w:spacing w:val="10"/>
                <w:sz w:val="24"/>
                <w:szCs w:val="24"/>
                <w:highlight w:val="none"/>
              </w:rPr>
              <w:t>1276-2022</w:t>
            </w:r>
            <w:r>
              <w:rPr>
                <w:rFonts w:hint="default" w:ascii="Times New Roman" w:hAnsi="Times New Roman" w:eastAsia="宋体" w:cs="Times New Roman"/>
                <w:color w:val="auto"/>
                <w:spacing w:val="10"/>
                <w:sz w:val="24"/>
                <w:szCs w:val="24"/>
                <w:highlight w:val="none"/>
              </w:rPr>
              <w:t>）及《环境保护图形标志</w:t>
            </w:r>
            <w:r>
              <w:rPr>
                <w:rFonts w:hint="default" w:ascii="Times New Roman" w:hAnsi="Times New Roman" w:eastAsia="Times New Roman" w:cs="Times New Roman"/>
                <w:color w:val="auto"/>
                <w:spacing w:val="10"/>
                <w:sz w:val="24"/>
                <w:szCs w:val="24"/>
                <w:highlight w:val="none"/>
              </w:rPr>
              <w:t>-</w:t>
            </w:r>
            <w:r>
              <w:rPr>
                <w:rFonts w:hint="default" w:ascii="Times New Roman" w:hAnsi="Times New Roman" w:eastAsia="宋体" w:cs="Times New Roman"/>
                <w:color w:val="auto"/>
                <w:spacing w:val="10"/>
                <w:sz w:val="24"/>
                <w:szCs w:val="24"/>
                <w:highlight w:val="none"/>
              </w:rPr>
              <w:t>固体废物贮存</w:t>
            </w:r>
            <w:r>
              <w:rPr>
                <w:rFonts w:hint="default" w:ascii="Times New Roman" w:hAnsi="Times New Roman" w:eastAsia="宋体" w:cs="Times New Roman"/>
                <w:color w:val="auto"/>
                <w:spacing w:val="9"/>
                <w:sz w:val="24"/>
                <w:szCs w:val="24"/>
                <w:highlight w:val="none"/>
              </w:rPr>
              <w:t>（处置）场》</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GB15562.2-1995</w:t>
            </w:r>
            <w:r>
              <w:rPr>
                <w:rFonts w:hint="default" w:ascii="Times New Roman" w:hAnsi="Times New Roman" w:eastAsia="宋体" w:cs="Times New Roman"/>
                <w:color w:val="auto"/>
                <w:spacing w:val="-1"/>
                <w:sz w:val="24"/>
                <w:szCs w:val="24"/>
                <w:highlight w:val="none"/>
              </w:rPr>
              <w:t>）修改单的规定设置警示标志。</w:t>
            </w:r>
          </w:p>
          <w:p w14:paraId="1A6450B4">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⑥危险废物贮存期限应符合《中华人民共和国固体废</w:t>
            </w:r>
            <w:r>
              <w:rPr>
                <w:rFonts w:hint="default" w:ascii="Times New Roman" w:hAnsi="Times New Roman" w:eastAsia="宋体" w:cs="Times New Roman"/>
                <w:color w:val="auto"/>
                <w:spacing w:val="-4"/>
                <w:sz w:val="24"/>
                <w:szCs w:val="24"/>
                <w:highlight w:val="none"/>
              </w:rPr>
              <w:t>物污染环境防治法》</w:t>
            </w:r>
            <w:r>
              <w:rPr>
                <w:rFonts w:hint="default" w:ascii="Times New Roman" w:hAnsi="Times New Roman" w:eastAsia="宋体" w:cs="Times New Roman"/>
                <w:color w:val="auto"/>
                <w:spacing w:val="-5"/>
                <w:sz w:val="24"/>
                <w:szCs w:val="24"/>
                <w:highlight w:val="none"/>
              </w:rPr>
              <w:t>的有关规定，不得超过</w:t>
            </w:r>
            <w:r>
              <w:rPr>
                <w:rFonts w:hint="default" w:ascii="Times New Roman" w:hAnsi="Times New Roman" w:eastAsia="Times New Roman" w:cs="Times New Roman"/>
                <w:color w:val="auto"/>
                <w:spacing w:val="-5"/>
                <w:sz w:val="24"/>
                <w:szCs w:val="24"/>
                <w:highlight w:val="none"/>
              </w:rPr>
              <w:t>1</w:t>
            </w:r>
            <w:r>
              <w:rPr>
                <w:rFonts w:hint="default" w:ascii="Times New Roman" w:hAnsi="Times New Roman" w:eastAsia="宋体" w:cs="Times New Roman"/>
                <w:color w:val="auto"/>
                <w:spacing w:val="-5"/>
                <w:sz w:val="24"/>
                <w:szCs w:val="24"/>
                <w:highlight w:val="none"/>
              </w:rPr>
              <w:t>年。</w:t>
            </w:r>
          </w:p>
          <w:p w14:paraId="4CFE323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⑦应建立规范的管理和技术人员培训制度，定期</w:t>
            </w:r>
            <w:r>
              <w:rPr>
                <w:rFonts w:hint="default" w:ascii="Times New Roman" w:hAnsi="Times New Roman" w:cs="Times New Roman"/>
                <w:color w:val="auto"/>
                <w:spacing w:val="1"/>
                <w:sz w:val="24"/>
                <w:szCs w:val="24"/>
                <w:highlight w:val="none"/>
                <w:lang w:eastAsia="zh-CN"/>
              </w:rPr>
              <w:t>对</w:t>
            </w:r>
            <w:r>
              <w:rPr>
                <w:rFonts w:hint="default" w:ascii="Times New Roman" w:hAnsi="Times New Roman" w:eastAsia="宋体" w:cs="Times New Roman"/>
                <w:color w:val="auto"/>
                <w:spacing w:val="1"/>
                <w:sz w:val="24"/>
                <w:szCs w:val="24"/>
                <w:highlight w:val="none"/>
              </w:rPr>
              <w:t>管理和技术人员进行培训。培训内容至少应包括危险废物鉴别要求、危险废物</w:t>
            </w:r>
            <w:r>
              <w:rPr>
                <w:rFonts w:hint="default" w:ascii="Times New Roman" w:hAnsi="Times New Roman" w:eastAsia="宋体" w:cs="Times New Roman"/>
                <w:color w:val="auto"/>
                <w:sz w:val="24"/>
                <w:szCs w:val="24"/>
                <w:highlight w:val="none"/>
              </w:rPr>
              <w:t>转移联单管理、</w:t>
            </w:r>
            <w:r>
              <w:rPr>
                <w:rFonts w:hint="default" w:ascii="Times New Roman" w:hAnsi="Times New Roman" w:eastAsia="宋体" w:cs="Times New Roman"/>
                <w:color w:val="auto"/>
                <w:spacing w:val="-1"/>
                <w:sz w:val="24"/>
                <w:szCs w:val="24"/>
                <w:highlight w:val="none"/>
              </w:rPr>
              <w:t>危险废物包装和标识、危险废物运输要求、危险废物事故应急方法。</w:t>
            </w:r>
          </w:p>
          <w:p w14:paraId="60919404">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pacing w:val="-2"/>
                <w:sz w:val="24"/>
                <w:szCs w:val="24"/>
                <w:highlight w:val="none"/>
              </w:rPr>
            </w:pPr>
            <w:r>
              <w:rPr>
                <w:rFonts w:hint="default" w:ascii="Times New Roman" w:hAnsi="Times New Roman" w:eastAsia="宋体" w:cs="Times New Roman"/>
                <w:color w:val="auto"/>
                <w:spacing w:val="-1"/>
                <w:sz w:val="24"/>
                <w:szCs w:val="24"/>
                <w:highlight w:val="none"/>
              </w:rPr>
              <w:t>⑧危险废物暂存间设置安全照明设施和观察窗口。</w:t>
            </w:r>
          </w:p>
          <w:p w14:paraId="746EF132">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rPr>
              <w:t>（3）</w:t>
            </w:r>
            <w:r>
              <w:rPr>
                <w:rFonts w:hint="default" w:ascii="Times New Roman" w:hAnsi="Times New Roman" w:eastAsia="Times New Roman" w:cs="Times New Roman"/>
                <w:color w:val="auto"/>
                <w:spacing w:val="-1"/>
                <w:sz w:val="24"/>
                <w:szCs w:val="24"/>
                <w:highlight w:val="none"/>
                <w:lang w:val="en-US" w:eastAsia="zh-CN"/>
              </w:rPr>
              <w:t>贮存点环境管理要求</w:t>
            </w:r>
          </w:p>
          <w:p w14:paraId="1FC46E09">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lang w:val="en-US" w:eastAsia="zh-CN"/>
              </w:rPr>
              <w:t>①</w:t>
            </w:r>
            <w:r>
              <w:rPr>
                <w:rFonts w:hint="default" w:ascii="Times New Roman" w:hAnsi="Times New Roman" w:eastAsia="Times New Roman" w:cs="Times New Roman"/>
                <w:color w:val="auto"/>
                <w:spacing w:val="-1"/>
                <w:sz w:val="24"/>
                <w:szCs w:val="24"/>
                <w:highlight w:val="none"/>
              </w:rPr>
              <w:t>贮存点应具有固定的区域边界，并应采取与其他区域进行隔离的措施。</w:t>
            </w:r>
          </w:p>
          <w:p w14:paraId="492D8ABB">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lang w:val="en-US" w:eastAsia="zh-CN"/>
              </w:rPr>
              <w:t>②</w:t>
            </w:r>
            <w:r>
              <w:rPr>
                <w:rFonts w:hint="default" w:ascii="Times New Roman" w:hAnsi="Times New Roman" w:eastAsia="Times New Roman" w:cs="Times New Roman"/>
                <w:color w:val="auto"/>
                <w:spacing w:val="-1"/>
                <w:sz w:val="24"/>
                <w:szCs w:val="24"/>
                <w:highlight w:val="none"/>
              </w:rPr>
              <w:t>贮存点应采取防风、防雨、防晒和防止危险废物流失、扬散等措施。</w:t>
            </w:r>
          </w:p>
          <w:p w14:paraId="32AF5C11">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lang w:val="en-US" w:eastAsia="zh-CN"/>
              </w:rPr>
              <w:t>③</w:t>
            </w:r>
            <w:r>
              <w:rPr>
                <w:rFonts w:hint="default" w:ascii="Times New Roman" w:hAnsi="Times New Roman" w:eastAsia="Times New Roman" w:cs="Times New Roman"/>
                <w:color w:val="auto"/>
                <w:spacing w:val="-1"/>
                <w:sz w:val="24"/>
                <w:szCs w:val="24"/>
                <w:highlight w:val="none"/>
              </w:rPr>
              <w:t>贮存点贮存的危险废物应置于容器或包装物中，不应直接散堆。</w:t>
            </w:r>
          </w:p>
          <w:p w14:paraId="4223E08D">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lang w:val="en-US" w:eastAsia="zh-CN"/>
              </w:rPr>
              <w:t>④</w:t>
            </w:r>
            <w:r>
              <w:rPr>
                <w:rFonts w:hint="default" w:ascii="Times New Roman" w:hAnsi="Times New Roman" w:eastAsia="Times New Roman" w:cs="Times New Roman"/>
                <w:color w:val="auto"/>
                <w:spacing w:val="-1"/>
                <w:sz w:val="24"/>
                <w:szCs w:val="24"/>
                <w:highlight w:val="none"/>
              </w:rPr>
              <w:t>贮存点应根据危险废物的形态、物理化学性质、包装形式等，采取防渗、防漏等污染防治措施或采用具有相应功能的装置。</w:t>
            </w:r>
          </w:p>
          <w:p w14:paraId="7FD4C86E">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Times New Roman" w:cs="Times New Roman"/>
                <w:color w:val="auto"/>
                <w:spacing w:val="-1"/>
                <w:sz w:val="24"/>
                <w:szCs w:val="24"/>
                <w:highlight w:val="none"/>
              </w:rPr>
            </w:pPr>
            <w:r>
              <w:rPr>
                <w:rFonts w:hint="default" w:ascii="Times New Roman" w:hAnsi="Times New Roman" w:eastAsia="Times New Roman" w:cs="Times New Roman"/>
                <w:color w:val="auto"/>
                <w:spacing w:val="-1"/>
                <w:sz w:val="24"/>
                <w:szCs w:val="24"/>
                <w:highlight w:val="none"/>
                <w:lang w:val="en-US" w:eastAsia="zh-CN"/>
              </w:rPr>
              <w:t>⑤</w:t>
            </w:r>
            <w:r>
              <w:rPr>
                <w:rFonts w:hint="default" w:ascii="Times New Roman" w:hAnsi="Times New Roman" w:eastAsia="Times New Roman" w:cs="Times New Roman"/>
                <w:color w:val="auto"/>
                <w:spacing w:val="-1"/>
                <w:sz w:val="24"/>
                <w:szCs w:val="24"/>
                <w:highlight w:val="none"/>
              </w:rPr>
              <w:t>贮存点应及时清运贮存的危险废物，实时贮存量不应超过3吨。</w:t>
            </w:r>
          </w:p>
          <w:p w14:paraId="67C7CE31">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4.3</w:t>
            </w:r>
            <w:r>
              <w:rPr>
                <w:rFonts w:hint="default" w:ascii="Times New Roman" w:hAnsi="Times New Roman" w:eastAsia="宋体" w:cs="Times New Roman"/>
                <w:b/>
                <w:bCs/>
                <w:color w:val="auto"/>
                <w:spacing w:val="-2"/>
                <w:sz w:val="24"/>
                <w:szCs w:val="24"/>
                <w:highlight w:val="none"/>
              </w:rPr>
              <w:t>固废治理措施及其可行性论证</w:t>
            </w:r>
          </w:p>
          <w:p w14:paraId="685E8B19">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项目产生的固体废物按要求进行分类收集、贮存、处置，固</w:t>
            </w:r>
            <w:r>
              <w:rPr>
                <w:rFonts w:hint="default" w:ascii="Times New Roman" w:hAnsi="Times New Roman" w:eastAsia="宋体" w:cs="Times New Roman"/>
                <w:color w:val="auto"/>
                <w:sz w:val="24"/>
                <w:szCs w:val="24"/>
                <w:highlight w:val="none"/>
              </w:rPr>
              <w:t>体废物按要</w:t>
            </w:r>
            <w:r>
              <w:rPr>
                <w:rFonts w:hint="default" w:ascii="Times New Roman" w:hAnsi="Times New Roman" w:eastAsia="宋体" w:cs="Times New Roman"/>
                <w:color w:val="auto"/>
                <w:spacing w:val="1"/>
                <w:sz w:val="24"/>
                <w:szCs w:val="24"/>
                <w:highlight w:val="none"/>
              </w:rPr>
              <w:t>求贮存后，贮存过程不会对环境空气、地下水、土壤产生不良影</w:t>
            </w:r>
            <w:r>
              <w:rPr>
                <w:rFonts w:hint="default" w:ascii="Times New Roman" w:hAnsi="Times New Roman" w:eastAsia="宋体" w:cs="Times New Roman"/>
                <w:color w:val="auto"/>
                <w:sz w:val="24"/>
                <w:szCs w:val="24"/>
                <w:highlight w:val="none"/>
              </w:rPr>
              <w:t>响。企业在</w:t>
            </w:r>
            <w:r>
              <w:rPr>
                <w:rFonts w:hint="default" w:ascii="Times New Roman" w:hAnsi="Times New Roman" w:eastAsia="宋体" w:cs="Times New Roman"/>
                <w:color w:val="auto"/>
                <w:spacing w:val="1"/>
                <w:sz w:val="24"/>
                <w:szCs w:val="24"/>
                <w:highlight w:val="none"/>
              </w:rPr>
              <w:t>落实各项固废处置措施后，项目产生的各类固废均能妥善处理处</w:t>
            </w:r>
            <w:r>
              <w:rPr>
                <w:rFonts w:hint="default" w:ascii="Times New Roman" w:hAnsi="Times New Roman" w:eastAsia="宋体" w:cs="Times New Roman"/>
                <w:color w:val="auto"/>
                <w:sz w:val="24"/>
                <w:szCs w:val="24"/>
                <w:highlight w:val="none"/>
              </w:rPr>
              <w:t>置，只要加强管理，则固废处置对周围环境不会造成二次</w:t>
            </w:r>
            <w:r>
              <w:rPr>
                <w:rFonts w:hint="default" w:ascii="Times New Roman" w:hAnsi="Times New Roman" w:eastAsia="宋体" w:cs="Times New Roman"/>
                <w:color w:val="auto"/>
                <w:spacing w:val="-1"/>
                <w:sz w:val="24"/>
                <w:szCs w:val="24"/>
                <w:highlight w:val="none"/>
              </w:rPr>
              <w:t>污染，对周围环境影响不大。</w:t>
            </w:r>
          </w:p>
          <w:p w14:paraId="0F8ACD7E">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综上所述，本项目产生的各类固废均得到合理处置，不会对环</w:t>
            </w:r>
            <w:r>
              <w:rPr>
                <w:rFonts w:hint="default" w:ascii="Times New Roman" w:hAnsi="Times New Roman" w:eastAsia="宋体" w:cs="Times New Roman"/>
                <w:color w:val="auto"/>
                <w:sz w:val="24"/>
                <w:szCs w:val="24"/>
                <w:highlight w:val="none"/>
              </w:rPr>
              <w:t>境产生不</w:t>
            </w:r>
            <w:r>
              <w:rPr>
                <w:rFonts w:hint="default" w:ascii="Times New Roman" w:hAnsi="Times New Roman" w:eastAsia="宋体" w:cs="Times New Roman"/>
                <w:color w:val="auto"/>
                <w:spacing w:val="-3"/>
                <w:sz w:val="24"/>
                <w:szCs w:val="24"/>
                <w:highlight w:val="none"/>
              </w:rPr>
              <w:t>利影响。</w:t>
            </w:r>
          </w:p>
          <w:p w14:paraId="4798D8B2">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5</w:t>
            </w:r>
            <w:r>
              <w:rPr>
                <w:rFonts w:hint="default" w:ascii="Times New Roman" w:hAnsi="Times New Roman" w:eastAsia="宋体" w:cs="Times New Roman"/>
                <w:b/>
                <w:bCs/>
                <w:color w:val="auto"/>
                <w:spacing w:val="-2"/>
                <w:sz w:val="24"/>
                <w:szCs w:val="24"/>
                <w:highlight w:val="none"/>
                <w:lang w:val="en-US" w:eastAsia="zh-CN"/>
              </w:rPr>
              <w:t>.</w:t>
            </w:r>
            <w:r>
              <w:rPr>
                <w:rFonts w:hint="default" w:ascii="Times New Roman" w:hAnsi="Times New Roman" w:eastAsia="宋体" w:cs="Times New Roman"/>
                <w:b/>
                <w:bCs/>
                <w:color w:val="auto"/>
                <w:spacing w:val="-2"/>
                <w:sz w:val="24"/>
                <w:szCs w:val="24"/>
                <w:highlight w:val="none"/>
              </w:rPr>
              <w:t>地下水、土壤环境影响及保护措施</w:t>
            </w:r>
          </w:p>
          <w:p w14:paraId="1499395C">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jc w:val="both"/>
              <w:textAlignment w:val="baseline"/>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2"/>
                <w:sz w:val="24"/>
                <w:szCs w:val="24"/>
                <w:highlight w:val="none"/>
              </w:rPr>
              <w:t>根据《建设项目环境影响报告表编制技术指南（污染影响类</w:t>
            </w:r>
            <w:r>
              <w:rPr>
                <w:rFonts w:hint="default" w:ascii="Times New Roman" w:hAnsi="Times New Roman" w:eastAsia="宋体" w:cs="Times New Roman"/>
                <w:color w:val="auto"/>
                <w:spacing w:val="-24"/>
                <w:sz w:val="24"/>
                <w:szCs w:val="24"/>
                <w:highlight w:val="none"/>
              </w:rPr>
              <w:t>）（</w:t>
            </w:r>
            <w:r>
              <w:rPr>
                <w:rFonts w:hint="default" w:ascii="Times New Roman" w:hAnsi="Times New Roman" w:eastAsia="宋体" w:cs="Times New Roman"/>
                <w:color w:val="auto"/>
                <w:spacing w:val="-2"/>
                <w:sz w:val="24"/>
                <w:szCs w:val="24"/>
                <w:highlight w:val="none"/>
              </w:rPr>
              <w:t>试行）》</w:t>
            </w:r>
            <w:r>
              <w:rPr>
                <w:rFonts w:hint="default" w:ascii="Times New Roman" w:hAnsi="Times New Roman" w:eastAsia="宋体" w:cs="Times New Roman"/>
                <w:color w:val="auto"/>
                <w:spacing w:val="-4"/>
                <w:sz w:val="24"/>
                <w:szCs w:val="24"/>
                <w:highlight w:val="none"/>
              </w:rPr>
              <w:t>要求：</w:t>
            </w:r>
          </w:p>
          <w:p w14:paraId="6392C6BA">
            <w:pPr>
              <w:keepNext w:val="0"/>
              <w:keepLines w:val="0"/>
              <w:pageBreakBefore w:val="0"/>
              <w:widowControl/>
              <w:kinsoku w:val="0"/>
              <w:wordWrap/>
              <w:overflowPunct/>
              <w:topLinePunct w:val="0"/>
              <w:autoSpaceDE w:val="0"/>
              <w:autoSpaceDN w:val="0"/>
              <w:bidi w:val="0"/>
              <w:snapToGrid w:val="0"/>
              <w:spacing w:line="360" w:lineRule="auto"/>
              <w:ind w:left="0" w:right="0" w:firstLine="46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4"/>
                <w:sz w:val="24"/>
                <w:szCs w:val="24"/>
                <w:highlight w:val="none"/>
              </w:rPr>
              <w:t>“5.</w:t>
            </w:r>
            <w:r>
              <w:rPr>
                <w:rFonts w:hint="default" w:ascii="Times New Roman" w:hAnsi="Times New Roman" w:eastAsia="宋体" w:cs="Times New Roman"/>
                <w:color w:val="auto"/>
                <w:spacing w:val="-4"/>
                <w:sz w:val="24"/>
                <w:szCs w:val="24"/>
                <w:highlight w:val="none"/>
              </w:rPr>
              <w:t>地下水、土壤。分析地下水、土壤污染源、</w:t>
            </w:r>
            <w:r>
              <w:rPr>
                <w:rFonts w:hint="default" w:ascii="Times New Roman" w:hAnsi="Times New Roman" w:eastAsia="宋体" w:cs="Times New Roman"/>
                <w:color w:val="auto"/>
                <w:spacing w:val="-5"/>
                <w:sz w:val="24"/>
                <w:szCs w:val="24"/>
                <w:highlight w:val="none"/>
              </w:rPr>
              <w:t>污染物类型和污染途径，</w:t>
            </w:r>
            <w:r>
              <w:rPr>
                <w:rFonts w:hint="default" w:ascii="Times New Roman" w:hAnsi="Times New Roman" w:eastAsia="宋体" w:cs="Times New Roman"/>
                <w:color w:val="auto"/>
                <w:spacing w:val="1"/>
                <w:sz w:val="24"/>
                <w:szCs w:val="24"/>
                <w:highlight w:val="none"/>
              </w:rPr>
              <w:t>按照分区防控要求提出相应的防控措施，并根据分析结果提</w:t>
            </w:r>
            <w:r>
              <w:rPr>
                <w:rFonts w:hint="default" w:ascii="Times New Roman" w:hAnsi="Times New Roman" w:eastAsia="宋体" w:cs="Times New Roman"/>
                <w:color w:val="auto"/>
                <w:sz w:val="24"/>
                <w:szCs w:val="24"/>
                <w:highlight w:val="none"/>
              </w:rPr>
              <w:t>出跟踪监测要求</w:t>
            </w:r>
            <w:r>
              <w:rPr>
                <w:rFonts w:hint="default" w:ascii="Times New Roman" w:hAnsi="Times New Roman" w:eastAsia="宋体" w:cs="Times New Roman"/>
                <w:color w:val="auto"/>
                <w:spacing w:val="-1"/>
                <w:sz w:val="24"/>
                <w:szCs w:val="24"/>
                <w:highlight w:val="none"/>
              </w:rPr>
              <w:t>（监测点位、监测因子、监测频次）。</w:t>
            </w:r>
          </w:p>
          <w:p w14:paraId="5A839727">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5.1</w:t>
            </w:r>
            <w:r>
              <w:rPr>
                <w:rFonts w:hint="default" w:ascii="Times New Roman" w:hAnsi="Times New Roman" w:eastAsia="宋体" w:cs="Times New Roman"/>
                <w:b/>
                <w:bCs/>
                <w:color w:val="auto"/>
                <w:spacing w:val="-2"/>
                <w:sz w:val="24"/>
                <w:szCs w:val="24"/>
                <w:highlight w:val="none"/>
              </w:rPr>
              <w:t>污染源分析</w:t>
            </w:r>
          </w:p>
          <w:p w14:paraId="4479FA8C">
            <w:pPr>
              <w:keepNext w:val="0"/>
              <w:keepLines w:val="0"/>
              <w:pageBreakBefore w:val="0"/>
              <w:widowControl/>
              <w:kinsoku w:val="0"/>
              <w:wordWrap/>
              <w:overflowPunct/>
              <w:topLinePunct w:val="0"/>
              <w:autoSpaceDE w:val="0"/>
              <w:autoSpaceDN w:val="0"/>
              <w:bidi w:val="0"/>
              <w:snapToGrid w:val="0"/>
              <w:spacing w:line="360" w:lineRule="auto"/>
              <w:ind w:left="0" w:right="0" w:firstLine="49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本项目地下水污染源主要为生活污水。其主要污染物为</w:t>
            </w:r>
            <w:r>
              <w:rPr>
                <w:rFonts w:hint="default" w:ascii="Times New Roman" w:hAnsi="Times New Roman" w:eastAsia="Times New Roman" w:cs="Times New Roman"/>
                <w:color w:val="auto"/>
                <w:sz w:val="24"/>
                <w:szCs w:val="24"/>
                <w:highlight w:val="none"/>
              </w:rPr>
              <w:t>SS</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Times New Roman" w:cs="Times New Roman"/>
                <w:color w:val="auto"/>
                <w:sz w:val="24"/>
                <w:szCs w:val="24"/>
                <w:highlight w:val="none"/>
              </w:rPr>
              <w:t>CODcr</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Times New Roman" w:cs="Times New Roman"/>
                <w:color w:val="auto"/>
                <w:spacing w:val="-3"/>
                <w:sz w:val="24"/>
                <w:szCs w:val="24"/>
                <w:highlight w:val="none"/>
              </w:rPr>
              <w:t>BOD</w:t>
            </w:r>
            <w:r>
              <w:rPr>
                <w:rFonts w:hint="default" w:ascii="Times New Roman" w:hAnsi="Times New Roman" w:eastAsia="Times New Roman" w:cs="Times New Roman"/>
                <w:color w:val="auto"/>
                <w:spacing w:val="-3"/>
                <w:position w:val="-1"/>
                <w:sz w:val="24"/>
                <w:szCs w:val="24"/>
                <w:highlight w:val="none"/>
              </w:rPr>
              <w:t>5</w:t>
            </w: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NH3-N</w:t>
            </w:r>
            <w:r>
              <w:rPr>
                <w:rFonts w:hint="default" w:ascii="Times New Roman" w:hAnsi="Times New Roman" w:eastAsia="宋体" w:cs="Times New Roman"/>
                <w:color w:val="auto"/>
                <w:spacing w:val="-3"/>
                <w:sz w:val="24"/>
                <w:szCs w:val="24"/>
                <w:highlight w:val="none"/>
              </w:rPr>
              <w:t>等。</w:t>
            </w:r>
          </w:p>
          <w:p w14:paraId="5CE8250A">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5.2</w:t>
            </w:r>
            <w:r>
              <w:rPr>
                <w:rFonts w:hint="default" w:ascii="Times New Roman" w:hAnsi="Times New Roman" w:eastAsia="宋体" w:cs="Times New Roman"/>
                <w:b/>
                <w:bCs/>
                <w:color w:val="auto"/>
                <w:spacing w:val="-2"/>
                <w:sz w:val="24"/>
                <w:szCs w:val="24"/>
                <w:highlight w:val="none"/>
              </w:rPr>
              <w:t>污染防控措施</w:t>
            </w:r>
          </w:p>
          <w:p w14:paraId="02792720">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生产废水经三级沉淀池处理后循环使用不外排，生活污水直排园</w:t>
            </w:r>
            <w:r>
              <w:rPr>
                <w:rFonts w:hint="default" w:ascii="Times New Roman" w:hAnsi="Times New Roman" w:eastAsia="宋体" w:cs="Times New Roman"/>
                <w:color w:val="auto"/>
                <w:sz w:val="24"/>
                <w:szCs w:val="24"/>
                <w:highlight w:val="none"/>
              </w:rPr>
              <w:t>区污水</w:t>
            </w:r>
            <w:r>
              <w:rPr>
                <w:rFonts w:hint="default" w:ascii="Times New Roman" w:hAnsi="Times New Roman" w:eastAsia="宋体" w:cs="Times New Roman"/>
                <w:color w:val="auto"/>
                <w:spacing w:val="-1"/>
                <w:sz w:val="24"/>
                <w:szCs w:val="24"/>
                <w:highlight w:val="none"/>
              </w:rPr>
              <w:t>管网，最终进入</w:t>
            </w:r>
            <w:r>
              <w:rPr>
                <w:rFonts w:hint="default" w:ascii="Times New Roman" w:hAnsi="Times New Roman" w:cs="Times New Roman"/>
                <w:color w:val="auto"/>
                <w:spacing w:val="-1"/>
                <w:sz w:val="24"/>
                <w:szCs w:val="24"/>
                <w:highlight w:val="none"/>
                <w:lang w:eastAsia="zh-CN"/>
              </w:rPr>
              <w:t>昌吉市第二</w:t>
            </w:r>
            <w:r>
              <w:rPr>
                <w:rFonts w:hint="default" w:ascii="Times New Roman" w:hAnsi="Times New Roman" w:eastAsia="宋体" w:cs="Times New Roman"/>
                <w:color w:val="auto"/>
                <w:spacing w:val="-1"/>
                <w:sz w:val="24"/>
                <w:szCs w:val="24"/>
                <w:highlight w:val="none"/>
              </w:rPr>
              <w:t>污水处理厂深度处理。</w:t>
            </w:r>
          </w:p>
          <w:p w14:paraId="1813B957">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5.3</w:t>
            </w:r>
            <w:r>
              <w:rPr>
                <w:rFonts w:hint="default" w:ascii="Times New Roman" w:hAnsi="Times New Roman" w:eastAsia="宋体" w:cs="Times New Roman"/>
                <w:b/>
                <w:bCs/>
                <w:color w:val="auto"/>
                <w:spacing w:val="-2"/>
                <w:sz w:val="24"/>
                <w:szCs w:val="24"/>
                <w:highlight w:val="none"/>
              </w:rPr>
              <w:t>分区防渗要求</w:t>
            </w:r>
          </w:p>
          <w:p w14:paraId="6C2745A4">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根据可能泄漏至地面的污染物的性质和生产单元的构建方式，结合项目总平面布置情况，本项目为农用地膜生产项目，生产车间为一般防渗区</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为重点防渗区。对厂区可能泄漏污染物的地面进行防渗处理，</w:t>
            </w:r>
            <w:r>
              <w:rPr>
                <w:rFonts w:hint="default" w:ascii="Times New Roman" w:hAnsi="Times New Roman" w:eastAsia="宋体" w:cs="Times New Roman"/>
                <w:color w:val="auto"/>
                <w:sz w:val="24"/>
                <w:szCs w:val="24"/>
                <w:highlight w:val="none"/>
              </w:rPr>
              <w:t>可有</w:t>
            </w:r>
            <w:r>
              <w:rPr>
                <w:rFonts w:hint="default" w:ascii="Times New Roman" w:hAnsi="Times New Roman" w:eastAsia="宋体" w:cs="Times New Roman"/>
                <w:color w:val="auto"/>
                <w:spacing w:val="6"/>
                <w:sz w:val="24"/>
                <w:szCs w:val="24"/>
                <w:highlight w:val="none"/>
              </w:rPr>
              <w:t>效防止污染物渗入地下，并及时地将泄漏</w:t>
            </w:r>
            <w:r>
              <w:rPr>
                <w:rFonts w:hint="default" w:ascii="Times New Roman" w:hAnsi="Times New Roman" w:eastAsia="Times New Roman" w:cs="Times New Roman"/>
                <w:color w:val="auto"/>
                <w:spacing w:val="6"/>
                <w:sz w:val="24"/>
                <w:szCs w:val="24"/>
                <w:highlight w:val="none"/>
              </w:rPr>
              <w:t>/</w:t>
            </w:r>
            <w:r>
              <w:rPr>
                <w:rFonts w:hint="default" w:ascii="Times New Roman" w:hAnsi="Times New Roman" w:eastAsia="宋体" w:cs="Times New Roman"/>
                <w:color w:val="auto"/>
                <w:spacing w:val="6"/>
                <w:sz w:val="24"/>
                <w:szCs w:val="24"/>
                <w:highlight w:val="none"/>
              </w:rPr>
              <w:t>渗漏的污染物收集并进行集中处</w:t>
            </w:r>
            <w:r>
              <w:rPr>
                <w:rFonts w:hint="default" w:ascii="Times New Roman" w:hAnsi="Times New Roman" w:eastAsia="宋体" w:cs="Times New Roman"/>
                <w:color w:val="auto"/>
                <w:spacing w:val="-5"/>
                <w:sz w:val="24"/>
                <w:szCs w:val="24"/>
                <w:highlight w:val="none"/>
              </w:rPr>
              <w:t>理。</w:t>
            </w:r>
          </w:p>
          <w:p w14:paraId="02DD0838">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一般防渗结构区主要为生产车间，地面硬化处理，并按照相</w:t>
            </w:r>
            <w:r>
              <w:rPr>
                <w:rFonts w:hint="default" w:ascii="Times New Roman" w:hAnsi="Times New Roman" w:eastAsia="宋体" w:cs="Times New Roman"/>
                <w:color w:val="auto"/>
                <w:sz w:val="24"/>
                <w:szCs w:val="24"/>
                <w:highlight w:val="none"/>
              </w:rPr>
              <w:t>关要求设置</w:t>
            </w:r>
            <w:r>
              <w:rPr>
                <w:rFonts w:hint="default" w:ascii="Times New Roman" w:hAnsi="Times New Roman" w:eastAsia="宋体" w:cs="Times New Roman"/>
                <w:color w:val="auto"/>
                <w:spacing w:val="-8"/>
                <w:sz w:val="24"/>
                <w:szCs w:val="24"/>
                <w:highlight w:val="none"/>
              </w:rPr>
              <w:t>防渗层，可选用天然或人工材料构筑防渗层，防渗层的防渗性能不应低于</w:t>
            </w:r>
            <w:r>
              <w:rPr>
                <w:rFonts w:hint="default" w:ascii="Times New Roman" w:hAnsi="Times New Roman" w:eastAsia="Times New Roman" w:cs="Times New Roman"/>
                <w:color w:val="auto"/>
                <w:spacing w:val="-8"/>
                <w:sz w:val="24"/>
                <w:szCs w:val="24"/>
                <w:highlight w:val="none"/>
              </w:rPr>
              <w:t>1.5m</w:t>
            </w:r>
            <w:r>
              <w:rPr>
                <w:rFonts w:hint="default" w:ascii="Times New Roman" w:hAnsi="Times New Roman" w:eastAsia="宋体" w:cs="Times New Roman"/>
                <w:color w:val="auto"/>
                <w:spacing w:val="-2"/>
                <w:sz w:val="24"/>
                <w:szCs w:val="24"/>
                <w:highlight w:val="none"/>
              </w:rPr>
              <w:t>厚渗透系数为</w:t>
            </w:r>
            <w:r>
              <w:rPr>
                <w:rFonts w:hint="default" w:ascii="Times New Roman" w:hAnsi="Times New Roman" w:eastAsia="Times New Roman" w:cs="Times New Roman"/>
                <w:color w:val="auto"/>
                <w:spacing w:val="-2"/>
                <w:sz w:val="24"/>
                <w:szCs w:val="24"/>
                <w:highlight w:val="none"/>
              </w:rPr>
              <w:t>1.0×10</w:t>
            </w:r>
            <w:r>
              <w:rPr>
                <w:rFonts w:hint="default" w:ascii="Times New Roman" w:hAnsi="Times New Roman" w:eastAsia="宋体" w:cs="Times New Roman"/>
                <w:color w:val="auto"/>
                <w:spacing w:val="-2"/>
                <w:position w:val="8"/>
                <w:sz w:val="24"/>
                <w:szCs w:val="24"/>
                <w:highlight w:val="none"/>
                <w:vertAlign w:val="superscript"/>
                <w:lang w:val="en-US" w:eastAsia="zh-CN"/>
              </w:rPr>
              <w:t>-7</w:t>
            </w:r>
            <w:r>
              <w:rPr>
                <w:rFonts w:hint="default" w:ascii="Times New Roman" w:hAnsi="Times New Roman" w:eastAsia="Times New Roman" w:cs="Times New Roman"/>
                <w:color w:val="auto"/>
                <w:spacing w:val="-2"/>
                <w:sz w:val="24"/>
                <w:szCs w:val="24"/>
                <w:highlight w:val="none"/>
              </w:rPr>
              <w:t>cm/s</w:t>
            </w:r>
            <w:r>
              <w:rPr>
                <w:rFonts w:hint="default" w:ascii="Times New Roman" w:hAnsi="Times New Roman" w:eastAsia="宋体" w:cs="Times New Roman"/>
                <w:color w:val="auto"/>
                <w:spacing w:val="-2"/>
                <w:sz w:val="24"/>
                <w:szCs w:val="24"/>
                <w:highlight w:val="none"/>
              </w:rPr>
              <w:t>的等</w:t>
            </w:r>
            <w:r>
              <w:rPr>
                <w:rFonts w:hint="default" w:ascii="Times New Roman" w:hAnsi="Times New Roman" w:eastAsia="宋体" w:cs="Times New Roman"/>
                <w:color w:val="auto"/>
                <w:spacing w:val="-3"/>
                <w:sz w:val="24"/>
                <w:szCs w:val="24"/>
                <w:highlight w:val="none"/>
              </w:rPr>
              <w:t>效黏土层的防渗性能。</w:t>
            </w:r>
          </w:p>
          <w:p w14:paraId="6957BD57">
            <w:pPr>
              <w:keepNext w:val="0"/>
              <w:keepLines w:val="0"/>
              <w:pageBreakBefore w:val="0"/>
              <w:widowControl/>
              <w:kinsoku w:val="0"/>
              <w:wordWrap/>
              <w:overflowPunct/>
              <w:topLinePunct w:val="0"/>
              <w:autoSpaceDE w:val="0"/>
              <w:autoSpaceDN w:val="0"/>
              <w:bidi w:val="0"/>
              <w:snapToGrid w:val="0"/>
              <w:spacing w:line="360" w:lineRule="auto"/>
              <w:ind w:left="0" w:right="0" w:firstLine="51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9"/>
                <w:sz w:val="24"/>
                <w:szCs w:val="24"/>
                <w:highlight w:val="none"/>
                <w:lang w:eastAsia="zh-CN"/>
              </w:rPr>
              <w:t>危废暂存点</w:t>
            </w:r>
            <w:r>
              <w:rPr>
                <w:rFonts w:hint="default" w:ascii="Times New Roman" w:hAnsi="Times New Roman" w:eastAsia="宋体" w:cs="Times New Roman"/>
                <w:color w:val="auto"/>
                <w:spacing w:val="9"/>
                <w:sz w:val="24"/>
                <w:szCs w:val="24"/>
                <w:highlight w:val="none"/>
              </w:rPr>
              <w:t>为重点防渗区，重点防渗区防渗技术要求等效黏土</w:t>
            </w:r>
            <w:r>
              <w:rPr>
                <w:rFonts w:hint="default" w:ascii="Times New Roman" w:hAnsi="Times New Roman" w:eastAsia="宋体" w:cs="Times New Roman"/>
                <w:color w:val="auto"/>
                <w:spacing w:val="8"/>
                <w:sz w:val="24"/>
                <w:szCs w:val="24"/>
                <w:highlight w:val="none"/>
              </w:rPr>
              <w:t>防渗层</w:t>
            </w:r>
            <w:r>
              <w:rPr>
                <w:rFonts w:hint="default" w:ascii="Times New Roman" w:hAnsi="Times New Roman" w:eastAsia="Times New Roman" w:cs="Times New Roman"/>
                <w:color w:val="auto"/>
                <w:spacing w:val="-2"/>
                <w:sz w:val="24"/>
                <w:szCs w:val="24"/>
                <w:highlight w:val="none"/>
              </w:rPr>
              <w:t>Mb≥6.0m</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K≤1×10</w:t>
            </w:r>
            <w:r>
              <w:rPr>
                <w:rFonts w:hint="default" w:ascii="Times New Roman" w:hAnsi="Times New Roman" w:eastAsia="宋体" w:cs="Times New Roman"/>
                <w:color w:val="auto"/>
                <w:spacing w:val="-2"/>
                <w:sz w:val="24"/>
                <w:szCs w:val="24"/>
                <w:highlight w:val="none"/>
                <w:vertAlign w:val="superscript"/>
                <w:lang w:val="en-US" w:eastAsia="zh-CN"/>
              </w:rPr>
              <w:t>-7</w:t>
            </w:r>
            <w:r>
              <w:rPr>
                <w:rFonts w:hint="default" w:ascii="Times New Roman" w:hAnsi="Times New Roman" w:eastAsia="Times New Roman" w:cs="Times New Roman"/>
                <w:color w:val="auto"/>
                <w:spacing w:val="-2"/>
                <w:sz w:val="24"/>
                <w:szCs w:val="24"/>
                <w:highlight w:val="none"/>
              </w:rPr>
              <w:t>cm/s</w:t>
            </w:r>
            <w:r>
              <w:rPr>
                <w:rFonts w:hint="default" w:ascii="Times New Roman" w:hAnsi="Times New Roman" w:eastAsia="宋体" w:cs="Times New Roman"/>
                <w:color w:val="auto"/>
                <w:spacing w:val="-2"/>
                <w:sz w:val="24"/>
                <w:szCs w:val="24"/>
                <w:highlight w:val="none"/>
              </w:rPr>
              <w:t>。</w:t>
            </w:r>
          </w:p>
          <w:p w14:paraId="7B6BDDB0">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除上述区域外的场区，按常规建筑结构要求进行地面处理。</w:t>
            </w:r>
            <w:r>
              <w:rPr>
                <w:rFonts w:hint="default" w:ascii="Times New Roman" w:hAnsi="Times New Roman" w:eastAsia="宋体" w:cs="Times New Roman"/>
                <w:color w:val="auto"/>
                <w:spacing w:val="-2"/>
                <w:sz w:val="24"/>
                <w:szCs w:val="24"/>
                <w:highlight w:val="none"/>
              </w:rPr>
              <w:t>本项目全厂污染防治分区情况详见表</w:t>
            </w:r>
            <w:r>
              <w:rPr>
                <w:rFonts w:hint="default" w:ascii="Times New Roman" w:hAnsi="Times New Roman" w:eastAsia="Times New Roman" w:cs="Times New Roman"/>
                <w:color w:val="auto"/>
                <w:spacing w:val="-2"/>
                <w:sz w:val="24"/>
                <w:szCs w:val="24"/>
                <w:highlight w:val="none"/>
              </w:rPr>
              <w:t>4-1</w:t>
            </w:r>
            <w:r>
              <w:rPr>
                <w:rFonts w:hint="default" w:ascii="Times New Roman" w:hAnsi="Times New Roman" w:eastAsia="宋体" w:cs="Times New Roman"/>
                <w:color w:val="auto"/>
                <w:spacing w:val="-2"/>
                <w:sz w:val="24"/>
                <w:szCs w:val="24"/>
                <w:highlight w:val="none"/>
                <w:lang w:val="en-US" w:eastAsia="zh-CN"/>
              </w:rPr>
              <w:t>0</w:t>
            </w:r>
            <w:r>
              <w:rPr>
                <w:rFonts w:hint="default" w:ascii="Times New Roman" w:hAnsi="Times New Roman" w:eastAsia="宋体" w:cs="Times New Roman"/>
                <w:color w:val="auto"/>
                <w:spacing w:val="-2"/>
                <w:sz w:val="24"/>
                <w:szCs w:val="24"/>
                <w:highlight w:val="none"/>
              </w:rPr>
              <w:t>。</w:t>
            </w:r>
          </w:p>
          <w:p w14:paraId="3FB9951A">
            <w:pPr>
              <w:keepNext w:val="0"/>
              <w:keepLines w:val="0"/>
              <w:pageBreakBefore w:val="0"/>
              <w:widowControl/>
              <w:kinsoku w:val="0"/>
              <w:wordWrap/>
              <w:overflowPunct/>
              <w:topLinePunct w:val="0"/>
              <w:autoSpaceDE w:val="0"/>
              <w:autoSpaceDN w:val="0"/>
              <w:bidi w:val="0"/>
              <w:snapToGrid w:val="0"/>
              <w:spacing w:line="240" w:lineRule="auto"/>
              <w:ind w:left="0" w:right="0" w:firstLine="450" w:firstLineChars="20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7"/>
                <w:sz w:val="21"/>
                <w:szCs w:val="21"/>
                <w:highlight w:val="none"/>
              </w:rPr>
              <w:t>表</w:t>
            </w:r>
            <w:r>
              <w:rPr>
                <w:rFonts w:hint="default" w:ascii="Times New Roman" w:hAnsi="Times New Roman" w:eastAsia="Times New Roman" w:cs="Times New Roman"/>
                <w:color w:val="auto"/>
                <w:spacing w:val="7"/>
                <w:sz w:val="21"/>
                <w:szCs w:val="21"/>
                <w:highlight w:val="none"/>
              </w:rPr>
              <w:t>4-1</w:t>
            </w:r>
            <w:r>
              <w:rPr>
                <w:rFonts w:hint="default" w:ascii="Times New Roman" w:hAnsi="Times New Roman" w:eastAsia="宋体" w:cs="Times New Roman"/>
                <w:color w:val="auto"/>
                <w:spacing w:val="7"/>
                <w:sz w:val="21"/>
                <w:szCs w:val="21"/>
                <w:highlight w:val="none"/>
                <w:lang w:val="en-US" w:eastAsia="zh-CN"/>
              </w:rPr>
              <w:t>0</w:t>
            </w:r>
            <w:r>
              <w:rPr>
                <w:rFonts w:hint="default" w:ascii="Times New Roman" w:hAnsi="Times New Roman" w:eastAsia="宋体" w:cs="Times New Roman"/>
                <w:b/>
                <w:bCs/>
                <w:color w:val="auto"/>
                <w:spacing w:val="7"/>
                <w:sz w:val="21"/>
                <w:szCs w:val="21"/>
                <w:highlight w:val="none"/>
              </w:rPr>
              <w:t>本项目地下水污染防治分区情况表</w:t>
            </w:r>
          </w:p>
          <w:tbl>
            <w:tblPr>
              <w:tblStyle w:val="54"/>
              <w:tblW w:w="494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0"/>
              <w:gridCol w:w="4924"/>
            </w:tblGrid>
            <w:tr w14:paraId="1697D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442" w:type="dxa"/>
                  <w:tcBorders>
                    <w:top w:val="single" w:color="000000" w:sz="10" w:space="0"/>
                    <w:left w:val="nil"/>
                  </w:tcBorders>
                  <w:vAlign w:val="center"/>
                </w:tcPr>
                <w:p w14:paraId="3FDB80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rPr>
                    <w:t>名称</w:t>
                  </w:r>
                </w:p>
              </w:tc>
              <w:tc>
                <w:tcPr>
                  <w:tcW w:w="4928" w:type="dxa"/>
                  <w:tcBorders>
                    <w:top w:val="single" w:color="000000" w:sz="10" w:space="0"/>
                    <w:right w:val="nil"/>
                  </w:tcBorders>
                  <w:vAlign w:val="center"/>
                </w:tcPr>
                <w:p w14:paraId="403A83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
                      <w:sz w:val="21"/>
                      <w:szCs w:val="21"/>
                      <w:highlight w:val="none"/>
                    </w:rPr>
                    <w:t>范围</w:t>
                  </w:r>
                </w:p>
              </w:tc>
            </w:tr>
            <w:tr w14:paraId="43D1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442" w:type="dxa"/>
                  <w:tcBorders>
                    <w:left w:val="nil"/>
                  </w:tcBorders>
                  <w:vAlign w:val="center"/>
                </w:tcPr>
                <w:p w14:paraId="291A4E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重点防渗区</w:t>
                  </w:r>
                </w:p>
              </w:tc>
              <w:tc>
                <w:tcPr>
                  <w:tcW w:w="4928" w:type="dxa"/>
                  <w:tcBorders>
                    <w:right w:val="nil"/>
                  </w:tcBorders>
                  <w:vAlign w:val="center"/>
                </w:tcPr>
                <w:p w14:paraId="1F6C17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pacing w:val="7"/>
                      <w:sz w:val="21"/>
                      <w:szCs w:val="21"/>
                      <w:highlight w:val="none"/>
                      <w:lang w:eastAsia="zh-CN"/>
                    </w:rPr>
                    <w:t>危废暂存点</w:t>
                  </w:r>
                </w:p>
              </w:tc>
            </w:tr>
            <w:tr w14:paraId="51BBF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442" w:type="dxa"/>
                  <w:tcBorders>
                    <w:left w:val="nil"/>
                  </w:tcBorders>
                  <w:vAlign w:val="center"/>
                </w:tcPr>
                <w:p w14:paraId="554A60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一般防渗区</w:t>
                  </w:r>
                </w:p>
              </w:tc>
              <w:tc>
                <w:tcPr>
                  <w:tcW w:w="4928" w:type="dxa"/>
                  <w:tcBorders>
                    <w:right w:val="nil"/>
                  </w:tcBorders>
                  <w:vAlign w:val="center"/>
                </w:tcPr>
                <w:p w14:paraId="0D793E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生产车间</w:t>
                  </w:r>
                </w:p>
              </w:tc>
            </w:tr>
            <w:tr w14:paraId="377FB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442" w:type="dxa"/>
                  <w:tcBorders>
                    <w:left w:val="nil"/>
                    <w:bottom w:val="single" w:color="000000" w:sz="10" w:space="0"/>
                  </w:tcBorders>
                  <w:vAlign w:val="center"/>
                </w:tcPr>
                <w:p w14:paraId="1DBDDA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简单防渗区</w:t>
                  </w:r>
                </w:p>
              </w:tc>
              <w:tc>
                <w:tcPr>
                  <w:tcW w:w="4928" w:type="dxa"/>
                  <w:tcBorders>
                    <w:bottom w:val="single" w:color="000000" w:sz="10" w:space="0"/>
                    <w:right w:val="nil"/>
                  </w:tcBorders>
                  <w:vAlign w:val="center"/>
                </w:tcPr>
                <w:p w14:paraId="16B259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其他区域</w:t>
                  </w:r>
                </w:p>
              </w:tc>
            </w:tr>
          </w:tbl>
          <w:p w14:paraId="5E79990A">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此外要加强管理，提高操作人员技术水平，完善管理机制，建立严</w:t>
            </w:r>
            <w:r>
              <w:rPr>
                <w:rFonts w:hint="default" w:ascii="Times New Roman" w:hAnsi="Times New Roman" w:eastAsia="宋体" w:cs="Times New Roman"/>
                <w:color w:val="auto"/>
                <w:sz w:val="24"/>
                <w:szCs w:val="24"/>
                <w:highlight w:val="none"/>
              </w:rPr>
              <w:t>格的</w:t>
            </w:r>
            <w:r>
              <w:rPr>
                <w:rFonts w:hint="default" w:ascii="Times New Roman" w:hAnsi="Times New Roman" w:eastAsia="宋体" w:cs="Times New Roman"/>
                <w:color w:val="auto"/>
                <w:spacing w:val="1"/>
                <w:sz w:val="24"/>
                <w:szCs w:val="24"/>
                <w:highlight w:val="none"/>
              </w:rPr>
              <w:t>生产管理制度，遵守操作规程。采取以上措施后，能最大限度地</w:t>
            </w:r>
            <w:r>
              <w:rPr>
                <w:rFonts w:hint="default" w:ascii="Times New Roman" w:hAnsi="Times New Roman" w:eastAsia="宋体" w:cs="Times New Roman"/>
                <w:color w:val="auto"/>
                <w:sz w:val="24"/>
                <w:szCs w:val="24"/>
                <w:highlight w:val="none"/>
              </w:rPr>
              <w:t>减少项目污</w:t>
            </w:r>
            <w:r>
              <w:rPr>
                <w:rFonts w:hint="default" w:ascii="Times New Roman" w:hAnsi="Times New Roman" w:eastAsia="宋体" w:cs="Times New Roman"/>
                <w:color w:val="auto"/>
                <w:spacing w:val="1"/>
                <w:sz w:val="24"/>
                <w:szCs w:val="24"/>
                <w:highlight w:val="none"/>
              </w:rPr>
              <w:t>染物的排放对土壤和地下水的影响。建议企业做好废气、废水污</w:t>
            </w:r>
            <w:r>
              <w:rPr>
                <w:rFonts w:hint="default" w:ascii="Times New Roman" w:hAnsi="Times New Roman" w:eastAsia="宋体" w:cs="Times New Roman"/>
                <w:color w:val="auto"/>
                <w:sz w:val="24"/>
                <w:szCs w:val="24"/>
                <w:highlight w:val="none"/>
              </w:rPr>
              <w:t>染防治设施</w:t>
            </w:r>
            <w:r>
              <w:rPr>
                <w:rFonts w:hint="default" w:ascii="Times New Roman" w:hAnsi="Times New Roman" w:eastAsia="宋体" w:cs="Times New Roman"/>
                <w:color w:val="auto"/>
                <w:spacing w:val="-4"/>
                <w:sz w:val="24"/>
                <w:szCs w:val="24"/>
                <w:highlight w:val="none"/>
              </w:rPr>
              <w:t>的维护及检修；严格做好分区防渗措施。故本项目对地下水和土壤影响不大。</w:t>
            </w:r>
          </w:p>
          <w:p w14:paraId="6646975B">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3"/>
                <w:sz w:val="24"/>
                <w:szCs w:val="24"/>
                <w:highlight w:val="none"/>
              </w:rPr>
              <w:t>6.</w:t>
            </w:r>
            <w:r>
              <w:rPr>
                <w:rFonts w:hint="default" w:ascii="Times New Roman" w:hAnsi="Times New Roman" w:eastAsia="宋体" w:cs="Times New Roman"/>
                <w:b/>
                <w:bCs/>
                <w:color w:val="auto"/>
                <w:spacing w:val="-3"/>
                <w:sz w:val="24"/>
                <w:szCs w:val="24"/>
                <w:highlight w:val="none"/>
              </w:rPr>
              <w:t>环境风险分析</w:t>
            </w:r>
          </w:p>
          <w:p w14:paraId="4B01DE7E">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6.1</w:t>
            </w:r>
            <w:r>
              <w:rPr>
                <w:rFonts w:hint="default" w:ascii="Times New Roman" w:hAnsi="Times New Roman" w:eastAsia="宋体" w:cs="Times New Roman"/>
                <w:b/>
                <w:bCs/>
                <w:color w:val="auto"/>
                <w:spacing w:val="-2"/>
                <w:sz w:val="24"/>
                <w:szCs w:val="24"/>
                <w:highlight w:val="none"/>
              </w:rPr>
              <w:t>环境风险评价目的</w:t>
            </w:r>
          </w:p>
          <w:p w14:paraId="37218232">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本环境风险评价的目的是分析和预测建设项目存在的潜在危险、有</w:t>
            </w:r>
            <w:r>
              <w:rPr>
                <w:rFonts w:hint="default" w:ascii="Times New Roman" w:hAnsi="Times New Roman" w:eastAsia="宋体" w:cs="Times New Roman"/>
                <w:color w:val="auto"/>
                <w:sz w:val="24"/>
                <w:szCs w:val="24"/>
                <w:highlight w:val="none"/>
              </w:rPr>
              <w:t>害因</w:t>
            </w:r>
            <w:r>
              <w:rPr>
                <w:rFonts w:hint="default" w:ascii="Times New Roman" w:hAnsi="Times New Roman" w:eastAsia="宋体" w:cs="Times New Roman"/>
                <w:color w:val="auto"/>
                <w:spacing w:val="1"/>
                <w:sz w:val="24"/>
                <w:szCs w:val="24"/>
                <w:highlight w:val="none"/>
              </w:rPr>
              <w:t>素、建设项目建设和生产运行期间可能发生的突发性事件或事故（一</w:t>
            </w:r>
            <w:r>
              <w:rPr>
                <w:rFonts w:hint="default" w:ascii="Times New Roman" w:hAnsi="Times New Roman" w:eastAsia="宋体" w:cs="Times New Roman"/>
                <w:color w:val="auto"/>
                <w:sz w:val="24"/>
                <w:szCs w:val="24"/>
                <w:highlight w:val="none"/>
              </w:rPr>
              <w:t>般不包</w:t>
            </w:r>
            <w:r>
              <w:rPr>
                <w:rFonts w:hint="default" w:ascii="Times New Roman" w:hAnsi="Times New Roman" w:eastAsia="宋体" w:cs="Times New Roman"/>
                <w:color w:val="auto"/>
                <w:spacing w:val="1"/>
                <w:sz w:val="24"/>
                <w:szCs w:val="24"/>
                <w:highlight w:val="none"/>
              </w:rPr>
              <w:t>括人为破坏及自然灾害）引起易燃易爆等物质燃烧爆炸，所造成的人</w:t>
            </w:r>
            <w:r>
              <w:rPr>
                <w:rFonts w:hint="default" w:ascii="Times New Roman" w:hAnsi="Times New Roman" w:eastAsia="宋体" w:cs="Times New Roman"/>
                <w:color w:val="auto"/>
                <w:sz w:val="24"/>
                <w:szCs w:val="24"/>
                <w:highlight w:val="none"/>
              </w:rPr>
              <w:t>身安全</w:t>
            </w:r>
            <w:r>
              <w:rPr>
                <w:rFonts w:hint="default" w:ascii="Times New Roman" w:hAnsi="Times New Roman" w:eastAsia="宋体" w:cs="Times New Roman"/>
                <w:color w:val="auto"/>
                <w:spacing w:val="1"/>
                <w:sz w:val="24"/>
                <w:szCs w:val="24"/>
                <w:highlight w:val="none"/>
              </w:rPr>
              <w:t>与环境影响和损害程度，提出合理可行的防范、应急与减缓措施，以</w:t>
            </w:r>
            <w:r>
              <w:rPr>
                <w:rFonts w:hint="default" w:ascii="Times New Roman" w:hAnsi="Times New Roman" w:eastAsia="宋体" w:cs="Times New Roman"/>
                <w:color w:val="auto"/>
                <w:sz w:val="24"/>
                <w:szCs w:val="24"/>
                <w:highlight w:val="none"/>
              </w:rPr>
              <w:t>使建设</w:t>
            </w:r>
            <w:r>
              <w:rPr>
                <w:rFonts w:hint="default" w:ascii="Times New Roman" w:hAnsi="Times New Roman" w:eastAsia="宋体" w:cs="Times New Roman"/>
                <w:color w:val="auto"/>
                <w:spacing w:val="-1"/>
                <w:sz w:val="24"/>
                <w:szCs w:val="24"/>
                <w:highlight w:val="none"/>
              </w:rPr>
              <w:t>项目事故率、损失和环境影响达到可接受水平。</w:t>
            </w:r>
          </w:p>
          <w:p w14:paraId="1A4AA371">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6.2</w:t>
            </w:r>
            <w:r>
              <w:rPr>
                <w:rFonts w:hint="default" w:ascii="Times New Roman" w:hAnsi="Times New Roman" w:eastAsia="宋体" w:cs="Times New Roman"/>
                <w:b/>
                <w:bCs/>
                <w:color w:val="auto"/>
                <w:spacing w:val="-2"/>
                <w:sz w:val="24"/>
                <w:szCs w:val="24"/>
                <w:highlight w:val="none"/>
              </w:rPr>
              <w:t>风险调查</w:t>
            </w:r>
          </w:p>
          <w:p w14:paraId="3E286DD2">
            <w:pPr>
              <w:keepNext w:val="0"/>
              <w:keepLines w:val="0"/>
              <w:pageBreakBefore w:val="0"/>
              <w:widowControl/>
              <w:kinsoku w:val="0"/>
              <w:wordWrap/>
              <w:overflowPunct/>
              <w:topLinePunct w:val="0"/>
              <w:autoSpaceDE w:val="0"/>
              <w:autoSpaceDN w:val="0"/>
              <w:bidi w:val="0"/>
              <w:snapToGrid w:val="0"/>
              <w:spacing w:line="360" w:lineRule="auto"/>
              <w:ind w:left="0" w:right="0" w:firstLine="44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9"/>
                <w:sz w:val="24"/>
                <w:szCs w:val="24"/>
                <w:highlight w:val="none"/>
              </w:rPr>
              <w:t>根据《建设项目环境风险评价技术导则》（</w:t>
            </w:r>
            <w:r>
              <w:rPr>
                <w:rFonts w:hint="default" w:ascii="Times New Roman" w:hAnsi="Times New Roman" w:eastAsia="Times New Roman" w:cs="Times New Roman"/>
                <w:color w:val="auto"/>
                <w:spacing w:val="-9"/>
                <w:sz w:val="24"/>
                <w:szCs w:val="24"/>
                <w:highlight w:val="none"/>
              </w:rPr>
              <w:t>HJ169-2018</w:t>
            </w:r>
            <w:r>
              <w:rPr>
                <w:rFonts w:hint="default" w:ascii="Times New Roman" w:hAnsi="Times New Roman" w:eastAsia="宋体" w:cs="Times New Roman"/>
                <w:color w:val="auto"/>
                <w:spacing w:val="-9"/>
                <w:sz w:val="24"/>
                <w:szCs w:val="24"/>
                <w:highlight w:val="none"/>
              </w:rPr>
              <w:t>）附录</w:t>
            </w:r>
            <w:r>
              <w:rPr>
                <w:rFonts w:hint="default" w:ascii="Times New Roman" w:hAnsi="Times New Roman" w:eastAsia="Times New Roman" w:cs="Times New Roman"/>
                <w:color w:val="auto"/>
                <w:spacing w:val="-9"/>
                <w:sz w:val="24"/>
                <w:szCs w:val="24"/>
                <w:highlight w:val="none"/>
              </w:rPr>
              <w:t>B</w:t>
            </w:r>
            <w:r>
              <w:rPr>
                <w:rFonts w:hint="default" w:ascii="Times New Roman" w:hAnsi="Times New Roman" w:eastAsia="宋体" w:cs="Times New Roman"/>
                <w:color w:val="auto"/>
                <w:spacing w:val="-9"/>
                <w:sz w:val="24"/>
                <w:szCs w:val="24"/>
                <w:highlight w:val="none"/>
              </w:rPr>
              <w:t>中规定，</w:t>
            </w:r>
            <w:r>
              <w:rPr>
                <w:rFonts w:hint="default" w:ascii="Times New Roman" w:hAnsi="Times New Roman" w:eastAsia="宋体" w:cs="Times New Roman"/>
                <w:color w:val="auto"/>
                <w:spacing w:val="-1"/>
                <w:sz w:val="24"/>
                <w:szCs w:val="24"/>
                <w:highlight w:val="none"/>
              </w:rPr>
              <w:t>本项目风险物质为油类物质废机油。</w:t>
            </w:r>
          </w:p>
          <w:p w14:paraId="53130162">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6.3</w:t>
            </w:r>
            <w:r>
              <w:rPr>
                <w:rFonts w:hint="default" w:ascii="Times New Roman" w:hAnsi="Times New Roman" w:eastAsia="宋体" w:cs="Times New Roman"/>
                <w:b/>
                <w:bCs/>
                <w:color w:val="auto"/>
                <w:spacing w:val="-2"/>
                <w:sz w:val="24"/>
                <w:szCs w:val="24"/>
                <w:highlight w:val="none"/>
              </w:rPr>
              <w:t>环境风险潜势初判</w:t>
            </w:r>
          </w:p>
          <w:p w14:paraId="6BA3BA94">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）危险物质数量与临界量比值（</w:t>
            </w:r>
            <w:r>
              <w:rPr>
                <w:rFonts w:hint="default" w:ascii="Times New Roman" w:hAnsi="Times New Roman" w:eastAsia="Times New Roman" w:cs="Times New Roman"/>
                <w:color w:val="auto"/>
                <w:spacing w:val="-2"/>
                <w:sz w:val="24"/>
                <w:szCs w:val="24"/>
                <w:highlight w:val="none"/>
              </w:rPr>
              <w:t>Q</w:t>
            </w:r>
            <w:r>
              <w:rPr>
                <w:rFonts w:hint="default" w:ascii="Times New Roman" w:hAnsi="Times New Roman" w:eastAsia="宋体" w:cs="Times New Roman"/>
                <w:color w:val="auto"/>
                <w:spacing w:val="-2"/>
                <w:sz w:val="24"/>
                <w:szCs w:val="24"/>
                <w:highlight w:val="none"/>
              </w:rPr>
              <w:t>）</w:t>
            </w:r>
          </w:p>
          <w:p w14:paraId="74BC76C3">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jc w:val="left"/>
              <w:textAlignment w:val="baseline"/>
              <w:rPr>
                <w:rFonts w:hint="default" w:ascii="Times New Roman" w:hAnsi="Times New Roman" w:eastAsia="宋体" w:cs="Times New Roman"/>
                <w:color w:val="auto"/>
                <w:spacing w:val="-1"/>
                <w:sz w:val="24"/>
                <w:szCs w:val="24"/>
                <w:highlight w:val="none"/>
              </w:rPr>
            </w:pPr>
            <w:r>
              <w:rPr>
                <w:rFonts w:hint="default" w:ascii="Times New Roman" w:hAnsi="Times New Roman" w:eastAsia="宋体" w:cs="Times New Roman"/>
                <w:color w:val="auto"/>
                <w:sz w:val="24"/>
                <w:szCs w:val="24"/>
                <w:highlight w:val="none"/>
              </w:rPr>
              <w:t>根据《建设项目环境风险评价技术导则》（</w:t>
            </w:r>
            <w:r>
              <w:rPr>
                <w:rFonts w:hint="default" w:ascii="Times New Roman" w:hAnsi="Times New Roman" w:eastAsia="Times New Roman" w:cs="Times New Roman"/>
                <w:color w:val="auto"/>
                <w:sz w:val="24"/>
                <w:szCs w:val="24"/>
                <w:highlight w:val="none"/>
              </w:rPr>
              <w:t>HJ169</w:t>
            </w:r>
            <w:r>
              <w:rPr>
                <w:rFonts w:hint="default" w:ascii="Times New Roman" w:hAnsi="Times New Roman" w:eastAsia="Times New Roman" w:cs="Times New Roman"/>
                <w:color w:val="auto"/>
                <w:spacing w:val="-1"/>
                <w:sz w:val="24"/>
                <w:szCs w:val="24"/>
                <w:highlight w:val="none"/>
              </w:rPr>
              <w:t>-2018</w:t>
            </w:r>
            <w:r>
              <w:rPr>
                <w:rFonts w:hint="default" w:ascii="Times New Roman" w:hAnsi="Times New Roman" w:eastAsia="宋体" w:cs="Times New Roman"/>
                <w:color w:val="auto"/>
                <w:spacing w:val="-1"/>
                <w:sz w:val="24"/>
                <w:szCs w:val="24"/>
                <w:highlight w:val="none"/>
              </w:rPr>
              <w:t>）和《危险化学</w:t>
            </w:r>
            <w:r>
              <w:rPr>
                <w:rFonts w:hint="default" w:ascii="Times New Roman" w:hAnsi="Times New Roman" w:eastAsia="宋体" w:cs="Times New Roman"/>
                <w:color w:val="auto"/>
                <w:spacing w:val="-2"/>
                <w:sz w:val="24"/>
                <w:szCs w:val="24"/>
                <w:highlight w:val="none"/>
              </w:rPr>
              <w:t>品重大危险源辨识》（</w:t>
            </w:r>
            <w:r>
              <w:rPr>
                <w:rFonts w:hint="default" w:ascii="Times New Roman" w:hAnsi="Times New Roman" w:eastAsia="Times New Roman" w:cs="Times New Roman"/>
                <w:color w:val="auto"/>
                <w:spacing w:val="-2"/>
                <w:sz w:val="24"/>
                <w:szCs w:val="24"/>
                <w:highlight w:val="none"/>
              </w:rPr>
              <w:t>GB18218-2018</w:t>
            </w:r>
            <w:r>
              <w:rPr>
                <w:rFonts w:hint="default" w:ascii="Times New Roman" w:hAnsi="Times New Roman" w:eastAsia="宋体" w:cs="Times New Roman"/>
                <w:color w:val="auto"/>
                <w:spacing w:val="-23"/>
                <w:sz w:val="24"/>
                <w:szCs w:val="24"/>
                <w:highlight w:val="none"/>
              </w:rPr>
              <w:t>），</w:t>
            </w:r>
            <w:r>
              <w:rPr>
                <w:rFonts w:hint="default" w:ascii="Times New Roman" w:hAnsi="Times New Roman" w:eastAsia="宋体" w:cs="Times New Roman"/>
                <w:color w:val="auto"/>
                <w:spacing w:val="-2"/>
                <w:sz w:val="24"/>
                <w:szCs w:val="24"/>
                <w:highlight w:val="none"/>
              </w:rPr>
              <w:t>危险化学品重大危</w:t>
            </w:r>
            <w:r>
              <w:rPr>
                <w:rFonts w:hint="default" w:ascii="Times New Roman" w:hAnsi="Times New Roman" w:eastAsia="宋体" w:cs="Times New Roman"/>
                <w:color w:val="auto"/>
                <w:spacing w:val="-3"/>
                <w:sz w:val="24"/>
                <w:szCs w:val="24"/>
                <w:highlight w:val="none"/>
              </w:rPr>
              <w:t>险源是指</w:t>
            </w:r>
            <w:r>
              <w:rPr>
                <w:rFonts w:hint="default" w:ascii="Times New Roman" w:hAnsi="Times New Roman" w:eastAsia="Times New Roman" w:cs="Times New Roman"/>
                <w:color w:val="auto"/>
                <w:spacing w:val="-3"/>
                <w:sz w:val="24"/>
                <w:szCs w:val="24"/>
                <w:highlight w:val="none"/>
              </w:rPr>
              <w:t>“</w:t>
            </w:r>
            <w:r>
              <w:rPr>
                <w:rFonts w:hint="default" w:ascii="Times New Roman" w:hAnsi="Times New Roman" w:eastAsia="宋体" w:cs="Times New Roman"/>
                <w:color w:val="auto"/>
                <w:spacing w:val="-3"/>
                <w:sz w:val="24"/>
                <w:szCs w:val="24"/>
                <w:highlight w:val="none"/>
              </w:rPr>
              <w:t>长期地</w:t>
            </w:r>
            <w:r>
              <w:rPr>
                <w:rFonts w:hint="default" w:ascii="Times New Roman" w:hAnsi="Times New Roman" w:eastAsia="宋体" w:cs="Times New Roman"/>
                <w:color w:val="auto"/>
                <w:sz w:val="24"/>
                <w:szCs w:val="24"/>
                <w:highlight w:val="none"/>
              </w:rPr>
              <w:t>或临时地生产、加工、搬运、使用或储存危险化学品</w:t>
            </w:r>
            <w:r>
              <w:rPr>
                <w:rFonts w:hint="default" w:ascii="Times New Roman" w:hAnsi="Times New Roman" w:eastAsia="宋体" w:cs="Times New Roman"/>
                <w:color w:val="auto"/>
                <w:spacing w:val="-1"/>
                <w:sz w:val="24"/>
                <w:szCs w:val="24"/>
                <w:highlight w:val="none"/>
              </w:rPr>
              <w:t>，且危险化学品的数量</w:t>
            </w:r>
            <w:r>
              <w:rPr>
                <w:rFonts w:hint="default" w:ascii="Times New Roman" w:hAnsi="Times New Roman" w:eastAsia="宋体" w:cs="Times New Roman"/>
                <w:color w:val="auto"/>
                <w:spacing w:val="-2"/>
                <w:sz w:val="24"/>
                <w:szCs w:val="24"/>
                <w:highlight w:val="none"/>
              </w:rPr>
              <w:t>等于或超过临界量的单元</w:t>
            </w:r>
            <w:r>
              <w:rPr>
                <w:rFonts w:hint="default" w:ascii="Times New Roman" w:hAnsi="Times New Roman" w:eastAsia="Times New Roman"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rPr>
              <w:t>。计算所涉及的每种危险物质在</w:t>
            </w:r>
            <w:r>
              <w:rPr>
                <w:rFonts w:hint="default" w:ascii="Times New Roman" w:hAnsi="Times New Roman" w:eastAsia="宋体" w:cs="Times New Roman"/>
                <w:color w:val="auto"/>
                <w:spacing w:val="-3"/>
                <w:sz w:val="24"/>
                <w:szCs w:val="24"/>
                <w:highlight w:val="none"/>
              </w:rPr>
              <w:t>厂界内的最大存在总量与其在附录</w:t>
            </w:r>
            <w:r>
              <w:rPr>
                <w:rFonts w:hint="default" w:ascii="Times New Roman" w:hAnsi="Times New Roman" w:eastAsia="Times New Roman" w:cs="Times New Roman"/>
                <w:color w:val="auto"/>
                <w:spacing w:val="-3"/>
                <w:sz w:val="24"/>
                <w:szCs w:val="24"/>
                <w:highlight w:val="none"/>
              </w:rPr>
              <w:t>B</w:t>
            </w:r>
            <w:r>
              <w:rPr>
                <w:rFonts w:hint="default" w:ascii="Times New Roman" w:hAnsi="Times New Roman" w:eastAsia="宋体" w:cs="Times New Roman"/>
                <w:color w:val="auto"/>
                <w:spacing w:val="-3"/>
                <w:sz w:val="24"/>
                <w:szCs w:val="24"/>
                <w:highlight w:val="none"/>
              </w:rPr>
              <w:t>中对应临界量的比值</w:t>
            </w:r>
            <w:r>
              <w:rPr>
                <w:rFonts w:hint="default" w:ascii="Times New Roman" w:hAnsi="Times New Roman" w:eastAsia="Times New Roman" w:cs="Times New Roman"/>
                <w:color w:val="auto"/>
                <w:spacing w:val="-3"/>
                <w:sz w:val="24"/>
                <w:szCs w:val="24"/>
                <w:highlight w:val="none"/>
              </w:rPr>
              <w:t>Q</w:t>
            </w:r>
            <w:r>
              <w:rPr>
                <w:rFonts w:hint="default" w:ascii="Times New Roman" w:hAnsi="Times New Roman" w:eastAsia="宋体" w:cs="Times New Roman"/>
                <w:color w:val="auto"/>
                <w:spacing w:val="-3"/>
                <w:sz w:val="24"/>
                <w:szCs w:val="24"/>
                <w:highlight w:val="none"/>
              </w:rPr>
              <w:t>。在不同厂区的同一种物质，按其</w:t>
            </w:r>
            <w:r>
              <w:rPr>
                <w:rFonts w:hint="default" w:ascii="Times New Roman" w:hAnsi="Times New Roman" w:eastAsia="宋体" w:cs="Times New Roman"/>
                <w:color w:val="auto"/>
                <w:sz w:val="24"/>
                <w:szCs w:val="24"/>
                <w:highlight w:val="none"/>
              </w:rPr>
              <w:t>在厂界内的最大存在总量计算。单元内存在的危险化</w:t>
            </w:r>
            <w:r>
              <w:rPr>
                <w:rFonts w:hint="default" w:ascii="Times New Roman" w:hAnsi="Times New Roman" w:eastAsia="宋体" w:cs="Times New Roman"/>
                <w:color w:val="auto"/>
                <w:spacing w:val="-1"/>
                <w:sz w:val="24"/>
                <w:szCs w:val="24"/>
                <w:highlight w:val="none"/>
              </w:rPr>
              <w:t>学品的数量根据处理危险化学品的多少，区分为以下两种情况：</w:t>
            </w:r>
          </w:p>
          <w:p w14:paraId="5EF9E450">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jc w:val="left"/>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①当只涉及一种危险物质时，计算该物质的总量</w:t>
            </w:r>
            <w:r>
              <w:rPr>
                <w:rFonts w:hint="default" w:ascii="Times New Roman" w:hAnsi="Times New Roman" w:eastAsia="宋体" w:cs="Times New Roman"/>
                <w:color w:val="auto"/>
                <w:spacing w:val="-1"/>
                <w:sz w:val="24"/>
                <w:szCs w:val="24"/>
                <w:highlight w:val="none"/>
              </w:rPr>
              <w:t>与其临界量比值，即为</w:t>
            </w:r>
            <w:r>
              <w:rPr>
                <w:rFonts w:hint="default" w:ascii="Times New Roman" w:hAnsi="Times New Roman" w:eastAsia="Times New Roman" w:cs="Times New Roman"/>
                <w:color w:val="auto"/>
                <w:spacing w:val="-5"/>
                <w:sz w:val="24"/>
                <w:szCs w:val="24"/>
                <w:highlight w:val="none"/>
              </w:rPr>
              <w:t>Q</w:t>
            </w:r>
            <w:r>
              <w:rPr>
                <w:rFonts w:hint="default" w:ascii="Times New Roman" w:hAnsi="Times New Roman" w:eastAsia="宋体" w:cs="Times New Roman"/>
                <w:color w:val="auto"/>
                <w:spacing w:val="-5"/>
                <w:sz w:val="24"/>
                <w:szCs w:val="24"/>
                <w:highlight w:val="none"/>
              </w:rPr>
              <w:t>；</w:t>
            </w:r>
          </w:p>
          <w:p w14:paraId="157C6198">
            <w:pPr>
              <w:keepNext w:val="0"/>
              <w:keepLines w:val="0"/>
              <w:pageBreakBefore w:val="0"/>
              <w:widowControl/>
              <w:kinsoku w:val="0"/>
              <w:wordWrap/>
              <w:overflowPunct/>
              <w:topLinePunct w:val="0"/>
              <w:autoSpaceDE w:val="0"/>
              <w:autoSpaceDN w:val="0"/>
              <w:bidi w:val="0"/>
              <w:snapToGrid w:val="0"/>
              <w:spacing w:line="360" w:lineRule="auto"/>
              <w:ind w:left="0" w:right="0" w:firstLine="460" w:firstLineChars="200"/>
              <w:jc w:val="left"/>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sz w:val="24"/>
                <w:szCs w:val="24"/>
                <w:highlight w:val="none"/>
              </w:rPr>
              <w:t>②当存在多种危险物质时，则按下式计算物质总量与其临界量比值（</w:t>
            </w:r>
            <w:r>
              <w:rPr>
                <w:rFonts w:hint="default" w:ascii="Times New Roman" w:hAnsi="Times New Roman" w:eastAsia="Times New Roman" w:cs="Times New Roman"/>
                <w:color w:val="auto"/>
                <w:spacing w:val="-5"/>
                <w:sz w:val="24"/>
                <w:szCs w:val="24"/>
                <w:highlight w:val="none"/>
              </w:rPr>
              <w:t>Q</w:t>
            </w:r>
            <w:r>
              <w:rPr>
                <w:rFonts w:hint="default" w:ascii="Times New Roman" w:hAnsi="Times New Roman" w:eastAsia="宋体" w:cs="Times New Roman"/>
                <w:color w:val="auto"/>
                <w:spacing w:val="-56"/>
                <w:w w:val="88"/>
                <w:sz w:val="24"/>
                <w:szCs w:val="24"/>
                <w:highlight w:val="none"/>
              </w:rPr>
              <w:t>）：</w:t>
            </w:r>
          </w:p>
          <w:p w14:paraId="4343E150">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jc w:val="center"/>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position w:val="-13"/>
                <w:sz w:val="24"/>
                <w:szCs w:val="24"/>
                <w:highlight w:val="none"/>
              </w:rPr>
              <w:drawing>
                <wp:inline distT="0" distB="0" distL="0" distR="0">
                  <wp:extent cx="1417320" cy="441325"/>
                  <wp:effectExtent l="0" t="0" r="11430" b="15875"/>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3"/>
                          <a:stretch>
                            <a:fillRect/>
                          </a:stretch>
                        </pic:blipFill>
                        <pic:spPr>
                          <a:xfrm>
                            <a:off x="0" y="0"/>
                            <a:ext cx="1417320" cy="441959"/>
                          </a:xfrm>
                          <a:prstGeom prst="rect">
                            <a:avLst/>
                          </a:prstGeom>
                        </pic:spPr>
                      </pic:pic>
                    </a:graphicData>
                  </a:graphic>
                </wp:inline>
              </w:drawing>
            </w:r>
          </w:p>
          <w:p w14:paraId="1EFCDF94">
            <w:pPr>
              <w:keepNext w:val="0"/>
              <w:keepLines w:val="0"/>
              <w:pageBreakBefore w:val="0"/>
              <w:widowControl/>
              <w:kinsoku w:val="0"/>
              <w:wordWrap/>
              <w:overflowPunct/>
              <w:topLinePunct w:val="0"/>
              <w:autoSpaceDE w:val="0"/>
              <w:autoSpaceDN w:val="0"/>
              <w:bidi w:val="0"/>
              <w:snapToGrid w:val="0"/>
              <w:spacing w:line="360" w:lineRule="auto"/>
              <w:ind w:left="0" w:right="0" w:firstLine="46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5"/>
                <w:sz w:val="24"/>
                <w:szCs w:val="24"/>
                <w:highlight w:val="none"/>
              </w:rPr>
              <w:t>式中：</w:t>
            </w:r>
            <w:r>
              <w:rPr>
                <w:rFonts w:hint="default" w:ascii="Times New Roman" w:hAnsi="Times New Roman" w:eastAsia="Times New Roman" w:cs="Times New Roman"/>
                <w:color w:val="auto"/>
                <w:spacing w:val="-5"/>
                <w:sz w:val="24"/>
                <w:szCs w:val="24"/>
                <w:highlight w:val="none"/>
              </w:rPr>
              <w:t>q1</w:t>
            </w:r>
            <w:r>
              <w:rPr>
                <w:rFonts w:hint="default" w:ascii="Times New Roman" w:hAnsi="Times New Roman" w:eastAsia="宋体" w:cs="Times New Roman"/>
                <w:color w:val="auto"/>
                <w:spacing w:val="-5"/>
                <w:sz w:val="24"/>
                <w:szCs w:val="24"/>
                <w:highlight w:val="none"/>
              </w:rPr>
              <w:t>，</w:t>
            </w:r>
            <w:r>
              <w:rPr>
                <w:rFonts w:hint="default" w:ascii="Times New Roman" w:hAnsi="Times New Roman" w:eastAsia="Times New Roman" w:cs="Times New Roman"/>
                <w:color w:val="auto"/>
                <w:spacing w:val="-5"/>
                <w:sz w:val="24"/>
                <w:szCs w:val="24"/>
                <w:highlight w:val="none"/>
              </w:rPr>
              <w:t>q2</w:t>
            </w:r>
            <w:r>
              <w:rPr>
                <w:rFonts w:hint="default" w:ascii="Times New Roman" w:hAnsi="Times New Roman" w:eastAsia="宋体" w:cs="Times New Roman"/>
                <w:color w:val="auto"/>
                <w:spacing w:val="-5"/>
                <w:sz w:val="24"/>
                <w:szCs w:val="24"/>
                <w:highlight w:val="none"/>
              </w:rPr>
              <w:t>，</w:t>
            </w:r>
            <w:r>
              <w:rPr>
                <w:rFonts w:hint="default" w:ascii="Times New Roman" w:hAnsi="Times New Roman" w:eastAsia="Times New Roman" w:cs="Times New Roman"/>
                <w:color w:val="auto"/>
                <w:spacing w:val="-5"/>
                <w:sz w:val="24"/>
                <w:szCs w:val="24"/>
                <w:highlight w:val="none"/>
              </w:rPr>
              <w:t>...</w:t>
            </w:r>
            <w:r>
              <w:rPr>
                <w:rFonts w:hint="default" w:ascii="Times New Roman" w:hAnsi="Times New Roman" w:eastAsia="宋体" w:cs="Times New Roman"/>
                <w:color w:val="auto"/>
                <w:spacing w:val="-5"/>
                <w:sz w:val="24"/>
                <w:szCs w:val="24"/>
                <w:highlight w:val="none"/>
              </w:rPr>
              <w:t>，</w:t>
            </w:r>
            <w:r>
              <w:rPr>
                <w:rFonts w:hint="default" w:ascii="Times New Roman" w:hAnsi="Times New Roman" w:eastAsia="Times New Roman" w:cs="Times New Roman"/>
                <w:color w:val="auto"/>
                <w:spacing w:val="-5"/>
                <w:sz w:val="24"/>
                <w:szCs w:val="24"/>
                <w:highlight w:val="none"/>
              </w:rPr>
              <w:t>qn——</w:t>
            </w:r>
            <w:r>
              <w:rPr>
                <w:rFonts w:hint="default" w:ascii="Times New Roman" w:hAnsi="Times New Roman" w:eastAsia="宋体" w:cs="Times New Roman"/>
                <w:color w:val="auto"/>
                <w:spacing w:val="-5"/>
                <w:sz w:val="24"/>
                <w:szCs w:val="24"/>
                <w:highlight w:val="none"/>
              </w:rPr>
              <w:t>每种危险物质的最大总存在量，</w:t>
            </w:r>
            <w:r>
              <w:rPr>
                <w:rFonts w:hint="default" w:ascii="Times New Roman" w:hAnsi="Times New Roman" w:eastAsia="Times New Roman" w:cs="Times New Roman"/>
                <w:color w:val="auto"/>
                <w:spacing w:val="-5"/>
                <w:sz w:val="24"/>
                <w:szCs w:val="24"/>
                <w:highlight w:val="none"/>
              </w:rPr>
              <w:t>t</w:t>
            </w:r>
            <w:r>
              <w:rPr>
                <w:rFonts w:hint="default" w:ascii="Times New Roman" w:hAnsi="Times New Roman" w:eastAsia="宋体" w:cs="Times New Roman"/>
                <w:color w:val="auto"/>
                <w:spacing w:val="-5"/>
                <w:sz w:val="24"/>
                <w:szCs w:val="24"/>
                <w:highlight w:val="none"/>
              </w:rPr>
              <w:t>；</w:t>
            </w:r>
            <w:r>
              <w:rPr>
                <w:rFonts w:hint="default" w:ascii="Times New Roman" w:hAnsi="Times New Roman" w:eastAsia="Times New Roman" w:cs="Times New Roman"/>
                <w:color w:val="auto"/>
                <w:spacing w:val="-3"/>
                <w:sz w:val="24"/>
                <w:szCs w:val="24"/>
                <w:highlight w:val="none"/>
              </w:rPr>
              <w:t>Q1</w:t>
            </w:r>
            <w:r>
              <w:rPr>
                <w:rFonts w:hint="default" w:ascii="Times New Roman" w:hAnsi="Times New Roman" w:eastAsia="宋体" w:cs="Times New Roman"/>
                <w:color w:val="auto"/>
                <w:spacing w:val="-15"/>
                <w:sz w:val="24"/>
                <w:szCs w:val="24"/>
                <w:highlight w:val="none"/>
              </w:rPr>
              <w:t>，</w:t>
            </w:r>
            <w:r>
              <w:rPr>
                <w:rFonts w:hint="default" w:ascii="Times New Roman" w:hAnsi="Times New Roman" w:eastAsia="Times New Roman" w:cs="Times New Roman"/>
                <w:color w:val="auto"/>
                <w:spacing w:val="-15"/>
                <w:sz w:val="24"/>
                <w:szCs w:val="24"/>
                <w:highlight w:val="none"/>
              </w:rPr>
              <w:t>Q</w:t>
            </w:r>
            <w:r>
              <w:rPr>
                <w:rFonts w:hint="default" w:ascii="Times New Roman" w:hAnsi="Times New Roman" w:eastAsia="Times New Roman" w:cs="Times New Roman"/>
                <w:color w:val="auto"/>
                <w:spacing w:val="-4"/>
                <w:sz w:val="24"/>
                <w:szCs w:val="24"/>
                <w:highlight w:val="none"/>
              </w:rPr>
              <w:t>2</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Times New Roman" w:cs="Times New Roman"/>
                <w:color w:val="auto"/>
                <w:spacing w:val="-9"/>
                <w:sz w:val="24"/>
                <w:szCs w:val="24"/>
                <w:highlight w:val="none"/>
              </w:rPr>
              <w:t>...</w:t>
            </w:r>
            <w:r>
              <w:rPr>
                <w:rFonts w:hint="default" w:ascii="Times New Roman" w:hAnsi="Times New Roman" w:eastAsia="宋体" w:cs="Times New Roman"/>
                <w:color w:val="auto"/>
                <w:spacing w:val="-9"/>
                <w:sz w:val="24"/>
                <w:szCs w:val="24"/>
                <w:highlight w:val="none"/>
              </w:rPr>
              <w:t>，</w:t>
            </w:r>
            <w:r>
              <w:rPr>
                <w:rFonts w:hint="default" w:ascii="Times New Roman" w:hAnsi="Times New Roman" w:eastAsia="Times New Roman" w:cs="Times New Roman"/>
                <w:color w:val="auto"/>
                <w:spacing w:val="-9"/>
                <w:sz w:val="24"/>
                <w:szCs w:val="24"/>
                <w:highlight w:val="none"/>
              </w:rPr>
              <w:t>Q</w:t>
            </w:r>
            <w:r>
              <w:rPr>
                <w:rFonts w:hint="default" w:ascii="Times New Roman" w:hAnsi="Times New Roman" w:eastAsia="Times New Roman" w:cs="Times New Roman"/>
                <w:color w:val="auto"/>
                <w:sz w:val="24"/>
                <w:szCs w:val="24"/>
                <w:highlight w:val="none"/>
              </w:rPr>
              <w:t>n——</w:t>
            </w:r>
            <w:r>
              <w:rPr>
                <w:rFonts w:hint="default" w:ascii="Times New Roman" w:hAnsi="Times New Roman" w:eastAsia="宋体" w:cs="Times New Roman"/>
                <w:color w:val="auto"/>
                <w:sz w:val="24"/>
                <w:szCs w:val="24"/>
                <w:highlight w:val="none"/>
              </w:rPr>
              <w:t>每种危险物质的临界量，</w:t>
            </w:r>
            <w:r>
              <w:rPr>
                <w:rFonts w:hint="default" w:ascii="Times New Roman" w:hAnsi="Times New Roman" w:eastAsia="Times New Roman" w:cs="Times New Roman"/>
                <w:color w:val="auto"/>
                <w:sz w:val="24"/>
                <w:szCs w:val="24"/>
                <w:highlight w:val="none"/>
              </w:rPr>
              <w:t>t</w:t>
            </w:r>
            <w:r>
              <w:rPr>
                <w:rFonts w:hint="default" w:ascii="Times New Roman" w:hAnsi="Times New Roman" w:eastAsia="宋体" w:cs="Times New Roman"/>
                <w:color w:val="auto"/>
                <w:sz w:val="24"/>
                <w:szCs w:val="24"/>
                <w:highlight w:val="none"/>
              </w:rPr>
              <w:t>；</w:t>
            </w:r>
          </w:p>
          <w:p w14:paraId="533BE3BD">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当</w:t>
            </w:r>
            <w:r>
              <w:rPr>
                <w:rFonts w:hint="default" w:ascii="Times New Roman" w:hAnsi="Times New Roman" w:eastAsia="Times New Roman" w:cs="Times New Roman"/>
                <w:color w:val="auto"/>
                <w:spacing w:val="-2"/>
                <w:sz w:val="24"/>
                <w:szCs w:val="24"/>
                <w:highlight w:val="none"/>
              </w:rPr>
              <w:t>Q</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时，该项目环境风险潜势为</w:t>
            </w:r>
            <w:r>
              <w:rPr>
                <w:rFonts w:hint="default" w:ascii="Times New Roman" w:hAnsi="Times New Roman" w:eastAsia="Times New Roman" w:cs="Times New Roman"/>
                <w:color w:val="auto"/>
                <w:spacing w:val="-2"/>
                <w:sz w:val="24"/>
                <w:szCs w:val="24"/>
                <w:highlight w:val="none"/>
              </w:rPr>
              <w:t>Ⅰ</w:t>
            </w:r>
            <w:r>
              <w:rPr>
                <w:rFonts w:hint="default" w:ascii="Times New Roman" w:hAnsi="Times New Roman" w:eastAsia="宋体" w:cs="Times New Roman"/>
                <w:color w:val="auto"/>
                <w:spacing w:val="-2"/>
                <w:sz w:val="24"/>
                <w:szCs w:val="24"/>
                <w:highlight w:val="none"/>
              </w:rPr>
              <w:t>;</w:t>
            </w:r>
          </w:p>
          <w:p w14:paraId="39AF9852">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当</w:t>
            </w:r>
            <w:r>
              <w:rPr>
                <w:rFonts w:hint="default" w:ascii="Times New Roman" w:hAnsi="Times New Roman" w:eastAsia="Times New Roman" w:cs="Times New Roman"/>
                <w:color w:val="auto"/>
                <w:spacing w:val="-2"/>
                <w:sz w:val="24"/>
                <w:szCs w:val="24"/>
                <w:highlight w:val="none"/>
              </w:rPr>
              <w:t>Q≥1</w:t>
            </w:r>
            <w:r>
              <w:rPr>
                <w:rFonts w:hint="default" w:ascii="Times New Roman" w:hAnsi="Times New Roman" w:eastAsia="宋体" w:cs="Times New Roman"/>
                <w:color w:val="auto"/>
                <w:spacing w:val="-2"/>
                <w:sz w:val="24"/>
                <w:szCs w:val="24"/>
                <w:highlight w:val="none"/>
              </w:rPr>
              <w:t>时，将</w:t>
            </w:r>
            <w:r>
              <w:rPr>
                <w:rFonts w:hint="default" w:ascii="Times New Roman" w:hAnsi="Times New Roman" w:eastAsia="Times New Roman" w:cs="Times New Roman"/>
                <w:color w:val="auto"/>
                <w:spacing w:val="-2"/>
                <w:sz w:val="24"/>
                <w:szCs w:val="24"/>
                <w:highlight w:val="none"/>
              </w:rPr>
              <w:t>Q</w:t>
            </w:r>
            <w:r>
              <w:rPr>
                <w:rFonts w:hint="default" w:ascii="Times New Roman" w:hAnsi="Times New Roman" w:eastAsia="宋体" w:cs="Times New Roman"/>
                <w:color w:val="auto"/>
                <w:spacing w:val="-2"/>
                <w:sz w:val="24"/>
                <w:szCs w:val="24"/>
                <w:highlight w:val="none"/>
              </w:rPr>
              <w:t>值划分为：</w:t>
            </w:r>
            <w:r>
              <w:rPr>
                <w:rFonts w:hint="default" w:ascii="Times New Roman" w:hAnsi="Times New Roman" w:eastAsia="Times New Roman" w:cs="Times New Roman"/>
                <w:color w:val="auto"/>
                <w:spacing w:val="-2"/>
                <w:sz w:val="24"/>
                <w:szCs w:val="24"/>
                <w:highlight w:val="none"/>
              </w:rPr>
              <w:t>1≤Q</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10</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10≤Q</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100</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Q≥100</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宋体" w:cs="Times New Roman"/>
                <w:color w:val="auto"/>
                <w:spacing w:val="-1"/>
                <w:sz w:val="24"/>
                <w:szCs w:val="24"/>
                <w:highlight w:val="none"/>
              </w:rPr>
              <w:t>本项目涉及的危险物质存在量与临界量比值见表</w:t>
            </w:r>
            <w:r>
              <w:rPr>
                <w:rFonts w:hint="default" w:ascii="Times New Roman" w:hAnsi="Times New Roman" w:eastAsia="Times New Roman" w:cs="Times New Roman"/>
                <w:color w:val="auto"/>
                <w:spacing w:val="-1"/>
                <w:sz w:val="24"/>
                <w:szCs w:val="24"/>
                <w:highlight w:val="none"/>
              </w:rPr>
              <w:t>4-1</w:t>
            </w:r>
            <w:r>
              <w:rPr>
                <w:rFonts w:hint="default" w:ascii="Times New Roman" w:hAnsi="Times New Roman" w:eastAsia="宋体" w:cs="Times New Roman"/>
                <w:color w:val="auto"/>
                <w:spacing w:val="-1"/>
                <w:sz w:val="24"/>
                <w:szCs w:val="24"/>
                <w:highlight w:val="none"/>
                <w:lang w:val="en-US" w:eastAsia="zh-CN"/>
              </w:rPr>
              <w:t>1</w:t>
            </w:r>
            <w:r>
              <w:rPr>
                <w:rFonts w:hint="default" w:ascii="Times New Roman" w:hAnsi="Times New Roman" w:eastAsia="宋体" w:cs="Times New Roman"/>
                <w:color w:val="auto"/>
                <w:spacing w:val="-1"/>
                <w:sz w:val="24"/>
                <w:szCs w:val="24"/>
                <w:highlight w:val="none"/>
              </w:rPr>
              <w:t>。</w:t>
            </w:r>
          </w:p>
          <w:p w14:paraId="6D0074F0">
            <w:pPr>
              <w:keepNext w:val="0"/>
              <w:keepLines w:val="0"/>
              <w:pageBreakBefore w:val="0"/>
              <w:widowControl/>
              <w:kinsoku w:val="0"/>
              <w:wordWrap/>
              <w:overflowPunct/>
              <w:topLinePunct w:val="0"/>
              <w:autoSpaceDE w:val="0"/>
              <w:autoSpaceDN w:val="0"/>
              <w:bidi w:val="0"/>
              <w:snapToGrid w:val="0"/>
              <w:spacing w:line="240" w:lineRule="auto"/>
              <w:ind w:left="0" w:right="0" w:firstLine="450" w:firstLineChars="20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7"/>
                <w:sz w:val="21"/>
                <w:szCs w:val="21"/>
                <w:highlight w:val="none"/>
              </w:rPr>
              <w:t>表4-1</w:t>
            </w:r>
            <w:r>
              <w:rPr>
                <w:rFonts w:hint="default" w:ascii="Times New Roman" w:hAnsi="Times New Roman" w:cs="Times New Roman"/>
                <w:b/>
                <w:bCs/>
                <w:color w:val="auto"/>
                <w:spacing w:val="7"/>
                <w:sz w:val="21"/>
                <w:szCs w:val="21"/>
                <w:highlight w:val="none"/>
                <w:lang w:val="en-US" w:eastAsia="zh-CN"/>
              </w:rPr>
              <w:t>1</w:t>
            </w:r>
            <w:r>
              <w:rPr>
                <w:rFonts w:hint="eastAsia" w:ascii="Times New Roman" w:hAnsi="Times New Roman" w:cs="Times New Roman"/>
                <w:b/>
                <w:bCs/>
                <w:color w:val="auto"/>
                <w:spacing w:val="7"/>
                <w:sz w:val="21"/>
                <w:szCs w:val="21"/>
                <w:highlight w:val="none"/>
                <w:lang w:val="en-US" w:eastAsia="zh-CN"/>
              </w:rPr>
              <w:t xml:space="preserve">   </w:t>
            </w:r>
            <w:r>
              <w:rPr>
                <w:rFonts w:hint="default" w:ascii="Times New Roman" w:hAnsi="Times New Roman" w:eastAsia="宋体" w:cs="Times New Roman"/>
                <w:b/>
                <w:bCs/>
                <w:color w:val="auto"/>
                <w:spacing w:val="7"/>
                <w:sz w:val="21"/>
                <w:szCs w:val="21"/>
                <w:highlight w:val="none"/>
              </w:rPr>
              <w:t>危险物质存在量与临界量比值一览表</w:t>
            </w:r>
          </w:p>
          <w:tbl>
            <w:tblPr>
              <w:tblStyle w:val="54"/>
              <w:tblW w:w="4953"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121"/>
              <w:gridCol w:w="1290"/>
              <w:gridCol w:w="1360"/>
              <w:gridCol w:w="1138"/>
              <w:gridCol w:w="1479"/>
            </w:tblGrid>
            <w:tr w14:paraId="45AE57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21" w:type="dxa"/>
                  <w:tcBorders>
                    <w:bottom w:val="single" w:color="000000" w:sz="12" w:space="0"/>
                  </w:tcBorders>
                  <w:vAlign w:val="center"/>
                </w:tcPr>
                <w:p w14:paraId="6869C6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7"/>
                      <w:sz w:val="21"/>
                      <w:szCs w:val="21"/>
                      <w:highlight w:val="none"/>
                    </w:rPr>
                    <w:t>物质名称</w:t>
                  </w:r>
                </w:p>
              </w:tc>
              <w:tc>
                <w:tcPr>
                  <w:tcW w:w="1290" w:type="dxa"/>
                  <w:tcBorders>
                    <w:bottom w:val="single" w:color="000000" w:sz="12" w:space="0"/>
                  </w:tcBorders>
                  <w:vAlign w:val="center"/>
                </w:tcPr>
                <w:p w14:paraId="2611B9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5"/>
                      <w:sz w:val="21"/>
                      <w:szCs w:val="21"/>
                      <w:highlight w:val="none"/>
                    </w:rPr>
                    <w:t>临界量（</w:t>
                  </w:r>
                  <w:r>
                    <w:rPr>
                      <w:rFonts w:hint="default" w:ascii="Times New Roman" w:hAnsi="Times New Roman" w:eastAsia="Times New Roman" w:cs="Times New Roman"/>
                      <w:b/>
                      <w:bCs/>
                      <w:color w:val="auto"/>
                      <w:sz w:val="21"/>
                      <w:szCs w:val="21"/>
                      <w:highlight w:val="none"/>
                    </w:rPr>
                    <w:t>Qi</w:t>
                  </w:r>
                  <w:r>
                    <w:rPr>
                      <w:rFonts w:hint="default" w:ascii="Times New Roman" w:hAnsi="Times New Roman" w:eastAsia="宋体" w:cs="Times New Roman"/>
                      <w:b/>
                      <w:bCs/>
                      <w:color w:val="auto"/>
                      <w:spacing w:val="5"/>
                      <w:sz w:val="21"/>
                      <w:szCs w:val="21"/>
                      <w:highlight w:val="none"/>
                    </w:rPr>
                    <w:t>）</w:t>
                  </w:r>
                </w:p>
              </w:tc>
              <w:tc>
                <w:tcPr>
                  <w:tcW w:w="1360" w:type="dxa"/>
                  <w:tcBorders>
                    <w:bottom w:val="single" w:color="000000" w:sz="12" w:space="0"/>
                  </w:tcBorders>
                  <w:vAlign w:val="center"/>
                </w:tcPr>
                <w:p w14:paraId="2E5E23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7"/>
                      <w:sz w:val="21"/>
                      <w:szCs w:val="21"/>
                      <w:highlight w:val="none"/>
                    </w:rPr>
                    <w:t>最大储量（</w:t>
                  </w:r>
                  <w:r>
                    <w:rPr>
                      <w:rFonts w:hint="default" w:ascii="Times New Roman" w:hAnsi="Times New Roman" w:eastAsia="Times New Roman" w:cs="Times New Roman"/>
                      <w:b/>
                      <w:bCs/>
                      <w:color w:val="auto"/>
                      <w:sz w:val="21"/>
                      <w:szCs w:val="21"/>
                      <w:highlight w:val="none"/>
                    </w:rPr>
                    <w:t>qi</w:t>
                  </w:r>
                  <w:r>
                    <w:rPr>
                      <w:rFonts w:hint="default" w:ascii="Times New Roman" w:hAnsi="Times New Roman" w:eastAsia="宋体" w:cs="Times New Roman"/>
                      <w:b/>
                      <w:bCs/>
                      <w:color w:val="auto"/>
                      <w:spacing w:val="7"/>
                      <w:sz w:val="21"/>
                      <w:szCs w:val="21"/>
                      <w:highlight w:val="none"/>
                    </w:rPr>
                    <w:t>）</w:t>
                  </w:r>
                </w:p>
              </w:tc>
              <w:tc>
                <w:tcPr>
                  <w:tcW w:w="1138" w:type="dxa"/>
                  <w:tcBorders>
                    <w:bottom w:val="single" w:color="000000" w:sz="12" w:space="0"/>
                  </w:tcBorders>
                  <w:vAlign w:val="center"/>
                </w:tcPr>
                <w:p w14:paraId="77D639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b/>
                      <w:bCs/>
                      <w:color w:val="auto"/>
                      <w:sz w:val="21"/>
                      <w:szCs w:val="21"/>
                      <w:highlight w:val="none"/>
                    </w:rPr>
                  </w:pPr>
                  <w:r>
                    <w:rPr>
                      <w:rFonts w:hint="default" w:ascii="Times New Roman" w:hAnsi="Times New Roman" w:eastAsia="Times New Roman" w:cs="Times New Roman"/>
                      <w:b/>
                      <w:bCs/>
                      <w:color w:val="auto"/>
                      <w:sz w:val="21"/>
                      <w:szCs w:val="21"/>
                      <w:highlight w:val="none"/>
                    </w:rPr>
                    <w:t>qi</w:t>
                  </w:r>
                  <w:r>
                    <w:rPr>
                      <w:rFonts w:hint="default" w:ascii="Times New Roman" w:hAnsi="Times New Roman" w:eastAsia="Times New Roman" w:cs="Times New Roman"/>
                      <w:b/>
                      <w:bCs/>
                      <w:color w:val="auto"/>
                      <w:spacing w:val="11"/>
                      <w:sz w:val="21"/>
                      <w:szCs w:val="21"/>
                      <w:highlight w:val="none"/>
                    </w:rPr>
                    <w:t>/</w:t>
                  </w:r>
                  <w:r>
                    <w:rPr>
                      <w:rFonts w:hint="default" w:ascii="Times New Roman" w:hAnsi="Times New Roman" w:eastAsia="Times New Roman" w:cs="Times New Roman"/>
                      <w:b/>
                      <w:bCs/>
                      <w:color w:val="auto"/>
                      <w:sz w:val="21"/>
                      <w:szCs w:val="21"/>
                      <w:highlight w:val="none"/>
                    </w:rPr>
                    <w:t>Qi</w:t>
                  </w:r>
                </w:p>
              </w:tc>
              <w:tc>
                <w:tcPr>
                  <w:tcW w:w="1479" w:type="dxa"/>
                  <w:tcBorders>
                    <w:bottom w:val="single" w:color="000000" w:sz="12" w:space="0"/>
                  </w:tcBorders>
                  <w:vAlign w:val="center"/>
                </w:tcPr>
                <w:p w14:paraId="59DFD8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7"/>
                      <w:sz w:val="21"/>
                      <w:szCs w:val="21"/>
                      <w:highlight w:val="none"/>
                    </w:rPr>
                    <w:t>是否构成重</w:t>
                  </w:r>
                  <w:r>
                    <w:rPr>
                      <w:rFonts w:hint="default" w:ascii="Times New Roman" w:hAnsi="Times New Roman" w:eastAsia="宋体" w:cs="Times New Roman"/>
                      <w:b/>
                      <w:bCs/>
                      <w:color w:val="auto"/>
                      <w:spacing w:val="6"/>
                      <w:sz w:val="21"/>
                      <w:szCs w:val="21"/>
                      <w:highlight w:val="none"/>
                    </w:rPr>
                    <w:t>大危险源</w:t>
                  </w:r>
                </w:p>
              </w:tc>
            </w:tr>
            <w:tr w14:paraId="10A93E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21" w:type="dxa"/>
                  <w:tcBorders>
                    <w:top w:val="single" w:color="000000" w:sz="12" w:space="0"/>
                    <w:tl2br w:val="nil"/>
                    <w:tr2bl w:val="nil"/>
                  </w:tcBorders>
                  <w:vAlign w:val="center"/>
                </w:tcPr>
                <w:p w14:paraId="2C26BD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油类物质（废</w:t>
                  </w:r>
                  <w:r>
                    <w:rPr>
                      <w:rFonts w:hint="default" w:ascii="Times New Roman" w:hAnsi="Times New Roman" w:eastAsia="宋体" w:cs="Times New Roman"/>
                      <w:color w:val="auto"/>
                      <w:spacing w:val="3"/>
                      <w:sz w:val="21"/>
                      <w:szCs w:val="21"/>
                      <w:highlight w:val="none"/>
                    </w:rPr>
                    <w:t>机油）</w:t>
                  </w:r>
                </w:p>
              </w:tc>
              <w:tc>
                <w:tcPr>
                  <w:tcW w:w="1290" w:type="dxa"/>
                  <w:tcBorders>
                    <w:top w:val="single" w:color="000000" w:sz="12" w:space="0"/>
                    <w:tl2br w:val="nil"/>
                    <w:tr2bl w:val="nil"/>
                  </w:tcBorders>
                  <w:vAlign w:val="center"/>
                </w:tcPr>
                <w:p w14:paraId="2DB3D0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3"/>
                      <w:sz w:val="21"/>
                      <w:szCs w:val="21"/>
                      <w:highlight w:val="none"/>
                    </w:rPr>
                    <w:t>2500t</w:t>
                  </w:r>
                </w:p>
              </w:tc>
              <w:tc>
                <w:tcPr>
                  <w:tcW w:w="1360" w:type="dxa"/>
                  <w:tcBorders>
                    <w:top w:val="single" w:color="000000" w:sz="12" w:space="0"/>
                    <w:tl2br w:val="nil"/>
                    <w:tr2bl w:val="nil"/>
                  </w:tcBorders>
                  <w:vAlign w:val="center"/>
                </w:tcPr>
                <w:p w14:paraId="1DEF58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4"/>
                      <w:sz w:val="21"/>
                      <w:szCs w:val="21"/>
                      <w:highlight w:val="none"/>
                    </w:rPr>
                    <w:t>0.5t</w:t>
                  </w:r>
                </w:p>
              </w:tc>
              <w:tc>
                <w:tcPr>
                  <w:tcW w:w="1138" w:type="dxa"/>
                  <w:tcBorders>
                    <w:top w:val="single" w:color="000000" w:sz="12" w:space="0"/>
                    <w:tl2br w:val="nil"/>
                    <w:tr2bl w:val="nil"/>
                  </w:tcBorders>
                  <w:vAlign w:val="center"/>
                </w:tcPr>
                <w:p w14:paraId="2D4F13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6"/>
                      <w:sz w:val="21"/>
                      <w:szCs w:val="21"/>
                      <w:highlight w:val="none"/>
                    </w:rPr>
                    <w:t>0.0002</w:t>
                  </w:r>
                </w:p>
              </w:tc>
              <w:tc>
                <w:tcPr>
                  <w:tcW w:w="1479" w:type="dxa"/>
                  <w:vMerge w:val="restart"/>
                  <w:tcBorders>
                    <w:top w:val="single" w:color="000000" w:sz="12" w:space="0"/>
                    <w:tl2br w:val="nil"/>
                    <w:tr2bl w:val="nil"/>
                  </w:tcBorders>
                  <w:vAlign w:val="center"/>
                </w:tcPr>
                <w:p w14:paraId="7A8A6F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否</w:t>
                  </w:r>
                </w:p>
              </w:tc>
            </w:tr>
            <w:tr w14:paraId="5D4583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21" w:type="dxa"/>
                  <w:tcBorders>
                    <w:tl2br w:val="nil"/>
                    <w:tr2bl w:val="nil"/>
                  </w:tcBorders>
                  <w:vAlign w:val="center"/>
                </w:tcPr>
                <w:p w14:paraId="18C860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pacing w:val="7"/>
                      <w:sz w:val="21"/>
                      <w:szCs w:val="21"/>
                      <w:highlight w:val="none"/>
                    </w:rPr>
                    <w:t>∑</w:t>
                  </w:r>
                  <w:r>
                    <w:rPr>
                      <w:rFonts w:hint="default" w:ascii="Times New Roman" w:hAnsi="Times New Roman" w:eastAsia="宋体" w:cs="Times New Roman"/>
                      <w:color w:val="auto"/>
                      <w:spacing w:val="7"/>
                      <w:sz w:val="21"/>
                      <w:szCs w:val="21"/>
                      <w:highlight w:val="none"/>
                    </w:rPr>
                    <w:t>（</w:t>
                  </w:r>
                  <w:r>
                    <w:rPr>
                      <w:rFonts w:hint="default" w:ascii="Times New Roman" w:hAnsi="Times New Roman" w:eastAsia="Times New Roman" w:cs="Times New Roman"/>
                      <w:color w:val="auto"/>
                      <w:sz w:val="21"/>
                      <w:szCs w:val="21"/>
                      <w:highlight w:val="none"/>
                    </w:rPr>
                    <w:t>qi</w:t>
                  </w:r>
                  <w:r>
                    <w:rPr>
                      <w:rFonts w:hint="default" w:ascii="Times New Roman" w:hAnsi="Times New Roman" w:eastAsia="Times New Roman" w:cs="Times New Roman"/>
                      <w:color w:val="auto"/>
                      <w:spacing w:val="7"/>
                      <w:sz w:val="21"/>
                      <w:szCs w:val="21"/>
                      <w:highlight w:val="none"/>
                    </w:rPr>
                    <w:t>/</w:t>
                  </w:r>
                  <w:r>
                    <w:rPr>
                      <w:rFonts w:hint="default" w:ascii="Times New Roman" w:hAnsi="Times New Roman" w:eastAsia="Times New Roman" w:cs="Times New Roman"/>
                      <w:color w:val="auto"/>
                      <w:sz w:val="21"/>
                      <w:szCs w:val="21"/>
                      <w:highlight w:val="none"/>
                    </w:rPr>
                    <w:t>Qi</w:t>
                  </w:r>
                  <w:r>
                    <w:rPr>
                      <w:rFonts w:hint="default" w:ascii="Times New Roman" w:hAnsi="Times New Roman" w:eastAsia="宋体" w:cs="Times New Roman"/>
                      <w:color w:val="auto"/>
                      <w:spacing w:val="7"/>
                      <w:sz w:val="21"/>
                      <w:szCs w:val="21"/>
                      <w:highlight w:val="none"/>
                    </w:rPr>
                    <w:t>）</w:t>
                  </w:r>
                </w:p>
              </w:tc>
              <w:tc>
                <w:tcPr>
                  <w:tcW w:w="1290" w:type="dxa"/>
                  <w:tcBorders>
                    <w:tl2br w:val="nil"/>
                    <w:tr2bl w:val="nil"/>
                  </w:tcBorders>
                  <w:vAlign w:val="center"/>
                </w:tcPr>
                <w:p w14:paraId="55C238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1360" w:type="dxa"/>
                  <w:tcBorders>
                    <w:tl2br w:val="nil"/>
                    <w:tr2bl w:val="nil"/>
                  </w:tcBorders>
                  <w:vAlign w:val="center"/>
                </w:tcPr>
                <w:p w14:paraId="1D1153B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2"/>
                      <w:sz w:val="21"/>
                      <w:szCs w:val="21"/>
                      <w:highlight w:val="none"/>
                    </w:rPr>
                    <w:t>/</w:t>
                  </w:r>
                </w:p>
              </w:tc>
              <w:tc>
                <w:tcPr>
                  <w:tcW w:w="1138" w:type="dxa"/>
                  <w:tcBorders>
                    <w:tl2br w:val="nil"/>
                    <w:tr2bl w:val="nil"/>
                  </w:tcBorders>
                  <w:vAlign w:val="center"/>
                </w:tcPr>
                <w:p w14:paraId="077CE4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6"/>
                      <w:sz w:val="21"/>
                      <w:szCs w:val="21"/>
                      <w:highlight w:val="none"/>
                    </w:rPr>
                    <w:t>0.0002</w:t>
                  </w:r>
                </w:p>
              </w:tc>
              <w:tc>
                <w:tcPr>
                  <w:tcW w:w="1479" w:type="dxa"/>
                  <w:vMerge w:val="continue"/>
                  <w:tcBorders>
                    <w:tl2br w:val="nil"/>
                    <w:tr2bl w:val="nil"/>
                  </w:tcBorders>
                  <w:vAlign w:val="center"/>
                </w:tcPr>
                <w:p w14:paraId="618E071E">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bl>
          <w:p w14:paraId="717D8330">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本项目危险物质未构成重大危险源，其存在</w:t>
            </w:r>
            <w:r>
              <w:rPr>
                <w:rFonts w:hint="default" w:ascii="Times New Roman" w:hAnsi="Times New Roman" w:eastAsia="宋体" w:cs="Times New Roman"/>
                <w:color w:val="auto"/>
                <w:spacing w:val="-2"/>
                <w:sz w:val="24"/>
                <w:szCs w:val="24"/>
                <w:highlight w:val="none"/>
              </w:rPr>
              <w:t>量和临界量比值（</w:t>
            </w:r>
            <w:r>
              <w:rPr>
                <w:rFonts w:hint="default" w:ascii="Times New Roman" w:hAnsi="Times New Roman" w:eastAsia="Times New Roman" w:cs="Times New Roman"/>
                <w:color w:val="auto"/>
                <w:spacing w:val="-2"/>
                <w:sz w:val="24"/>
                <w:szCs w:val="24"/>
                <w:highlight w:val="none"/>
              </w:rPr>
              <w:t>Q</w:t>
            </w:r>
            <w:r>
              <w:rPr>
                <w:rFonts w:hint="default" w:ascii="Times New Roman" w:hAnsi="Times New Roman" w:eastAsia="宋体" w:cs="Times New Roman"/>
                <w:color w:val="auto"/>
                <w:spacing w:val="-15"/>
                <w:sz w:val="24"/>
                <w:szCs w:val="24"/>
                <w:highlight w:val="none"/>
              </w:rPr>
              <w:t>）＜</w:t>
            </w: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，则该项目环境风险潜势为</w:t>
            </w:r>
            <w:r>
              <w:rPr>
                <w:rFonts w:hint="default" w:ascii="Times New Roman" w:hAnsi="Times New Roman" w:eastAsia="Times New Roman" w:cs="Times New Roman"/>
                <w:color w:val="auto"/>
                <w:spacing w:val="-2"/>
                <w:sz w:val="24"/>
                <w:szCs w:val="24"/>
                <w:highlight w:val="none"/>
              </w:rPr>
              <w:t>I</w:t>
            </w:r>
            <w:r>
              <w:rPr>
                <w:rFonts w:hint="default" w:ascii="Times New Roman" w:hAnsi="Times New Roman" w:eastAsia="宋体" w:cs="Times New Roman"/>
                <w:color w:val="auto"/>
                <w:spacing w:val="-2"/>
                <w:sz w:val="24"/>
                <w:szCs w:val="24"/>
                <w:highlight w:val="none"/>
              </w:rPr>
              <w:t>。</w:t>
            </w:r>
          </w:p>
          <w:p w14:paraId="7FA15228">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2</w:t>
            </w:r>
            <w:r>
              <w:rPr>
                <w:rFonts w:hint="default" w:ascii="Times New Roman" w:hAnsi="Times New Roman" w:eastAsia="宋体" w:cs="Times New Roman"/>
                <w:color w:val="auto"/>
                <w:spacing w:val="-1"/>
                <w:sz w:val="24"/>
                <w:szCs w:val="24"/>
                <w:highlight w:val="none"/>
              </w:rPr>
              <w:t>）环境风险评价工作等级</w:t>
            </w:r>
          </w:p>
          <w:p w14:paraId="25EE7607">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《建设项目环境风险评价技术导则》（</w:t>
            </w:r>
            <w:r>
              <w:rPr>
                <w:rFonts w:hint="default" w:ascii="Times New Roman" w:hAnsi="Times New Roman" w:eastAsia="Times New Roman" w:cs="Times New Roman"/>
                <w:color w:val="auto"/>
                <w:spacing w:val="-1"/>
                <w:sz w:val="24"/>
                <w:szCs w:val="24"/>
                <w:highlight w:val="none"/>
              </w:rPr>
              <w:t>HJ16</w:t>
            </w:r>
            <w:r>
              <w:rPr>
                <w:rFonts w:hint="default" w:ascii="Times New Roman" w:hAnsi="Times New Roman" w:eastAsia="Times New Roman" w:cs="Times New Roman"/>
                <w:color w:val="auto"/>
                <w:spacing w:val="-2"/>
                <w:sz w:val="24"/>
                <w:szCs w:val="24"/>
                <w:highlight w:val="none"/>
              </w:rPr>
              <w:t>9-2018</w:t>
            </w:r>
            <w:r>
              <w:rPr>
                <w:rFonts w:hint="default" w:ascii="Times New Roman" w:hAnsi="Times New Roman" w:eastAsia="宋体" w:cs="Times New Roman"/>
                <w:color w:val="auto"/>
                <w:spacing w:val="-2"/>
                <w:sz w:val="24"/>
                <w:szCs w:val="24"/>
                <w:highlight w:val="none"/>
              </w:rPr>
              <w:t>）中环境风险评价工</w:t>
            </w:r>
            <w:r>
              <w:rPr>
                <w:rFonts w:hint="default" w:ascii="Times New Roman" w:hAnsi="Times New Roman" w:eastAsia="宋体" w:cs="Times New Roman"/>
                <w:color w:val="auto"/>
                <w:spacing w:val="-1"/>
                <w:sz w:val="24"/>
                <w:szCs w:val="24"/>
                <w:highlight w:val="none"/>
              </w:rPr>
              <w:t>作级别划分的判据见表</w:t>
            </w:r>
            <w:r>
              <w:rPr>
                <w:rFonts w:hint="default" w:ascii="Times New Roman" w:hAnsi="Times New Roman" w:eastAsia="Times New Roman" w:cs="Times New Roman"/>
                <w:color w:val="auto"/>
                <w:spacing w:val="-1"/>
                <w:sz w:val="24"/>
                <w:szCs w:val="24"/>
                <w:highlight w:val="none"/>
              </w:rPr>
              <w:t>4-1</w:t>
            </w:r>
            <w:r>
              <w:rPr>
                <w:rFonts w:hint="default" w:ascii="Times New Roman" w:hAnsi="Times New Roman" w:eastAsia="宋体" w:cs="Times New Roman"/>
                <w:color w:val="auto"/>
                <w:spacing w:val="-1"/>
                <w:sz w:val="24"/>
                <w:szCs w:val="24"/>
                <w:highlight w:val="none"/>
                <w:lang w:val="en-US" w:eastAsia="zh-CN"/>
              </w:rPr>
              <w:t>2</w:t>
            </w:r>
            <w:r>
              <w:rPr>
                <w:rFonts w:hint="default" w:ascii="Times New Roman" w:hAnsi="Times New Roman" w:eastAsia="宋体" w:cs="Times New Roman"/>
                <w:color w:val="auto"/>
                <w:spacing w:val="-1"/>
                <w:sz w:val="24"/>
                <w:szCs w:val="24"/>
                <w:highlight w:val="none"/>
              </w:rPr>
              <w:t>。</w:t>
            </w:r>
          </w:p>
          <w:p w14:paraId="7760E23E">
            <w:pPr>
              <w:keepNext w:val="0"/>
              <w:keepLines w:val="0"/>
              <w:pageBreakBefore w:val="0"/>
              <w:widowControl/>
              <w:kinsoku w:val="0"/>
              <w:wordWrap/>
              <w:overflowPunct/>
              <w:topLinePunct w:val="0"/>
              <w:autoSpaceDE w:val="0"/>
              <w:autoSpaceDN w:val="0"/>
              <w:bidi w:val="0"/>
              <w:snapToGrid w:val="0"/>
              <w:spacing w:line="240" w:lineRule="auto"/>
              <w:ind w:left="0" w:right="0" w:firstLine="442" w:firstLineChars="20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b/>
                <w:bCs/>
                <w:color w:val="auto"/>
                <w:spacing w:val="5"/>
                <w:sz w:val="21"/>
                <w:szCs w:val="21"/>
                <w:highlight w:val="none"/>
              </w:rPr>
              <w:t>4-</w:t>
            </w:r>
            <w:r>
              <w:rPr>
                <w:rFonts w:hint="default" w:ascii="Times New Roman" w:hAnsi="Times New Roman" w:cs="Times New Roman"/>
                <w:color w:val="auto"/>
                <w:highlight w:val="none"/>
                <w:lang w:val="en-US" w:eastAsia="zh-CN"/>
              </w:rPr>
              <w:t>1</w:t>
            </w:r>
            <w:r>
              <w:rPr>
                <w:rFonts w:hint="default" w:ascii="Times New Roman" w:hAnsi="Times New Roman" w:eastAsia="宋体" w:cs="Times New Roman"/>
                <w:b/>
                <w:bCs/>
                <w:color w:val="auto"/>
                <w:spacing w:val="5"/>
                <w:sz w:val="21"/>
                <w:szCs w:val="21"/>
                <w:highlight w:val="none"/>
                <w:lang w:val="en-US" w:eastAsia="zh-CN"/>
              </w:rPr>
              <w:t>2</w:t>
            </w:r>
            <w:r>
              <w:rPr>
                <w:rFonts w:hint="eastAsia" w:ascii="Times New Roman" w:hAnsi="Times New Roman" w:cs="Times New Roman"/>
                <w:b/>
                <w:bCs/>
                <w:color w:val="auto"/>
                <w:spacing w:val="5"/>
                <w:sz w:val="21"/>
                <w:szCs w:val="21"/>
                <w:highlight w:val="none"/>
                <w:lang w:val="en-US" w:eastAsia="zh-CN"/>
              </w:rPr>
              <w:t xml:space="preserve">   </w:t>
            </w:r>
            <w:r>
              <w:rPr>
                <w:rFonts w:hint="default" w:ascii="Times New Roman" w:hAnsi="Times New Roman" w:eastAsia="宋体" w:cs="Times New Roman"/>
                <w:b/>
                <w:bCs/>
                <w:color w:val="auto"/>
                <w:spacing w:val="5"/>
                <w:sz w:val="21"/>
                <w:szCs w:val="21"/>
                <w:highlight w:val="none"/>
              </w:rPr>
              <w:t>评价工作等级</w:t>
            </w:r>
            <w:r>
              <w:rPr>
                <w:rFonts w:hint="default" w:ascii="Times New Roman" w:hAnsi="Times New Roman" w:eastAsia="宋体" w:cs="Times New Roman"/>
                <w:b/>
                <w:bCs/>
                <w:color w:val="auto"/>
                <w:spacing w:val="4"/>
                <w:sz w:val="21"/>
                <w:szCs w:val="21"/>
                <w:highlight w:val="none"/>
              </w:rPr>
              <w:t>划分表</w:t>
            </w:r>
          </w:p>
          <w:tbl>
            <w:tblPr>
              <w:tblStyle w:val="54"/>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1"/>
              <w:gridCol w:w="1472"/>
              <w:gridCol w:w="1472"/>
              <w:gridCol w:w="1492"/>
            </w:tblGrid>
            <w:tr w14:paraId="4DBA8E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76" w:type="dxa"/>
                  <w:tcBorders>
                    <w:bottom w:val="single" w:color="000000" w:sz="12" w:space="0"/>
                  </w:tcBorders>
                  <w:vAlign w:val="center"/>
                </w:tcPr>
                <w:p w14:paraId="4AB3CB39">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环境风险潜势</w:t>
                  </w:r>
                </w:p>
              </w:tc>
              <w:tc>
                <w:tcPr>
                  <w:tcW w:w="1471" w:type="dxa"/>
                  <w:tcBorders>
                    <w:bottom w:val="single" w:color="000000" w:sz="12" w:space="0"/>
                  </w:tcBorders>
                  <w:vAlign w:val="center"/>
                </w:tcPr>
                <w:p w14:paraId="7DF28CD0">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1"/>
                      <w:sz w:val="21"/>
                      <w:szCs w:val="21"/>
                      <w:highlight w:val="none"/>
                    </w:rPr>
                    <w:t>Ⅳ</w:t>
                  </w:r>
                  <w:r>
                    <w:rPr>
                      <w:rFonts w:hint="default" w:ascii="Times New Roman" w:hAnsi="Times New Roman" w:eastAsia="宋体" w:cs="Times New Roman"/>
                      <w:b/>
                      <w:bCs/>
                      <w:color w:val="auto"/>
                      <w:spacing w:val="1"/>
                      <w:sz w:val="21"/>
                      <w:szCs w:val="21"/>
                      <w:highlight w:val="none"/>
                    </w:rPr>
                    <w:t>、</w:t>
                  </w:r>
                  <w:r>
                    <w:rPr>
                      <w:rFonts w:hint="default" w:ascii="Times New Roman" w:hAnsi="Times New Roman" w:eastAsia="Times New Roman" w:cs="Times New Roman"/>
                      <w:b/>
                      <w:bCs/>
                      <w:color w:val="auto"/>
                      <w:spacing w:val="1"/>
                      <w:sz w:val="21"/>
                      <w:szCs w:val="21"/>
                      <w:highlight w:val="none"/>
                    </w:rPr>
                    <w:t>Ⅳ</w:t>
                  </w:r>
                  <w:r>
                    <w:rPr>
                      <w:rFonts w:hint="default" w:ascii="Times New Roman" w:hAnsi="Times New Roman" w:eastAsia="Times New Roman" w:cs="Times New Roman"/>
                      <w:b/>
                      <w:bCs/>
                      <w:color w:val="auto"/>
                      <w:spacing w:val="1"/>
                      <w:position w:val="6"/>
                      <w:sz w:val="21"/>
                      <w:szCs w:val="21"/>
                      <w:highlight w:val="none"/>
                    </w:rPr>
                    <w:t>+</w:t>
                  </w:r>
                </w:p>
              </w:tc>
              <w:tc>
                <w:tcPr>
                  <w:tcW w:w="1472" w:type="dxa"/>
                  <w:tcBorders>
                    <w:bottom w:val="single" w:color="000000" w:sz="12" w:space="0"/>
                  </w:tcBorders>
                  <w:vAlign w:val="center"/>
                </w:tcPr>
                <w:p w14:paraId="75CDCA51">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5"/>
                      <w:sz w:val="21"/>
                      <w:szCs w:val="21"/>
                      <w:highlight w:val="none"/>
                    </w:rPr>
                    <w:t>Ⅲ</w:t>
                  </w:r>
                </w:p>
              </w:tc>
              <w:tc>
                <w:tcPr>
                  <w:tcW w:w="1472" w:type="dxa"/>
                  <w:tcBorders>
                    <w:bottom w:val="single" w:color="000000" w:sz="12" w:space="0"/>
                  </w:tcBorders>
                  <w:vAlign w:val="center"/>
                </w:tcPr>
                <w:p w14:paraId="270DB834">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pacing w:val="2"/>
                      <w:sz w:val="21"/>
                      <w:szCs w:val="21"/>
                      <w:highlight w:val="none"/>
                    </w:rPr>
                    <w:t>Ⅱ</w:t>
                  </w:r>
                </w:p>
              </w:tc>
              <w:tc>
                <w:tcPr>
                  <w:tcW w:w="1487" w:type="dxa"/>
                  <w:tcBorders>
                    <w:bottom w:val="single" w:color="000000" w:sz="12" w:space="0"/>
                  </w:tcBorders>
                  <w:vAlign w:val="center"/>
                </w:tcPr>
                <w:p w14:paraId="10F4F733">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b/>
                      <w:bCs/>
                      <w:color w:val="auto"/>
                      <w:sz w:val="21"/>
                      <w:szCs w:val="21"/>
                      <w:highlight w:val="none"/>
                    </w:rPr>
                    <w:t>Ⅰ</w:t>
                  </w:r>
                </w:p>
              </w:tc>
            </w:tr>
            <w:tr w14:paraId="666B5C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476" w:type="dxa"/>
                  <w:tcBorders>
                    <w:top w:val="single" w:color="000000" w:sz="12" w:space="0"/>
                    <w:tl2br w:val="nil"/>
                    <w:tr2bl w:val="nil"/>
                  </w:tcBorders>
                  <w:vAlign w:val="center"/>
                </w:tcPr>
                <w:p w14:paraId="1AB99918">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评价工作等级</w:t>
                  </w:r>
                </w:p>
              </w:tc>
              <w:tc>
                <w:tcPr>
                  <w:tcW w:w="1471" w:type="dxa"/>
                  <w:tcBorders>
                    <w:top w:val="single" w:color="000000" w:sz="12" w:space="0"/>
                    <w:tl2br w:val="nil"/>
                    <w:tr2bl w:val="nil"/>
                  </w:tcBorders>
                  <w:vAlign w:val="center"/>
                </w:tcPr>
                <w:p w14:paraId="2447BCC7">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position w:val="-4"/>
                      <w:sz w:val="21"/>
                      <w:szCs w:val="21"/>
                      <w:highlight w:val="none"/>
                    </w:rPr>
                    <w:t>一</w:t>
                  </w:r>
                </w:p>
              </w:tc>
              <w:tc>
                <w:tcPr>
                  <w:tcW w:w="1472" w:type="dxa"/>
                  <w:tcBorders>
                    <w:top w:val="single" w:color="000000" w:sz="12" w:space="0"/>
                    <w:tl2br w:val="nil"/>
                    <w:tr2bl w:val="nil"/>
                  </w:tcBorders>
                  <w:vAlign w:val="center"/>
                </w:tcPr>
                <w:p w14:paraId="7FC8FD00">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w:t>
                  </w:r>
                </w:p>
              </w:tc>
              <w:tc>
                <w:tcPr>
                  <w:tcW w:w="1472" w:type="dxa"/>
                  <w:tcBorders>
                    <w:top w:val="single" w:color="000000" w:sz="12" w:space="0"/>
                    <w:tl2br w:val="nil"/>
                    <w:tr2bl w:val="nil"/>
                  </w:tcBorders>
                  <w:vAlign w:val="center"/>
                </w:tcPr>
                <w:p w14:paraId="194315C2">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w:t>
                  </w:r>
                </w:p>
              </w:tc>
              <w:tc>
                <w:tcPr>
                  <w:tcW w:w="1487" w:type="dxa"/>
                  <w:tcBorders>
                    <w:top w:val="single" w:color="000000" w:sz="12" w:space="0"/>
                    <w:tl2br w:val="nil"/>
                    <w:tr2bl w:val="nil"/>
                  </w:tcBorders>
                  <w:vAlign w:val="center"/>
                </w:tcPr>
                <w:p w14:paraId="2C748087">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pacing w:val="5"/>
                      <w:sz w:val="21"/>
                      <w:szCs w:val="21"/>
                      <w:highlight w:val="none"/>
                    </w:rPr>
                    <w:t>简单分析</w:t>
                  </w:r>
                  <w:r>
                    <w:rPr>
                      <w:rFonts w:hint="default" w:ascii="Times New Roman" w:hAnsi="Times New Roman" w:eastAsia="Times New Roman" w:cs="Times New Roman"/>
                      <w:color w:val="auto"/>
                      <w:spacing w:val="5"/>
                      <w:position w:val="6"/>
                      <w:sz w:val="21"/>
                      <w:szCs w:val="21"/>
                      <w:highlight w:val="none"/>
                    </w:rPr>
                    <w:t>a</w:t>
                  </w:r>
                </w:p>
              </w:tc>
            </w:tr>
            <w:tr w14:paraId="7B01D5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78" w:type="dxa"/>
                  <w:gridSpan w:val="5"/>
                  <w:tcBorders>
                    <w:tl2br w:val="nil"/>
                    <w:tr2bl w:val="nil"/>
                  </w:tcBorders>
                  <w:vAlign w:val="center"/>
                </w:tcPr>
                <w:p w14:paraId="54BBE0E5">
                  <w:pPr>
                    <w:keepNext w:val="0"/>
                    <w:keepLines w:val="0"/>
                    <w:pageBreakBefore w:val="0"/>
                    <w:widowControl/>
                    <w:kinsoku w:val="0"/>
                    <w:wordWrap/>
                    <w:overflowPunct/>
                    <w:topLinePunct w:val="0"/>
                    <w:autoSpaceDE w:val="0"/>
                    <w:autoSpaceDN w:val="0"/>
                    <w:bidi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pacing w:val="10"/>
                      <w:sz w:val="21"/>
                      <w:szCs w:val="21"/>
                      <w:highlight w:val="none"/>
                    </w:rPr>
                    <w:t>a</w:t>
                  </w:r>
                  <w:r>
                    <w:rPr>
                      <w:rFonts w:hint="default" w:ascii="Times New Roman" w:hAnsi="Times New Roman" w:eastAsia="宋体" w:cs="Times New Roman"/>
                      <w:color w:val="auto"/>
                      <w:spacing w:val="10"/>
                      <w:sz w:val="21"/>
                      <w:szCs w:val="21"/>
                      <w:highlight w:val="none"/>
                    </w:rPr>
                    <w:t>是相对于详细评价工作内容而言，在描述危险物质、环境影响途径、环境危害</w:t>
                  </w:r>
                  <w:r>
                    <w:rPr>
                      <w:rFonts w:hint="default" w:ascii="Times New Roman" w:hAnsi="Times New Roman" w:eastAsia="宋体" w:cs="Times New Roman"/>
                      <w:color w:val="auto"/>
                      <w:spacing w:val="8"/>
                      <w:sz w:val="21"/>
                      <w:szCs w:val="21"/>
                      <w:highlight w:val="none"/>
                    </w:rPr>
                    <w:t>后果、风险防范措施等方面给出定性的说明。</w:t>
                  </w:r>
                </w:p>
              </w:tc>
            </w:tr>
          </w:tbl>
          <w:p w14:paraId="0ADF826C">
            <w:pPr>
              <w:keepNext w:val="0"/>
              <w:keepLines w:val="0"/>
              <w:pageBreakBefore w:val="0"/>
              <w:widowControl/>
              <w:kinsoku w:val="0"/>
              <w:wordWrap/>
              <w:overflowPunct/>
              <w:topLinePunct w:val="0"/>
              <w:autoSpaceDE w:val="0"/>
              <w:autoSpaceDN w:val="0"/>
              <w:bidi w:val="0"/>
              <w:snapToGrid w:val="0"/>
              <w:spacing w:line="360" w:lineRule="auto"/>
              <w:ind w:left="0" w:right="0" w:firstLine="52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0"/>
                <w:sz w:val="24"/>
                <w:szCs w:val="24"/>
                <w:highlight w:val="none"/>
              </w:rPr>
              <w:t>本项目环境风险潜势为</w:t>
            </w:r>
            <w:r>
              <w:rPr>
                <w:rFonts w:hint="default" w:ascii="Times New Roman" w:hAnsi="Times New Roman" w:eastAsia="Times New Roman" w:cs="Times New Roman"/>
                <w:color w:val="auto"/>
                <w:spacing w:val="10"/>
                <w:sz w:val="24"/>
                <w:szCs w:val="24"/>
                <w:highlight w:val="none"/>
              </w:rPr>
              <w:t>Ⅰ</w:t>
            </w:r>
            <w:r>
              <w:rPr>
                <w:rFonts w:hint="default" w:ascii="Times New Roman" w:hAnsi="Times New Roman" w:eastAsia="宋体" w:cs="Times New Roman"/>
                <w:color w:val="auto"/>
                <w:spacing w:val="10"/>
                <w:sz w:val="24"/>
                <w:szCs w:val="24"/>
                <w:highlight w:val="none"/>
              </w:rPr>
              <w:t>,根据《建设项目环境风险评价技术</w:t>
            </w:r>
            <w:r>
              <w:rPr>
                <w:rFonts w:hint="default" w:ascii="Times New Roman" w:hAnsi="Times New Roman" w:eastAsia="宋体" w:cs="Times New Roman"/>
                <w:color w:val="auto"/>
                <w:spacing w:val="9"/>
                <w:sz w:val="24"/>
                <w:szCs w:val="24"/>
                <w:highlight w:val="none"/>
              </w:rPr>
              <w:t>导则》</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z w:val="24"/>
                <w:szCs w:val="24"/>
                <w:highlight w:val="none"/>
              </w:rPr>
              <w:t>HJ</w:t>
            </w:r>
            <w:r>
              <w:rPr>
                <w:rFonts w:hint="default" w:ascii="Times New Roman" w:hAnsi="Times New Roman" w:eastAsia="Times New Roman" w:cs="Times New Roman"/>
                <w:color w:val="auto"/>
                <w:spacing w:val="2"/>
                <w:sz w:val="24"/>
                <w:szCs w:val="24"/>
                <w:highlight w:val="none"/>
              </w:rPr>
              <w:t>/T169-2018</w:t>
            </w:r>
            <w:r>
              <w:rPr>
                <w:rFonts w:hint="default" w:ascii="Times New Roman" w:hAnsi="Times New Roman" w:eastAsia="宋体" w:cs="Times New Roman"/>
                <w:color w:val="auto"/>
                <w:spacing w:val="2"/>
                <w:sz w:val="24"/>
                <w:szCs w:val="24"/>
                <w:highlight w:val="none"/>
              </w:rPr>
              <w:t>）环境风险评价工作级别划分的判据，确定本工程环</w:t>
            </w:r>
            <w:r>
              <w:rPr>
                <w:rFonts w:hint="default" w:ascii="Times New Roman" w:hAnsi="Times New Roman" w:eastAsia="宋体" w:cs="Times New Roman"/>
                <w:color w:val="auto"/>
                <w:spacing w:val="1"/>
                <w:sz w:val="24"/>
                <w:szCs w:val="24"/>
                <w:highlight w:val="none"/>
              </w:rPr>
              <w:t>境风险</w:t>
            </w:r>
            <w:r>
              <w:rPr>
                <w:rFonts w:hint="default" w:ascii="Times New Roman" w:hAnsi="Times New Roman" w:eastAsia="宋体" w:cs="Times New Roman"/>
                <w:color w:val="auto"/>
                <w:spacing w:val="-1"/>
                <w:sz w:val="24"/>
                <w:szCs w:val="24"/>
                <w:highlight w:val="none"/>
              </w:rPr>
              <w:t>评价工作级别为简单分析。</w:t>
            </w:r>
          </w:p>
          <w:p w14:paraId="075EC275">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3</w:t>
            </w:r>
            <w:r>
              <w:rPr>
                <w:rFonts w:hint="default" w:ascii="Times New Roman" w:hAnsi="Times New Roman" w:eastAsia="宋体" w:cs="Times New Roman"/>
                <w:color w:val="auto"/>
                <w:spacing w:val="-1"/>
                <w:sz w:val="24"/>
                <w:szCs w:val="24"/>
                <w:highlight w:val="none"/>
              </w:rPr>
              <w:t>）环境风险物质识别</w:t>
            </w:r>
          </w:p>
          <w:p w14:paraId="6C36318C">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根据《建设项目环境风险评价技术导则》（</w:t>
            </w:r>
            <w:r>
              <w:rPr>
                <w:rFonts w:hint="default" w:ascii="Times New Roman" w:hAnsi="Times New Roman" w:eastAsia="Times New Roman" w:cs="Times New Roman"/>
                <w:color w:val="auto"/>
                <w:sz w:val="24"/>
                <w:szCs w:val="24"/>
                <w:highlight w:val="none"/>
              </w:rPr>
              <w:t>HJ169</w:t>
            </w:r>
            <w:r>
              <w:rPr>
                <w:rFonts w:hint="default" w:ascii="Times New Roman" w:hAnsi="Times New Roman" w:eastAsia="Times New Roman" w:cs="Times New Roman"/>
                <w:color w:val="auto"/>
                <w:spacing w:val="-1"/>
                <w:sz w:val="24"/>
                <w:szCs w:val="24"/>
                <w:highlight w:val="none"/>
              </w:rPr>
              <w:t>-2018</w:t>
            </w:r>
            <w:r>
              <w:rPr>
                <w:rFonts w:hint="default" w:ascii="Times New Roman" w:hAnsi="Times New Roman" w:eastAsia="宋体" w:cs="Times New Roman"/>
                <w:color w:val="auto"/>
                <w:spacing w:val="-1"/>
                <w:sz w:val="24"/>
                <w:szCs w:val="24"/>
                <w:highlight w:val="none"/>
              </w:rPr>
              <w:t>）内容，本项目涉及的危险物质为废机油。</w:t>
            </w:r>
          </w:p>
          <w:p w14:paraId="4866F0FD">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b/>
                <w:bCs/>
                <w:color w:val="auto"/>
                <w:spacing w:val="-2"/>
                <w:sz w:val="24"/>
                <w:szCs w:val="24"/>
                <w:highlight w:val="none"/>
              </w:rPr>
            </w:pPr>
            <w:r>
              <w:rPr>
                <w:rFonts w:hint="default" w:ascii="Times New Roman" w:hAnsi="Times New Roman" w:eastAsia="Times New Roman" w:cs="Times New Roman"/>
                <w:b/>
                <w:bCs/>
                <w:color w:val="auto"/>
                <w:spacing w:val="-2"/>
                <w:sz w:val="24"/>
                <w:szCs w:val="24"/>
                <w:highlight w:val="none"/>
              </w:rPr>
              <w:t>6.4</w:t>
            </w:r>
            <w:r>
              <w:rPr>
                <w:rFonts w:hint="default" w:ascii="Times New Roman" w:hAnsi="Times New Roman" w:eastAsia="宋体" w:cs="Times New Roman"/>
                <w:b/>
                <w:bCs/>
                <w:color w:val="auto"/>
                <w:spacing w:val="-2"/>
                <w:sz w:val="24"/>
                <w:szCs w:val="24"/>
                <w:highlight w:val="none"/>
              </w:rPr>
              <w:t>环境风险影响分析</w:t>
            </w:r>
          </w:p>
          <w:p w14:paraId="2DD7710F">
            <w:pPr>
              <w:keepNext w:val="0"/>
              <w:keepLines w:val="0"/>
              <w:pageBreakBefore w:val="0"/>
              <w:widowControl/>
              <w:kinsoku w:val="0"/>
              <w:wordWrap/>
              <w:overflowPunct/>
              <w:topLinePunct w:val="0"/>
              <w:autoSpaceDE w:val="0"/>
              <w:autoSpaceDN w:val="0"/>
              <w:bidi w:val="0"/>
              <w:adjustRightInd/>
              <w:snapToGrid w:val="0"/>
              <w:spacing w:line="360" w:lineRule="auto"/>
              <w:ind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）危险废物管理、处置不善风险分析</w:t>
            </w:r>
          </w:p>
          <w:p w14:paraId="634BBEDF">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项目区在运营期中产生的废机油、废活性炭、废催化剂属于</w:t>
            </w:r>
            <w:r>
              <w:rPr>
                <w:rFonts w:hint="default" w:ascii="Times New Roman" w:hAnsi="Times New Roman" w:eastAsia="宋体" w:cs="Times New Roman"/>
                <w:color w:val="auto"/>
                <w:sz w:val="24"/>
                <w:szCs w:val="24"/>
                <w:highlight w:val="none"/>
              </w:rPr>
              <w:t>危险废物，</w:t>
            </w:r>
            <w:r>
              <w:rPr>
                <w:rFonts w:hint="default" w:ascii="Times New Roman" w:hAnsi="Times New Roman" w:eastAsia="宋体" w:cs="Times New Roman"/>
                <w:color w:val="auto"/>
                <w:spacing w:val="1"/>
                <w:sz w:val="24"/>
                <w:szCs w:val="24"/>
                <w:highlight w:val="none"/>
              </w:rPr>
              <w:t>废活性炭、废催化剂</w:t>
            </w:r>
            <w:r>
              <w:rPr>
                <w:rFonts w:hint="default" w:ascii="Times New Roman" w:hAnsi="Times New Roman" w:eastAsia="宋体" w:cs="Times New Roman"/>
                <w:color w:val="auto"/>
                <w:spacing w:val="-5"/>
                <w:sz w:val="24"/>
                <w:szCs w:val="24"/>
                <w:highlight w:val="none"/>
              </w:rPr>
              <w:t>定期委托危废</w:t>
            </w:r>
            <w:r>
              <w:rPr>
                <w:rFonts w:hint="default" w:ascii="Times New Roman" w:hAnsi="Times New Roman" w:cs="Times New Roman"/>
                <w:color w:val="auto"/>
                <w:spacing w:val="-5"/>
                <w:sz w:val="24"/>
                <w:szCs w:val="24"/>
                <w:highlight w:val="none"/>
                <w:lang w:val="en-US" w:eastAsia="zh-CN"/>
              </w:rPr>
              <w:t>资质单位处置，</w:t>
            </w:r>
            <w:r>
              <w:rPr>
                <w:rFonts w:hint="default" w:ascii="Times New Roman" w:hAnsi="Times New Roman" w:eastAsia="宋体" w:cs="Times New Roman"/>
                <w:color w:val="auto"/>
                <w:spacing w:val="1"/>
                <w:sz w:val="24"/>
                <w:szCs w:val="24"/>
                <w:highlight w:val="none"/>
              </w:rPr>
              <w:t>废机</w:t>
            </w:r>
            <w:r>
              <w:rPr>
                <w:rFonts w:hint="default" w:ascii="Times New Roman" w:hAnsi="Times New Roman" w:eastAsia="宋体" w:cs="Times New Roman"/>
                <w:color w:val="auto"/>
                <w:sz w:val="24"/>
                <w:szCs w:val="24"/>
                <w:highlight w:val="none"/>
              </w:rPr>
              <w:t>油在</w:t>
            </w:r>
            <w:r>
              <w:rPr>
                <w:rFonts w:hint="default" w:ascii="Times New Roman" w:hAnsi="Times New Roman" w:cs="Times New Roman"/>
                <w:color w:val="auto"/>
                <w:spacing w:val="-3"/>
                <w:sz w:val="24"/>
                <w:szCs w:val="24"/>
                <w:highlight w:val="none"/>
                <w:lang w:eastAsia="zh-CN"/>
              </w:rPr>
              <w:t>危废暂存点</w:t>
            </w:r>
            <w:r>
              <w:rPr>
                <w:rFonts w:hint="default" w:ascii="Times New Roman" w:hAnsi="Times New Roman" w:eastAsia="宋体" w:cs="Times New Roman"/>
                <w:color w:val="auto"/>
                <w:spacing w:val="-3"/>
                <w:sz w:val="24"/>
                <w:szCs w:val="24"/>
                <w:highlight w:val="none"/>
              </w:rPr>
              <w:t>内暂存，定期交危废处置单位清运处置。若</w:t>
            </w:r>
            <w:r>
              <w:rPr>
                <w:rFonts w:hint="default" w:ascii="Times New Roman" w:hAnsi="Times New Roman" w:eastAsia="宋体" w:cs="Times New Roman"/>
                <w:color w:val="auto"/>
                <w:spacing w:val="-4"/>
                <w:sz w:val="24"/>
                <w:szCs w:val="24"/>
                <w:highlight w:val="none"/>
              </w:rPr>
              <w:t>管理、处置不</w:t>
            </w:r>
            <w:r>
              <w:rPr>
                <w:rFonts w:hint="default" w:ascii="Times New Roman" w:hAnsi="Times New Roman" w:eastAsia="宋体" w:cs="Times New Roman"/>
                <w:color w:val="auto"/>
                <w:spacing w:val="-1"/>
                <w:sz w:val="24"/>
                <w:szCs w:val="24"/>
                <w:highlight w:val="none"/>
              </w:rPr>
              <w:t>善，发生泄漏、丢失，将会对周围环境及人体</w:t>
            </w:r>
            <w:r>
              <w:rPr>
                <w:rFonts w:hint="default" w:ascii="Times New Roman" w:hAnsi="Times New Roman" w:cs="Times New Roman"/>
                <w:color w:val="auto"/>
                <w:spacing w:val="-1"/>
                <w:sz w:val="24"/>
                <w:szCs w:val="24"/>
                <w:highlight w:val="none"/>
                <w:lang w:eastAsia="zh-CN"/>
              </w:rPr>
              <w:t>健康</w:t>
            </w:r>
            <w:r>
              <w:rPr>
                <w:rFonts w:hint="default" w:ascii="Times New Roman" w:hAnsi="Times New Roman" w:eastAsia="宋体" w:cs="Times New Roman"/>
                <w:color w:val="auto"/>
                <w:spacing w:val="-1"/>
                <w:sz w:val="24"/>
                <w:szCs w:val="24"/>
                <w:highlight w:val="none"/>
              </w:rPr>
              <w:t>造成危害。</w:t>
            </w:r>
          </w:p>
          <w:p w14:paraId="5E3F130A">
            <w:pPr>
              <w:keepNext w:val="0"/>
              <w:keepLines w:val="0"/>
              <w:pageBreakBefore w:val="0"/>
              <w:kinsoku/>
              <w:overflowPunct/>
              <w:bidi w:val="0"/>
              <w:spacing w:line="360" w:lineRule="auto"/>
              <w:ind w:left="0" w:right="0" w:firstLine="472" w:firstLineChars="200"/>
              <w:rPr>
                <w:rFonts w:hint="default" w:ascii="Times New Roman" w:hAnsi="Times New Roman" w:cs="Times New Roman"/>
                <w:color w:val="auto"/>
                <w:spacing w:val="0"/>
                <w:w w:val="100"/>
                <w:position w:val="0"/>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2</w:t>
            </w:r>
            <w:r>
              <w:rPr>
                <w:rFonts w:hint="default" w:ascii="Times New Roman" w:hAnsi="Times New Roman" w:eastAsia="宋体" w:cs="Times New Roman"/>
                <w:color w:val="auto"/>
                <w:spacing w:val="-2"/>
                <w:sz w:val="24"/>
                <w:szCs w:val="24"/>
                <w:highlight w:val="none"/>
              </w:rPr>
              <w:t>）</w:t>
            </w:r>
            <w:r>
              <w:rPr>
                <w:rFonts w:hint="default" w:ascii="Times New Roman" w:hAnsi="Times New Roman" w:cs="Times New Roman"/>
                <w:color w:val="auto"/>
                <w:spacing w:val="0"/>
                <w:w w:val="100"/>
                <w:position w:val="0"/>
                <w:sz w:val="24"/>
                <w:szCs w:val="24"/>
                <w:highlight w:val="none"/>
              </w:rPr>
              <w:t>火灾事故对环境的影响。</w:t>
            </w:r>
          </w:p>
          <w:p w14:paraId="2BA83A5D">
            <w:pPr>
              <w:keepNext w:val="0"/>
              <w:keepLines w:val="0"/>
              <w:pageBreakBefore w:val="0"/>
              <w:kinsoku/>
              <w:overflowPunct/>
              <w:bidi w:val="0"/>
              <w:spacing w:line="360" w:lineRule="auto"/>
              <w:ind w:left="0" w:right="0" w:firstLine="480" w:firstLineChars="200"/>
              <w:rPr>
                <w:rFonts w:hint="default" w:ascii="Times New Roman" w:hAnsi="Times New Roman" w:eastAsia="宋体" w:cs="Times New Roman"/>
                <w:color w:val="auto"/>
                <w:spacing w:val="-2"/>
                <w:sz w:val="24"/>
                <w:szCs w:val="24"/>
                <w:highlight w:val="none"/>
              </w:rPr>
            </w:pPr>
            <w:r>
              <w:rPr>
                <w:rFonts w:hint="default" w:ascii="Times New Roman" w:hAnsi="Times New Roman" w:cs="Times New Roman"/>
                <w:color w:val="auto"/>
                <w:spacing w:val="0"/>
                <w:w w:val="100"/>
                <w:position w:val="0"/>
                <w:sz w:val="24"/>
                <w:szCs w:val="24"/>
                <w:highlight w:val="none"/>
              </w:rPr>
              <w:t>本项目废润滑油泄漏</w:t>
            </w:r>
            <w:r>
              <w:rPr>
                <w:rFonts w:hint="default" w:ascii="Times New Roman" w:hAnsi="Times New Roman" w:cs="Times New Roman"/>
                <w:color w:val="auto"/>
                <w:spacing w:val="0"/>
                <w:w w:val="100"/>
                <w:position w:val="0"/>
                <w:sz w:val="24"/>
                <w:szCs w:val="24"/>
                <w:highlight w:val="none"/>
                <w:lang w:val="en-US" w:eastAsia="zh-CN"/>
              </w:rPr>
              <w:t>引发</w:t>
            </w:r>
            <w:r>
              <w:rPr>
                <w:rFonts w:hint="default" w:ascii="Times New Roman" w:hAnsi="Times New Roman" w:cs="Times New Roman"/>
                <w:color w:val="auto"/>
                <w:spacing w:val="0"/>
                <w:w w:val="100"/>
                <w:position w:val="0"/>
                <w:sz w:val="24"/>
                <w:szCs w:val="24"/>
                <w:highlight w:val="none"/>
              </w:rPr>
              <w:t>火灾</w:t>
            </w:r>
            <w:r>
              <w:rPr>
                <w:rFonts w:hint="default" w:ascii="Times New Roman" w:hAnsi="Times New Roman" w:cs="Times New Roman"/>
                <w:color w:val="auto"/>
                <w:spacing w:val="0"/>
                <w:w w:val="100"/>
                <w:position w:val="0"/>
                <w:sz w:val="24"/>
                <w:szCs w:val="24"/>
                <w:highlight w:val="none"/>
                <w:lang w:eastAsia="zh-CN"/>
              </w:rPr>
              <w:t>；</w:t>
            </w:r>
            <w:r>
              <w:rPr>
                <w:rFonts w:hint="default" w:ascii="Times New Roman" w:hAnsi="Times New Roman" w:cs="Times New Roman"/>
                <w:color w:val="auto"/>
                <w:spacing w:val="0"/>
                <w:w w:val="100"/>
                <w:position w:val="0"/>
                <w:sz w:val="24"/>
                <w:szCs w:val="24"/>
                <w:highlight w:val="none"/>
                <w:lang w:val="en-US" w:eastAsia="zh-CN"/>
              </w:rPr>
              <w:t>火灾引发的聚乙烯颗粒、聚乙烯产品燃烧</w:t>
            </w:r>
            <w:r>
              <w:rPr>
                <w:rFonts w:hint="default" w:ascii="Times New Roman" w:hAnsi="Times New Roman" w:cs="Times New Roman"/>
                <w:color w:val="auto"/>
                <w:spacing w:val="0"/>
                <w:w w:val="100"/>
                <w:position w:val="0"/>
                <w:sz w:val="24"/>
                <w:szCs w:val="24"/>
                <w:highlight w:val="none"/>
              </w:rPr>
              <w:t>等风险，废润滑油储存期间若发生泄漏，则容易导致火灾等风险事故；主要为火灾，在未及时采取对策措施的情况下对周围环境有一定的影响；引发的火灾会迅速蔓延，燃烧产物主要为CO</w:t>
            </w:r>
            <w:r>
              <w:rPr>
                <w:rFonts w:hint="default" w:ascii="Times New Roman" w:hAnsi="Times New Roman" w:cs="Times New Roman"/>
                <w:color w:val="auto"/>
                <w:spacing w:val="0"/>
                <w:w w:val="100"/>
                <w:position w:val="0"/>
                <w:sz w:val="24"/>
                <w:szCs w:val="24"/>
                <w:highlight w:val="none"/>
                <w:vertAlign w:val="subscript"/>
              </w:rPr>
              <w:t>2</w:t>
            </w:r>
            <w:r>
              <w:rPr>
                <w:rFonts w:hint="default" w:ascii="Times New Roman" w:hAnsi="Times New Roman" w:cs="Times New Roman"/>
                <w:color w:val="auto"/>
                <w:spacing w:val="0"/>
                <w:w w:val="100"/>
                <w:position w:val="0"/>
                <w:sz w:val="24"/>
                <w:szCs w:val="24"/>
                <w:highlight w:val="none"/>
              </w:rPr>
              <w:t>和</w:t>
            </w:r>
            <w:r>
              <w:rPr>
                <w:rFonts w:hint="default" w:ascii="Times New Roman" w:hAnsi="Times New Roman" w:cs="Times New Roman"/>
                <w:color w:val="auto"/>
                <w:spacing w:val="0"/>
                <w:w w:val="100"/>
                <w:position w:val="0"/>
                <w:sz w:val="24"/>
                <w:szCs w:val="24"/>
                <w:highlight w:val="none"/>
                <w:lang w:eastAsia="zh-CN"/>
              </w:rPr>
              <w:t>水蒸气</w:t>
            </w:r>
            <w:r>
              <w:rPr>
                <w:rFonts w:hint="default" w:ascii="Times New Roman" w:hAnsi="Times New Roman" w:cs="Times New Roman"/>
                <w:color w:val="auto"/>
                <w:spacing w:val="0"/>
                <w:w w:val="100"/>
                <w:position w:val="0"/>
                <w:sz w:val="24"/>
                <w:szCs w:val="24"/>
                <w:highlight w:val="none"/>
              </w:rPr>
              <w:t>，同时伴随浓烟，挥发至空气中，会造成大气污染，会对人的健康造成危害。正常状况下，项目</w:t>
            </w:r>
            <w:r>
              <w:rPr>
                <w:rFonts w:hint="eastAsia" w:ascii="Times New Roman" w:hAnsi="Times New Roman" w:cs="Times New Roman"/>
                <w:color w:val="auto"/>
                <w:spacing w:val="0"/>
                <w:w w:val="100"/>
                <w:position w:val="0"/>
                <w:sz w:val="24"/>
                <w:szCs w:val="24"/>
                <w:highlight w:val="none"/>
                <w:lang w:eastAsia="zh-CN"/>
              </w:rPr>
              <w:t>危废贮存点</w:t>
            </w:r>
            <w:r>
              <w:rPr>
                <w:rFonts w:hint="default" w:ascii="Times New Roman" w:hAnsi="Times New Roman" w:cs="Times New Roman"/>
                <w:color w:val="auto"/>
                <w:spacing w:val="0"/>
                <w:w w:val="100"/>
                <w:position w:val="0"/>
                <w:sz w:val="24"/>
                <w:szCs w:val="24"/>
                <w:highlight w:val="none"/>
              </w:rPr>
              <w:t>根据</w:t>
            </w:r>
            <w:r>
              <w:rPr>
                <w:rFonts w:hint="default" w:ascii="Times New Roman" w:hAnsi="Times New Roman" w:cs="Times New Roman"/>
                <w:color w:val="auto"/>
                <w:spacing w:val="0"/>
                <w:w w:val="100"/>
                <w:position w:val="0"/>
                <w:sz w:val="24"/>
                <w:szCs w:val="24"/>
                <w:highlight w:val="none"/>
                <w:lang w:val="zh-CN"/>
              </w:rPr>
              <w:t>危险废物贮存的</w:t>
            </w:r>
            <w:r>
              <w:rPr>
                <w:rFonts w:hint="default" w:ascii="Times New Roman" w:hAnsi="Times New Roman" w:cs="Times New Roman"/>
                <w:color w:val="auto"/>
                <w:spacing w:val="0"/>
                <w:w w:val="100"/>
                <w:position w:val="0"/>
                <w:sz w:val="24"/>
                <w:szCs w:val="24"/>
                <w:highlight w:val="none"/>
              </w:rPr>
              <w:t>相关规范及要求，已进行重点防渗处理，运行期间进行定期巡检，在正常贮存的状态下，不会对厂区内土壤环境产生影响。在非正常工况下，</w:t>
            </w:r>
            <w:r>
              <w:rPr>
                <w:rFonts w:hint="default" w:ascii="Times New Roman" w:hAnsi="Times New Roman" w:cs="Times New Roman"/>
                <w:color w:val="auto"/>
                <w:spacing w:val="0"/>
                <w:w w:val="100"/>
                <w:position w:val="0"/>
                <w:sz w:val="24"/>
                <w:szCs w:val="24"/>
                <w:highlight w:val="none"/>
                <w:lang w:val="zh-CN"/>
              </w:rPr>
              <w:t xml:space="preserve">当 </w:t>
            </w:r>
            <w:r>
              <w:rPr>
                <w:rFonts w:hint="eastAsia" w:ascii="Times New Roman" w:hAnsi="Times New Roman" w:cs="Times New Roman"/>
                <w:color w:val="auto"/>
                <w:spacing w:val="0"/>
                <w:w w:val="100"/>
                <w:position w:val="0"/>
                <w:sz w:val="24"/>
                <w:szCs w:val="24"/>
                <w:highlight w:val="none"/>
                <w:lang w:val="zh-CN"/>
              </w:rPr>
              <w:t>危废贮存点</w:t>
            </w:r>
            <w:r>
              <w:rPr>
                <w:rFonts w:hint="default" w:ascii="Times New Roman" w:hAnsi="Times New Roman" w:cs="Times New Roman"/>
                <w:color w:val="auto"/>
                <w:spacing w:val="0"/>
                <w:w w:val="100"/>
                <w:position w:val="0"/>
                <w:sz w:val="24"/>
                <w:szCs w:val="24"/>
                <w:highlight w:val="none"/>
                <w:lang w:val="zh-CN"/>
              </w:rPr>
              <w:t>防渗效果不好，或地面防渗层因系统老化、腐蚀等原因不能正常运行或保护效果达不到设计要求时，或出现跑冒滴漏等非正常状况下，将导致废润滑油泄漏入外环境，</w:t>
            </w:r>
            <w:r>
              <w:rPr>
                <w:rFonts w:hint="default" w:ascii="Times New Roman" w:hAnsi="Times New Roman" w:cs="Times New Roman"/>
                <w:color w:val="auto"/>
                <w:spacing w:val="0"/>
                <w:w w:val="100"/>
                <w:position w:val="0"/>
                <w:sz w:val="24"/>
                <w:szCs w:val="24"/>
                <w:highlight w:val="none"/>
              </w:rPr>
              <w:t>导致含有污染物的少量污水通过泄漏点进入包气带，从而污染土壤。</w:t>
            </w:r>
          </w:p>
          <w:p w14:paraId="7484736A">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lang w:eastAsia="zh-CN"/>
              </w:rPr>
              <w:t>（</w:t>
            </w:r>
            <w:r>
              <w:rPr>
                <w:rFonts w:hint="default"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lang w:eastAsia="zh-CN"/>
              </w:rPr>
              <w:t>）</w:t>
            </w:r>
            <w:r>
              <w:rPr>
                <w:rFonts w:hint="default" w:ascii="Times New Roman" w:hAnsi="Times New Roman" w:eastAsia="宋体" w:cs="Times New Roman"/>
                <w:color w:val="auto"/>
                <w:spacing w:val="-2"/>
                <w:sz w:val="24"/>
                <w:szCs w:val="24"/>
                <w:highlight w:val="none"/>
              </w:rPr>
              <w:t>废气非正常排放环境风险分析</w:t>
            </w:r>
          </w:p>
          <w:p w14:paraId="2AFE9094">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本项目生产过程中产生的非甲烷总烃经过环保设备处理后达标排放</w:t>
            </w:r>
            <w:r>
              <w:rPr>
                <w:rFonts w:hint="default" w:ascii="Times New Roman" w:hAnsi="Times New Roman" w:eastAsia="宋体" w:cs="Times New Roman"/>
                <w:color w:val="auto"/>
                <w:sz w:val="24"/>
                <w:szCs w:val="24"/>
                <w:highlight w:val="none"/>
              </w:rPr>
              <w:t>，若</w:t>
            </w:r>
            <w:r>
              <w:rPr>
                <w:rFonts w:hint="default" w:ascii="Times New Roman" w:hAnsi="Times New Roman" w:eastAsia="宋体" w:cs="Times New Roman"/>
                <w:color w:val="auto"/>
                <w:spacing w:val="1"/>
                <w:sz w:val="24"/>
                <w:szCs w:val="24"/>
                <w:highlight w:val="none"/>
              </w:rPr>
              <w:t>除尘设备产生故障，导致产生的非甲烷总烃未经处理直接排放，将对</w:t>
            </w:r>
            <w:r>
              <w:rPr>
                <w:rFonts w:hint="default" w:ascii="Times New Roman" w:hAnsi="Times New Roman" w:eastAsia="宋体" w:cs="Times New Roman"/>
                <w:color w:val="auto"/>
                <w:sz w:val="24"/>
                <w:szCs w:val="24"/>
                <w:highlight w:val="none"/>
              </w:rPr>
              <w:t>周边的</w:t>
            </w:r>
            <w:r>
              <w:rPr>
                <w:rFonts w:hint="default" w:ascii="Times New Roman" w:hAnsi="Times New Roman" w:eastAsia="宋体" w:cs="Times New Roman"/>
                <w:color w:val="auto"/>
                <w:spacing w:val="-2"/>
                <w:sz w:val="24"/>
                <w:szCs w:val="24"/>
                <w:highlight w:val="none"/>
              </w:rPr>
              <w:t>环境空气造成影响。</w:t>
            </w:r>
          </w:p>
          <w:p w14:paraId="2E7BB7F6">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lang w:val="en-US" w:eastAsia="zh-CN"/>
              </w:rPr>
              <w:t>4</w:t>
            </w:r>
            <w:r>
              <w:rPr>
                <w:rFonts w:hint="default" w:ascii="Times New Roman" w:hAnsi="Times New Roman" w:eastAsia="宋体" w:cs="Times New Roman"/>
                <w:color w:val="auto"/>
                <w:spacing w:val="-2"/>
                <w:sz w:val="24"/>
                <w:szCs w:val="24"/>
                <w:highlight w:val="none"/>
              </w:rPr>
              <w:t>）废水非正常排放环境风险分析</w:t>
            </w:r>
          </w:p>
          <w:p w14:paraId="265E1CC0">
            <w:pPr>
              <w:keepNext w:val="0"/>
              <w:keepLines w:val="0"/>
              <w:pageBreakBefore w:val="0"/>
              <w:widowControl/>
              <w:kinsoku w:val="0"/>
              <w:wordWrap/>
              <w:overflowPunct/>
              <w:topLinePunct w:val="0"/>
              <w:autoSpaceDE w:val="0"/>
              <w:autoSpaceDN w:val="0"/>
              <w:bidi w:val="0"/>
              <w:adjustRightInd/>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本项目生产循环使用不外排，生活污水直排园区污水管网，最终进</w:t>
            </w:r>
            <w:r>
              <w:rPr>
                <w:rFonts w:hint="default" w:ascii="Times New Roman" w:hAnsi="Times New Roman" w:eastAsia="宋体" w:cs="Times New Roman"/>
                <w:color w:val="auto"/>
                <w:sz w:val="24"/>
                <w:szCs w:val="24"/>
                <w:highlight w:val="none"/>
              </w:rPr>
              <w:t>入</w:t>
            </w:r>
            <w:r>
              <w:rPr>
                <w:rFonts w:hint="default" w:ascii="Times New Roman" w:hAnsi="Times New Roman" w:cs="Times New Roman"/>
                <w:color w:val="auto"/>
                <w:sz w:val="24"/>
                <w:szCs w:val="24"/>
                <w:highlight w:val="none"/>
                <w:lang w:eastAsia="zh-CN"/>
              </w:rPr>
              <w:t>昌吉市第二</w:t>
            </w:r>
            <w:r>
              <w:rPr>
                <w:rFonts w:hint="default" w:ascii="Times New Roman" w:hAnsi="Times New Roman" w:eastAsia="宋体" w:cs="Times New Roman"/>
                <w:color w:val="auto"/>
                <w:spacing w:val="1"/>
                <w:sz w:val="24"/>
                <w:szCs w:val="24"/>
                <w:highlight w:val="none"/>
              </w:rPr>
              <w:t>污水处理厂深度处理。若园区排水管网进水</w:t>
            </w:r>
            <w:r>
              <w:rPr>
                <w:rFonts w:hint="default" w:ascii="Times New Roman" w:hAnsi="Times New Roman" w:eastAsia="宋体" w:cs="Times New Roman"/>
                <w:color w:val="auto"/>
                <w:sz w:val="24"/>
                <w:szCs w:val="24"/>
                <w:highlight w:val="none"/>
              </w:rPr>
              <w:t>管损坏，会导致</w:t>
            </w:r>
            <w:r>
              <w:rPr>
                <w:rFonts w:hint="default" w:ascii="Times New Roman" w:hAnsi="Times New Roman" w:eastAsia="宋体" w:cs="Times New Roman"/>
                <w:color w:val="auto"/>
                <w:spacing w:val="-1"/>
                <w:sz w:val="24"/>
                <w:szCs w:val="24"/>
                <w:highlight w:val="none"/>
              </w:rPr>
              <w:t>污水流失，造成环境污染。</w:t>
            </w:r>
          </w:p>
          <w:p w14:paraId="3311D5BD">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lang w:val="en-US" w:eastAsia="zh-CN"/>
              </w:rPr>
              <w:t>5</w:t>
            </w:r>
            <w:r>
              <w:rPr>
                <w:rFonts w:hint="default" w:ascii="Times New Roman" w:hAnsi="Times New Roman" w:eastAsia="宋体" w:cs="Times New Roman"/>
                <w:color w:val="auto"/>
                <w:spacing w:val="-2"/>
                <w:sz w:val="24"/>
                <w:szCs w:val="24"/>
                <w:highlight w:val="none"/>
              </w:rPr>
              <w:t>）火灾环境风险影响分析</w:t>
            </w:r>
          </w:p>
          <w:p w14:paraId="51733A9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本项目为保证原料及时有效供应设置原料存放区、成品存放区，原</w:t>
            </w:r>
            <w:r>
              <w:rPr>
                <w:rFonts w:hint="default" w:ascii="Times New Roman" w:hAnsi="Times New Roman" w:eastAsia="宋体" w:cs="Times New Roman"/>
                <w:color w:val="auto"/>
                <w:sz w:val="24"/>
                <w:szCs w:val="24"/>
                <w:highlight w:val="none"/>
              </w:rPr>
              <w:t>料及</w:t>
            </w:r>
            <w:r>
              <w:rPr>
                <w:rFonts w:hint="default" w:ascii="Times New Roman" w:hAnsi="Times New Roman" w:eastAsia="宋体" w:cs="Times New Roman"/>
                <w:color w:val="auto"/>
                <w:spacing w:val="1"/>
                <w:sz w:val="24"/>
                <w:szCs w:val="24"/>
                <w:highlight w:val="none"/>
              </w:rPr>
              <w:t>成品储存过程中存在的环境风险为火灾问题。诱发火灾的因素主</w:t>
            </w:r>
            <w:r>
              <w:rPr>
                <w:rFonts w:hint="default" w:ascii="Times New Roman" w:hAnsi="Times New Roman" w:eastAsia="宋体" w:cs="Times New Roman"/>
                <w:color w:val="auto"/>
                <w:sz w:val="24"/>
                <w:szCs w:val="24"/>
                <w:highlight w:val="none"/>
              </w:rPr>
              <w:t>要有：违章</w:t>
            </w:r>
            <w:r>
              <w:rPr>
                <w:rFonts w:hint="default" w:ascii="Times New Roman" w:hAnsi="Times New Roman" w:eastAsia="宋体" w:cs="Times New Roman"/>
                <w:color w:val="auto"/>
                <w:spacing w:val="1"/>
                <w:sz w:val="24"/>
                <w:szCs w:val="24"/>
                <w:highlight w:val="none"/>
              </w:rPr>
              <w:t>吸烟、动火；使用气焊、电焊等进行维修时，未采取有效防护措</w:t>
            </w:r>
            <w:r>
              <w:rPr>
                <w:rFonts w:hint="default" w:ascii="Times New Roman" w:hAnsi="Times New Roman" w:eastAsia="宋体" w:cs="Times New Roman"/>
                <w:color w:val="auto"/>
                <w:sz w:val="24"/>
                <w:szCs w:val="24"/>
                <w:highlight w:val="none"/>
              </w:rPr>
              <w:t>施；电气线</w:t>
            </w:r>
            <w:r>
              <w:rPr>
                <w:rFonts w:hint="default" w:ascii="Times New Roman" w:hAnsi="Times New Roman" w:eastAsia="宋体" w:cs="Times New Roman"/>
                <w:color w:val="auto"/>
                <w:spacing w:val="1"/>
                <w:sz w:val="24"/>
                <w:szCs w:val="24"/>
                <w:highlight w:val="none"/>
              </w:rPr>
              <w:t>路和电气设施在开关断开、接触不良、短路、漏电时产生火花，</w:t>
            </w:r>
            <w:r>
              <w:rPr>
                <w:rFonts w:hint="default" w:ascii="Times New Roman" w:hAnsi="Times New Roman" w:eastAsia="宋体" w:cs="Times New Roman"/>
                <w:color w:val="auto"/>
                <w:sz w:val="24"/>
                <w:szCs w:val="24"/>
                <w:highlight w:val="none"/>
              </w:rPr>
              <w:t>以及静电放</w:t>
            </w:r>
            <w:r>
              <w:rPr>
                <w:rFonts w:hint="default" w:ascii="Times New Roman" w:hAnsi="Times New Roman" w:eastAsia="宋体" w:cs="Times New Roman"/>
                <w:color w:val="auto"/>
                <w:spacing w:val="-1"/>
                <w:sz w:val="24"/>
                <w:szCs w:val="24"/>
                <w:highlight w:val="none"/>
              </w:rPr>
              <w:t>电火花；未采取有效避雷措施，或者避雷措施失效而导致雷击失火等。</w:t>
            </w:r>
          </w:p>
          <w:p w14:paraId="000A18EB">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6.5</w:t>
            </w:r>
            <w:r>
              <w:rPr>
                <w:rFonts w:hint="default" w:ascii="Times New Roman" w:hAnsi="Times New Roman" w:eastAsia="宋体" w:cs="Times New Roman"/>
                <w:b/>
                <w:bCs/>
                <w:color w:val="auto"/>
                <w:spacing w:val="-2"/>
                <w:sz w:val="24"/>
                <w:szCs w:val="24"/>
                <w:highlight w:val="none"/>
              </w:rPr>
              <w:t>环境风险防控措施及应急要求</w:t>
            </w:r>
          </w:p>
          <w:p w14:paraId="0F597D76">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1</w:t>
            </w:r>
            <w:r>
              <w:rPr>
                <w:rFonts w:hint="default" w:ascii="Times New Roman" w:hAnsi="Times New Roman" w:eastAsia="宋体" w:cs="Times New Roman"/>
                <w:color w:val="auto"/>
                <w:spacing w:val="-2"/>
                <w:sz w:val="24"/>
                <w:szCs w:val="24"/>
                <w:highlight w:val="none"/>
              </w:rPr>
              <w:t>）危险废物管理、处置不善环境风险措施</w:t>
            </w:r>
          </w:p>
          <w:p w14:paraId="4C3C05FD">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①工程措施</w:t>
            </w:r>
          </w:p>
          <w:p w14:paraId="1886D748">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严格按照《危险废物贮存污染控制标准》（</w:t>
            </w:r>
            <w:r>
              <w:rPr>
                <w:rFonts w:hint="default" w:ascii="Times New Roman" w:hAnsi="Times New Roman" w:eastAsia="Times New Roman" w:cs="Times New Roman"/>
                <w:color w:val="auto"/>
                <w:spacing w:val="-1"/>
                <w:sz w:val="24"/>
                <w:szCs w:val="24"/>
                <w:highlight w:val="none"/>
              </w:rPr>
              <w:t>GB18597-2023</w:t>
            </w:r>
            <w:r>
              <w:rPr>
                <w:rFonts w:hint="default" w:ascii="Times New Roman" w:hAnsi="Times New Roman" w:eastAsia="宋体" w:cs="Times New Roman"/>
                <w:color w:val="auto"/>
                <w:spacing w:val="-1"/>
                <w:sz w:val="24"/>
                <w:szCs w:val="24"/>
                <w:highlight w:val="none"/>
              </w:rPr>
              <w:t>）相关要求设置，要求做到以下几点：</w:t>
            </w:r>
          </w:p>
          <w:p w14:paraId="3E92586F">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2"/>
                <w:sz w:val="24"/>
                <w:szCs w:val="24"/>
                <w:highlight w:val="none"/>
              </w:rPr>
              <w:t>O.</w:t>
            </w:r>
            <w:r>
              <w:rPr>
                <w:rFonts w:hint="default" w:ascii="Times New Roman" w:hAnsi="Times New Roman" w:cs="Times New Roman"/>
                <w:color w:val="auto"/>
                <w:spacing w:val="-2"/>
                <w:sz w:val="24"/>
                <w:szCs w:val="24"/>
                <w:highlight w:val="none"/>
                <w:lang w:eastAsia="zh-CN"/>
              </w:rPr>
              <w:t>危废暂存点</w:t>
            </w:r>
            <w:r>
              <w:rPr>
                <w:rFonts w:hint="default" w:ascii="Times New Roman" w:hAnsi="Times New Roman" w:eastAsia="宋体" w:cs="Times New Roman"/>
                <w:color w:val="auto"/>
                <w:spacing w:val="-2"/>
                <w:sz w:val="24"/>
                <w:szCs w:val="24"/>
                <w:highlight w:val="none"/>
              </w:rPr>
              <w:t>不同贮存分区之间应采取</w:t>
            </w:r>
            <w:r>
              <w:rPr>
                <w:rFonts w:hint="default" w:ascii="Times New Roman" w:hAnsi="Times New Roman" w:eastAsia="宋体" w:cs="Times New Roman"/>
                <w:color w:val="auto"/>
                <w:spacing w:val="-3"/>
                <w:sz w:val="24"/>
                <w:szCs w:val="24"/>
                <w:highlight w:val="none"/>
              </w:rPr>
              <w:t>隔离措施。隔离措施可根据危险</w:t>
            </w:r>
            <w:r>
              <w:rPr>
                <w:rFonts w:hint="default" w:ascii="Times New Roman" w:hAnsi="Times New Roman" w:eastAsia="宋体" w:cs="Times New Roman"/>
                <w:color w:val="auto"/>
                <w:spacing w:val="-1"/>
                <w:sz w:val="24"/>
                <w:szCs w:val="24"/>
                <w:highlight w:val="none"/>
              </w:rPr>
              <w:t>废物特性采用过道、隔板或隔墙等方式；</w:t>
            </w:r>
          </w:p>
          <w:p w14:paraId="4167E3CF">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P.</w:t>
            </w:r>
            <w:r>
              <w:rPr>
                <w:rFonts w:hint="default" w:ascii="Times New Roman" w:hAnsi="Times New Roman" w:cs="Times New Roman"/>
                <w:color w:val="auto"/>
                <w:spacing w:val="-1"/>
                <w:sz w:val="24"/>
                <w:szCs w:val="24"/>
                <w:highlight w:val="none"/>
                <w:lang w:eastAsia="zh-CN"/>
              </w:rPr>
              <w:t>危废暂存点</w:t>
            </w:r>
            <w:r>
              <w:rPr>
                <w:rFonts w:hint="default" w:ascii="Times New Roman" w:hAnsi="Times New Roman" w:eastAsia="宋体" w:cs="Times New Roman"/>
                <w:color w:val="auto"/>
                <w:spacing w:val="-1"/>
                <w:sz w:val="24"/>
                <w:szCs w:val="24"/>
                <w:highlight w:val="none"/>
              </w:rPr>
              <w:t>应根据危险废物的形态、物理化学性质、包装形</w:t>
            </w:r>
            <w:r>
              <w:rPr>
                <w:rFonts w:hint="default" w:ascii="Times New Roman" w:hAnsi="Times New Roman" w:eastAsia="宋体" w:cs="Times New Roman"/>
                <w:color w:val="auto"/>
                <w:spacing w:val="-2"/>
                <w:sz w:val="24"/>
                <w:szCs w:val="24"/>
                <w:highlight w:val="none"/>
              </w:rPr>
              <w:t>式和污染</w:t>
            </w:r>
            <w:r>
              <w:rPr>
                <w:rFonts w:hint="default" w:ascii="Times New Roman" w:hAnsi="Times New Roman" w:eastAsia="宋体" w:cs="Times New Roman"/>
                <w:color w:val="auto"/>
                <w:spacing w:val="1"/>
                <w:sz w:val="24"/>
                <w:szCs w:val="24"/>
                <w:highlight w:val="none"/>
              </w:rPr>
              <w:t>物迁移途径，采取必要的防风、防晒、防雨、防漏、防渗、防腐以及</w:t>
            </w:r>
            <w:r>
              <w:rPr>
                <w:rFonts w:hint="default" w:ascii="Times New Roman" w:hAnsi="Times New Roman" w:eastAsia="宋体" w:cs="Times New Roman"/>
                <w:color w:val="auto"/>
                <w:sz w:val="24"/>
                <w:szCs w:val="24"/>
                <w:highlight w:val="none"/>
              </w:rPr>
              <w:t>其他环</w:t>
            </w:r>
            <w:r>
              <w:rPr>
                <w:rFonts w:hint="default" w:ascii="Times New Roman" w:hAnsi="Times New Roman" w:eastAsia="宋体" w:cs="Times New Roman"/>
                <w:color w:val="auto"/>
                <w:spacing w:val="-1"/>
                <w:sz w:val="24"/>
                <w:szCs w:val="24"/>
                <w:highlight w:val="none"/>
              </w:rPr>
              <w:t>境污染防治措施，不应露天堆放危险废物；</w:t>
            </w:r>
            <w:r>
              <w:rPr>
                <w:rFonts w:hint="default" w:ascii="Times New Roman" w:hAnsi="Times New Roman" w:eastAsia="Times New Roman" w:cs="Times New Roman"/>
                <w:color w:val="auto"/>
                <w:spacing w:val="-2"/>
                <w:sz w:val="24"/>
                <w:szCs w:val="24"/>
                <w:highlight w:val="none"/>
              </w:rPr>
              <w:t>Q.</w:t>
            </w:r>
            <w:r>
              <w:rPr>
                <w:rFonts w:hint="default" w:ascii="Times New Roman" w:hAnsi="Times New Roman" w:cs="Times New Roman"/>
                <w:color w:val="auto"/>
                <w:spacing w:val="-2"/>
                <w:sz w:val="24"/>
                <w:szCs w:val="24"/>
                <w:highlight w:val="none"/>
                <w:lang w:eastAsia="zh-CN"/>
              </w:rPr>
              <w:t>危废暂存点</w:t>
            </w:r>
            <w:r>
              <w:rPr>
                <w:rFonts w:hint="default" w:ascii="Times New Roman" w:hAnsi="Times New Roman" w:eastAsia="宋体" w:cs="Times New Roman"/>
                <w:color w:val="auto"/>
                <w:spacing w:val="-2"/>
                <w:sz w:val="24"/>
                <w:szCs w:val="24"/>
                <w:highlight w:val="none"/>
              </w:rPr>
              <w:t>应根据危险废物的类别、</w:t>
            </w:r>
            <w:r>
              <w:rPr>
                <w:rFonts w:hint="default" w:ascii="Times New Roman" w:hAnsi="Times New Roman" w:eastAsia="宋体" w:cs="Times New Roman"/>
                <w:color w:val="auto"/>
                <w:spacing w:val="-3"/>
                <w:sz w:val="24"/>
                <w:szCs w:val="24"/>
                <w:highlight w:val="none"/>
              </w:rPr>
              <w:t>数量、形态、物理化学性质和污</w:t>
            </w:r>
            <w:r>
              <w:rPr>
                <w:rFonts w:hint="default" w:ascii="Times New Roman" w:hAnsi="Times New Roman" w:eastAsia="宋体" w:cs="Times New Roman"/>
                <w:color w:val="auto"/>
                <w:spacing w:val="-1"/>
                <w:sz w:val="24"/>
                <w:szCs w:val="24"/>
                <w:highlight w:val="none"/>
              </w:rPr>
              <w:t>染防治等要求设置必要的贮存分区，避免不相容的危险废物接触、混合；</w:t>
            </w:r>
          </w:p>
          <w:p w14:paraId="77EF9CD5">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2"/>
                <w:sz w:val="24"/>
                <w:szCs w:val="24"/>
                <w:highlight w:val="none"/>
              </w:rPr>
              <w:t>R.</w:t>
            </w:r>
            <w:r>
              <w:rPr>
                <w:rFonts w:hint="default" w:ascii="Times New Roman" w:hAnsi="Times New Roman" w:cs="Times New Roman"/>
                <w:color w:val="auto"/>
                <w:spacing w:val="-2"/>
                <w:sz w:val="24"/>
                <w:szCs w:val="24"/>
                <w:highlight w:val="none"/>
                <w:lang w:eastAsia="zh-CN"/>
              </w:rPr>
              <w:t>危废暂存点</w:t>
            </w:r>
            <w:r>
              <w:rPr>
                <w:rFonts w:hint="default" w:ascii="Times New Roman" w:hAnsi="Times New Roman" w:eastAsia="宋体" w:cs="Times New Roman"/>
                <w:color w:val="auto"/>
                <w:spacing w:val="-2"/>
                <w:sz w:val="24"/>
                <w:szCs w:val="24"/>
                <w:highlight w:val="none"/>
              </w:rPr>
              <w:t>贮存分区内地面、墙面</w:t>
            </w:r>
            <w:r>
              <w:rPr>
                <w:rFonts w:hint="default" w:ascii="Times New Roman" w:hAnsi="Times New Roman" w:cs="Times New Roman"/>
                <w:color w:val="auto"/>
                <w:spacing w:val="-2"/>
                <w:sz w:val="24"/>
                <w:szCs w:val="24"/>
                <w:highlight w:val="none"/>
                <w:lang w:eastAsia="zh-CN"/>
              </w:rPr>
              <w:t>裙角</w:t>
            </w:r>
            <w:r>
              <w:rPr>
                <w:rFonts w:hint="default" w:ascii="Times New Roman" w:hAnsi="Times New Roman" w:eastAsia="宋体" w:cs="Times New Roman"/>
                <w:color w:val="auto"/>
                <w:spacing w:val="-2"/>
                <w:sz w:val="24"/>
                <w:szCs w:val="24"/>
                <w:highlight w:val="none"/>
              </w:rPr>
              <w:t>、堵截泄漏的围堰、接触危险</w:t>
            </w:r>
            <w:r>
              <w:rPr>
                <w:rFonts w:hint="default" w:ascii="Times New Roman" w:hAnsi="Times New Roman" w:eastAsia="宋体" w:cs="Times New Roman"/>
                <w:color w:val="auto"/>
                <w:spacing w:val="-1"/>
                <w:sz w:val="24"/>
                <w:szCs w:val="24"/>
                <w:highlight w:val="none"/>
              </w:rPr>
              <w:t>废物的隔板和墙体等应采用坚固的材料建造，表面无裂；</w:t>
            </w:r>
          </w:p>
          <w:p w14:paraId="602EBCB2">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S.</w:t>
            </w:r>
            <w:r>
              <w:rPr>
                <w:rFonts w:hint="default" w:ascii="Times New Roman" w:hAnsi="Times New Roman" w:eastAsia="宋体" w:cs="Times New Roman"/>
                <w:color w:val="auto"/>
                <w:spacing w:val="-1"/>
                <w:sz w:val="24"/>
                <w:szCs w:val="24"/>
                <w:highlight w:val="none"/>
              </w:rPr>
              <w:t>贮存设施地面与裙脚应采取表面防</w:t>
            </w:r>
            <w:r>
              <w:rPr>
                <w:rFonts w:hint="default" w:ascii="Times New Roman" w:hAnsi="Times New Roman" w:eastAsia="宋体" w:cs="Times New Roman"/>
                <w:color w:val="auto"/>
                <w:spacing w:val="-2"/>
                <w:sz w:val="24"/>
                <w:szCs w:val="24"/>
                <w:highlight w:val="none"/>
              </w:rPr>
              <w:t>渗措施；表面防渗材料应与所接触</w:t>
            </w:r>
            <w:r>
              <w:rPr>
                <w:rFonts w:hint="default" w:ascii="Times New Roman" w:hAnsi="Times New Roman" w:eastAsia="宋体" w:cs="Times New Roman"/>
                <w:color w:val="auto"/>
                <w:spacing w:val="1"/>
                <w:sz w:val="24"/>
                <w:szCs w:val="24"/>
                <w:highlight w:val="none"/>
              </w:rPr>
              <w:t>的物料或污染物相容，可采用抗渗混凝土、高密度聚乙烯膜、钠基膨</w:t>
            </w:r>
            <w:r>
              <w:rPr>
                <w:rFonts w:hint="default" w:ascii="Times New Roman" w:hAnsi="Times New Roman" w:eastAsia="宋体" w:cs="Times New Roman"/>
                <w:color w:val="auto"/>
                <w:sz w:val="24"/>
                <w:szCs w:val="24"/>
                <w:highlight w:val="none"/>
              </w:rPr>
              <w:t>润土防</w:t>
            </w:r>
            <w:r>
              <w:rPr>
                <w:rFonts w:hint="default" w:ascii="Times New Roman" w:hAnsi="Times New Roman" w:eastAsia="宋体" w:cs="Times New Roman"/>
                <w:color w:val="auto"/>
                <w:spacing w:val="1"/>
                <w:sz w:val="24"/>
                <w:szCs w:val="24"/>
                <w:highlight w:val="none"/>
              </w:rPr>
              <w:t>水毯或其他防渗性能等效的材料。贮存的危险废物直接接触地面的，</w:t>
            </w:r>
            <w:r>
              <w:rPr>
                <w:rFonts w:hint="default" w:ascii="Times New Roman" w:hAnsi="Times New Roman" w:eastAsia="宋体" w:cs="Times New Roman"/>
                <w:color w:val="auto"/>
                <w:sz w:val="24"/>
                <w:szCs w:val="24"/>
                <w:highlight w:val="none"/>
              </w:rPr>
              <w:t>还应进</w:t>
            </w:r>
            <w:r>
              <w:rPr>
                <w:rFonts w:hint="default" w:ascii="Times New Roman" w:hAnsi="Times New Roman" w:eastAsia="宋体" w:cs="Times New Roman"/>
                <w:color w:val="auto"/>
                <w:spacing w:val="-3"/>
                <w:sz w:val="24"/>
                <w:szCs w:val="24"/>
                <w:highlight w:val="none"/>
              </w:rPr>
              <w:t>行基础防渗，防渗层为至少</w:t>
            </w:r>
            <w:r>
              <w:rPr>
                <w:rFonts w:hint="default" w:ascii="Times New Roman" w:hAnsi="Times New Roman" w:eastAsia="Times New Roman" w:cs="Times New Roman"/>
                <w:color w:val="auto"/>
                <w:spacing w:val="-3"/>
                <w:sz w:val="24"/>
                <w:szCs w:val="24"/>
                <w:highlight w:val="none"/>
              </w:rPr>
              <w:t>1m</w:t>
            </w:r>
            <w:r>
              <w:rPr>
                <w:rFonts w:hint="default" w:ascii="Times New Roman" w:hAnsi="Times New Roman" w:eastAsia="宋体" w:cs="Times New Roman"/>
                <w:color w:val="auto"/>
                <w:spacing w:val="-3"/>
                <w:sz w:val="24"/>
                <w:szCs w:val="24"/>
                <w:highlight w:val="none"/>
              </w:rPr>
              <w:t>厚黏土层（渗透系数不大于</w:t>
            </w:r>
            <w:r>
              <w:rPr>
                <w:rFonts w:hint="default" w:ascii="Times New Roman" w:hAnsi="Times New Roman" w:eastAsia="Times New Roman" w:cs="Times New Roman"/>
                <w:color w:val="auto"/>
                <w:spacing w:val="-3"/>
                <w:sz w:val="24"/>
                <w:szCs w:val="24"/>
                <w:highlight w:val="none"/>
              </w:rPr>
              <w:t>10</w:t>
            </w:r>
            <w:r>
              <w:rPr>
                <w:rFonts w:hint="default" w:ascii="Times New Roman" w:hAnsi="Times New Roman" w:eastAsia="Times New Roman" w:cs="Times New Roman"/>
                <w:color w:val="auto"/>
                <w:spacing w:val="-3"/>
                <w:position w:val="7"/>
                <w:sz w:val="24"/>
                <w:szCs w:val="24"/>
                <w:highlight w:val="none"/>
                <w:vertAlign w:val="superscript"/>
              </w:rPr>
              <w:t>-7</w:t>
            </w:r>
            <w:r>
              <w:rPr>
                <w:rFonts w:hint="default" w:ascii="Times New Roman" w:hAnsi="Times New Roman" w:eastAsia="Times New Roman" w:cs="Times New Roman"/>
                <w:color w:val="auto"/>
                <w:spacing w:val="-3"/>
                <w:sz w:val="24"/>
                <w:szCs w:val="24"/>
                <w:highlight w:val="none"/>
              </w:rPr>
              <w:t>cm/s</w:t>
            </w:r>
            <w:r>
              <w:rPr>
                <w:rFonts w:hint="default" w:ascii="Times New Roman" w:hAnsi="Times New Roman" w:eastAsia="宋体" w:cs="Times New Roman"/>
                <w:color w:val="auto"/>
                <w:spacing w:val="-10"/>
                <w:sz w:val="24"/>
                <w:szCs w:val="24"/>
                <w:highlight w:val="none"/>
              </w:rPr>
              <w:t>），</w:t>
            </w:r>
            <w:r>
              <w:rPr>
                <w:rFonts w:hint="default" w:ascii="Times New Roman" w:hAnsi="Times New Roman" w:eastAsia="宋体" w:cs="Times New Roman"/>
                <w:color w:val="auto"/>
                <w:spacing w:val="-3"/>
                <w:sz w:val="24"/>
                <w:szCs w:val="24"/>
                <w:highlight w:val="none"/>
              </w:rPr>
              <w:t>或其</w:t>
            </w:r>
            <w:r>
              <w:rPr>
                <w:rFonts w:hint="default" w:ascii="Times New Roman" w:hAnsi="Times New Roman" w:eastAsia="宋体" w:cs="Times New Roman"/>
                <w:color w:val="auto"/>
                <w:spacing w:val="-1"/>
                <w:sz w:val="24"/>
                <w:szCs w:val="24"/>
                <w:highlight w:val="none"/>
              </w:rPr>
              <w:t>他防渗性能等效的材料；</w:t>
            </w:r>
          </w:p>
          <w:p w14:paraId="6924EAD4">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2"/>
                <w:sz w:val="24"/>
                <w:szCs w:val="24"/>
                <w:highlight w:val="none"/>
              </w:rPr>
              <w:t>T.</w:t>
            </w:r>
            <w:r>
              <w:rPr>
                <w:rFonts w:hint="default" w:ascii="Times New Roman" w:hAnsi="Times New Roman" w:eastAsia="宋体" w:cs="Times New Roman"/>
                <w:color w:val="auto"/>
                <w:spacing w:val="-2"/>
                <w:sz w:val="24"/>
                <w:szCs w:val="24"/>
                <w:highlight w:val="none"/>
              </w:rPr>
              <w:t>同一贮存设施宜采用相同的防渗、防腐工艺（包括防渗、防腐结构或</w:t>
            </w:r>
            <w:r>
              <w:rPr>
                <w:rFonts w:hint="default" w:ascii="Times New Roman" w:hAnsi="Times New Roman" w:eastAsia="宋体" w:cs="Times New Roman"/>
                <w:color w:val="auto"/>
                <w:sz w:val="24"/>
                <w:szCs w:val="24"/>
                <w:highlight w:val="none"/>
              </w:rPr>
              <w:t>材料</w:t>
            </w:r>
            <w:r>
              <w:rPr>
                <w:rFonts w:hint="default" w:ascii="Times New Roman" w:hAnsi="Times New Roman" w:eastAsia="宋体" w:cs="Times New Roman"/>
                <w:color w:val="auto"/>
                <w:spacing w:val="15"/>
                <w:sz w:val="24"/>
                <w:szCs w:val="24"/>
                <w:highlight w:val="none"/>
              </w:rPr>
              <w:t>），</w:t>
            </w:r>
            <w:r>
              <w:rPr>
                <w:rFonts w:hint="default" w:ascii="Times New Roman" w:hAnsi="Times New Roman" w:eastAsia="宋体" w:cs="Times New Roman"/>
                <w:color w:val="auto"/>
                <w:sz w:val="24"/>
                <w:szCs w:val="24"/>
                <w:highlight w:val="none"/>
              </w:rPr>
              <w:t>防渗、防腐材料应覆盖所有可能与废物及其渗滤液、渗漏液等接触</w:t>
            </w:r>
            <w:r>
              <w:rPr>
                <w:rFonts w:hint="default" w:ascii="Times New Roman" w:hAnsi="Times New Roman" w:eastAsia="宋体" w:cs="Times New Roman"/>
                <w:color w:val="auto"/>
                <w:spacing w:val="-1"/>
                <w:sz w:val="24"/>
                <w:szCs w:val="24"/>
                <w:highlight w:val="none"/>
              </w:rPr>
              <w:t>的构筑物表面；采用不同防渗、防腐工艺应分别建设贮存分区。</w:t>
            </w:r>
          </w:p>
          <w:p w14:paraId="12B5D74D">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color w:val="auto"/>
                <w:spacing w:val="1"/>
                <w:sz w:val="24"/>
                <w:szCs w:val="24"/>
                <w:highlight w:val="none"/>
              </w:rPr>
              <w:t>U.</w:t>
            </w:r>
            <w:r>
              <w:rPr>
                <w:rFonts w:hint="default" w:ascii="Times New Roman" w:hAnsi="Times New Roman" w:eastAsia="宋体" w:cs="Times New Roman"/>
                <w:color w:val="auto"/>
                <w:spacing w:val="1"/>
                <w:sz w:val="24"/>
                <w:szCs w:val="24"/>
                <w:highlight w:val="none"/>
              </w:rPr>
              <w:t>贮存设施必须按危险废物识别标志设置技术规范》（</w:t>
            </w:r>
            <w:r>
              <w:rPr>
                <w:rFonts w:hint="default" w:ascii="Times New Roman" w:hAnsi="Times New Roman" w:eastAsia="Times New Roman" w:cs="Times New Roman"/>
                <w:color w:val="auto"/>
                <w:sz w:val="24"/>
                <w:szCs w:val="24"/>
                <w:highlight w:val="none"/>
              </w:rPr>
              <w:t>HJ</w:t>
            </w:r>
            <w:r>
              <w:rPr>
                <w:rFonts w:hint="default" w:ascii="Times New Roman" w:hAnsi="Times New Roman" w:eastAsia="Times New Roman" w:cs="Times New Roman"/>
                <w:color w:val="auto"/>
                <w:spacing w:val="1"/>
                <w:sz w:val="24"/>
                <w:szCs w:val="24"/>
                <w:highlight w:val="none"/>
              </w:rPr>
              <w:t>1276-2022</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宋体" w:cs="Times New Roman"/>
                <w:color w:val="auto"/>
                <w:spacing w:val="-3"/>
                <w:sz w:val="24"/>
                <w:szCs w:val="24"/>
                <w:highlight w:val="none"/>
              </w:rPr>
              <w:t>的规定设置警示标志。</w:t>
            </w:r>
          </w:p>
          <w:p w14:paraId="75E52139">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②管理措施</w:t>
            </w:r>
          </w:p>
          <w:p w14:paraId="3567B070">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严格按照《危险废物贮存污染控制标准》（</w:t>
            </w:r>
            <w:r>
              <w:rPr>
                <w:rFonts w:hint="default" w:ascii="Times New Roman" w:hAnsi="Times New Roman" w:eastAsia="Times New Roman" w:cs="Times New Roman"/>
                <w:color w:val="auto"/>
                <w:spacing w:val="-1"/>
                <w:sz w:val="24"/>
                <w:szCs w:val="24"/>
                <w:highlight w:val="none"/>
              </w:rPr>
              <w:t>GB18597-2023</w:t>
            </w:r>
            <w:r>
              <w:rPr>
                <w:rFonts w:hint="default" w:ascii="Times New Roman" w:hAnsi="Times New Roman" w:eastAsia="宋体" w:cs="Times New Roman"/>
                <w:color w:val="auto"/>
                <w:spacing w:val="-1"/>
                <w:sz w:val="24"/>
                <w:szCs w:val="24"/>
                <w:highlight w:val="none"/>
              </w:rPr>
              <w:t>）要求设置</w:t>
            </w:r>
            <w:r>
              <w:rPr>
                <w:rFonts w:hint="default" w:ascii="Times New Roman" w:hAnsi="Times New Roman" w:cs="Times New Roman"/>
                <w:color w:val="auto"/>
                <w:spacing w:val="-1"/>
                <w:sz w:val="24"/>
                <w:szCs w:val="24"/>
                <w:highlight w:val="none"/>
                <w:lang w:eastAsia="zh-CN"/>
              </w:rPr>
              <w:t>做好</w:t>
            </w:r>
            <w:r>
              <w:rPr>
                <w:rFonts w:hint="default" w:ascii="Times New Roman" w:hAnsi="Times New Roman" w:eastAsia="宋体" w:cs="Times New Roman"/>
                <w:color w:val="auto"/>
                <w:spacing w:val="1"/>
                <w:sz w:val="24"/>
                <w:szCs w:val="24"/>
                <w:highlight w:val="none"/>
              </w:rPr>
              <w:t>危险废物情况的记录</w:t>
            </w:r>
            <w:r>
              <w:rPr>
                <w:rFonts w:hint="default" w:ascii="Times New Roman" w:hAnsi="Times New Roman" w:cs="Times New Roman"/>
                <w:color w:val="auto"/>
                <w:spacing w:val="1"/>
                <w:sz w:val="24"/>
                <w:szCs w:val="24"/>
                <w:highlight w:val="none"/>
                <w:lang w:eastAsia="zh-CN"/>
              </w:rPr>
              <w:t>，在</w:t>
            </w:r>
            <w:r>
              <w:rPr>
                <w:rFonts w:hint="default" w:ascii="Times New Roman" w:hAnsi="Times New Roman" w:eastAsia="宋体" w:cs="Times New Roman"/>
                <w:color w:val="auto"/>
                <w:spacing w:val="1"/>
                <w:sz w:val="24"/>
                <w:szCs w:val="24"/>
                <w:highlight w:val="none"/>
              </w:rPr>
              <w:t>记录上注明危险废物的名称、来源、数量、</w:t>
            </w:r>
            <w:r>
              <w:rPr>
                <w:rFonts w:hint="default" w:ascii="Times New Roman" w:hAnsi="Times New Roman" w:eastAsia="宋体" w:cs="Times New Roman"/>
                <w:color w:val="auto"/>
                <w:sz w:val="24"/>
                <w:szCs w:val="24"/>
                <w:highlight w:val="none"/>
              </w:rPr>
              <w:t>特性和</w:t>
            </w:r>
            <w:r>
              <w:rPr>
                <w:rFonts w:hint="default" w:ascii="Times New Roman" w:hAnsi="Times New Roman" w:eastAsia="宋体" w:cs="Times New Roman"/>
                <w:color w:val="auto"/>
                <w:spacing w:val="1"/>
                <w:sz w:val="24"/>
                <w:szCs w:val="24"/>
                <w:highlight w:val="none"/>
              </w:rPr>
              <w:t>包装容器的类别、入库日期、存放库位、废物出库日期及接收单位名</w:t>
            </w:r>
            <w:r>
              <w:rPr>
                <w:rFonts w:hint="default" w:ascii="Times New Roman" w:hAnsi="Times New Roman" w:eastAsia="宋体" w:cs="Times New Roman"/>
                <w:color w:val="auto"/>
                <w:sz w:val="24"/>
                <w:szCs w:val="24"/>
                <w:highlight w:val="none"/>
              </w:rPr>
              <w:t>称，实</w:t>
            </w:r>
            <w:r>
              <w:rPr>
                <w:rFonts w:hint="default" w:ascii="Times New Roman" w:hAnsi="Times New Roman" w:eastAsia="宋体" w:cs="Times New Roman"/>
                <w:color w:val="auto"/>
                <w:spacing w:val="-1"/>
                <w:sz w:val="24"/>
                <w:szCs w:val="24"/>
                <w:highlight w:val="none"/>
              </w:rPr>
              <w:t>行转移联单制度，建立危废管理台账。</w:t>
            </w:r>
          </w:p>
          <w:p w14:paraId="516B305C">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2</w:t>
            </w:r>
            <w:r>
              <w:rPr>
                <w:rFonts w:hint="default" w:ascii="Times New Roman" w:hAnsi="Times New Roman" w:eastAsia="宋体" w:cs="Times New Roman"/>
                <w:color w:val="auto"/>
                <w:spacing w:val="-2"/>
                <w:sz w:val="24"/>
                <w:szCs w:val="24"/>
                <w:highlight w:val="none"/>
              </w:rPr>
              <w:t>）废气非正常排放环境风险措施</w:t>
            </w:r>
          </w:p>
          <w:p w14:paraId="3B32CAA9">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本项目可能对大气环境造成影响为废气处理设施故障导致生产过程</w:t>
            </w:r>
            <w:r>
              <w:rPr>
                <w:rFonts w:hint="default" w:ascii="Times New Roman" w:hAnsi="Times New Roman" w:eastAsia="宋体" w:cs="Times New Roman"/>
                <w:color w:val="auto"/>
                <w:sz w:val="24"/>
                <w:szCs w:val="24"/>
                <w:highlight w:val="none"/>
              </w:rPr>
              <w:t>中产</w:t>
            </w:r>
            <w:r>
              <w:rPr>
                <w:rFonts w:hint="default" w:ascii="Times New Roman" w:hAnsi="Times New Roman" w:eastAsia="宋体" w:cs="Times New Roman"/>
                <w:color w:val="auto"/>
                <w:spacing w:val="-1"/>
                <w:sz w:val="24"/>
                <w:szCs w:val="24"/>
                <w:highlight w:val="none"/>
              </w:rPr>
              <w:t>生的废气未经处理直接排放，污染外环境。企业采取了以下措施：</w:t>
            </w:r>
          </w:p>
          <w:p w14:paraId="3FD8E7BD">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①制定设备检修计划，定期检修除尘设备。</w:t>
            </w:r>
          </w:p>
          <w:p w14:paraId="18A96CE7">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②建立定时巡检制度，发现问题及时处理。</w:t>
            </w:r>
          </w:p>
          <w:p w14:paraId="1A1C5E5D">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③发生事故后应及时与有关部门联系。</w:t>
            </w:r>
          </w:p>
          <w:p w14:paraId="0912FCE5">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3</w:t>
            </w:r>
            <w:r>
              <w:rPr>
                <w:rFonts w:hint="default" w:ascii="Times New Roman" w:hAnsi="Times New Roman" w:eastAsia="宋体" w:cs="Times New Roman"/>
                <w:color w:val="auto"/>
                <w:spacing w:val="-2"/>
                <w:sz w:val="24"/>
                <w:szCs w:val="24"/>
                <w:highlight w:val="none"/>
              </w:rPr>
              <w:t>）生产及储存风险防范措施</w:t>
            </w:r>
          </w:p>
          <w:p w14:paraId="387F7838">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①生产场地属禁火区，应远离明火，不得存放易燃易爆物品，设置明显</w:t>
            </w:r>
            <w:r>
              <w:rPr>
                <w:rFonts w:hint="default" w:ascii="Times New Roman" w:hAnsi="Times New Roman" w:eastAsia="宋体" w:cs="Times New Roman"/>
                <w:color w:val="auto"/>
                <w:spacing w:val="-2"/>
                <w:sz w:val="24"/>
                <w:szCs w:val="24"/>
                <w:highlight w:val="none"/>
              </w:rPr>
              <w:t>警示牌并配备灭火器材；</w:t>
            </w:r>
          </w:p>
          <w:p w14:paraId="4979B41B">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②厂区</w:t>
            </w:r>
            <w:r>
              <w:rPr>
                <w:rFonts w:hint="default" w:ascii="Times New Roman" w:hAnsi="Times New Roman" w:cs="Times New Roman"/>
                <w:color w:val="auto"/>
                <w:spacing w:val="-1"/>
                <w:sz w:val="24"/>
                <w:szCs w:val="24"/>
                <w:highlight w:val="none"/>
                <w:lang w:eastAsia="zh-CN"/>
              </w:rPr>
              <w:t>设置</w:t>
            </w:r>
            <w:r>
              <w:rPr>
                <w:rFonts w:hint="default" w:ascii="Times New Roman" w:hAnsi="Times New Roman" w:eastAsia="宋体" w:cs="Times New Roman"/>
                <w:color w:val="auto"/>
                <w:spacing w:val="-1"/>
                <w:sz w:val="24"/>
                <w:szCs w:val="24"/>
                <w:highlight w:val="none"/>
              </w:rPr>
              <w:t>防火通道，禁止在通道内堆放物品；③消防器材定员管理，定期检查，过期更换；</w:t>
            </w:r>
          </w:p>
          <w:p w14:paraId="6B020DF8">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④厂区电器采用防爆型设备，工作场所禁止吸烟；</w:t>
            </w:r>
          </w:p>
          <w:p w14:paraId="49A4A8F0">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4</w:t>
            </w:r>
            <w:r>
              <w:rPr>
                <w:rFonts w:hint="default" w:ascii="Times New Roman" w:hAnsi="Times New Roman" w:eastAsia="宋体" w:cs="Times New Roman"/>
                <w:color w:val="auto"/>
                <w:spacing w:val="-3"/>
                <w:sz w:val="24"/>
                <w:szCs w:val="24"/>
                <w:highlight w:val="none"/>
              </w:rPr>
              <w:t>）火灾处理措施</w:t>
            </w:r>
          </w:p>
          <w:p w14:paraId="66664790">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一旦发生火灾，厂房应立即报警，通过消防灭火；组织救援</w:t>
            </w:r>
            <w:r>
              <w:rPr>
                <w:rFonts w:hint="default" w:ascii="Times New Roman" w:hAnsi="Times New Roman" w:eastAsia="宋体" w:cs="Times New Roman"/>
                <w:color w:val="auto"/>
                <w:sz w:val="24"/>
                <w:szCs w:val="24"/>
                <w:highlight w:val="none"/>
              </w:rPr>
              <w:t>小组，封锁</w:t>
            </w:r>
            <w:r>
              <w:rPr>
                <w:rFonts w:hint="default" w:ascii="Times New Roman" w:hAnsi="Times New Roman" w:eastAsia="宋体" w:cs="Times New Roman"/>
                <w:color w:val="auto"/>
                <w:spacing w:val="-6"/>
                <w:sz w:val="24"/>
                <w:szCs w:val="24"/>
                <w:highlight w:val="none"/>
              </w:rPr>
              <w:t>现场，指挥人员疏散，并组织消防力量进行自救灭火；事故后对起火原因做调</w:t>
            </w:r>
            <w:r>
              <w:rPr>
                <w:rFonts w:hint="default" w:ascii="Times New Roman" w:hAnsi="Times New Roman" w:eastAsia="宋体" w:cs="Times New Roman"/>
                <w:color w:val="auto"/>
                <w:spacing w:val="-12"/>
                <w:sz w:val="24"/>
                <w:szCs w:val="24"/>
                <w:highlight w:val="none"/>
              </w:rPr>
              <w:t>查和鉴定，提出切实可行的防范措施。</w:t>
            </w:r>
          </w:p>
          <w:p w14:paraId="23E04BA4">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5</w:t>
            </w:r>
            <w:r>
              <w:rPr>
                <w:rFonts w:hint="default" w:ascii="Times New Roman" w:hAnsi="Times New Roman" w:eastAsia="宋体" w:cs="Times New Roman"/>
                <w:color w:val="auto"/>
                <w:spacing w:val="-2"/>
                <w:sz w:val="24"/>
                <w:szCs w:val="24"/>
                <w:highlight w:val="none"/>
              </w:rPr>
              <w:t>）其他风险防范措施</w:t>
            </w:r>
          </w:p>
          <w:p w14:paraId="2B4EC790">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①存储场内不得设置移动照明、配电线路与原料之间应按规范的要求保持足够的防火间距，不得在原料堆放处</w:t>
            </w:r>
            <w:r>
              <w:rPr>
                <w:rFonts w:hint="default" w:ascii="Times New Roman" w:hAnsi="Times New Roman" w:cs="Times New Roman"/>
                <w:color w:val="auto"/>
                <w:spacing w:val="1"/>
                <w:sz w:val="24"/>
                <w:szCs w:val="24"/>
                <w:highlight w:val="none"/>
                <w:lang w:eastAsia="zh-CN"/>
              </w:rPr>
              <w:t>设置</w:t>
            </w:r>
            <w:r>
              <w:rPr>
                <w:rFonts w:hint="default" w:ascii="Times New Roman" w:hAnsi="Times New Roman" w:eastAsia="宋体" w:cs="Times New Roman"/>
                <w:color w:val="auto"/>
                <w:spacing w:val="1"/>
                <w:sz w:val="24"/>
                <w:szCs w:val="24"/>
                <w:highlight w:val="none"/>
              </w:rPr>
              <w:t>临时线路，不得设置</w:t>
            </w:r>
            <w:r>
              <w:rPr>
                <w:rFonts w:hint="default" w:ascii="Times New Roman" w:hAnsi="Times New Roman" w:eastAsia="宋体" w:cs="Times New Roman"/>
                <w:color w:val="auto"/>
                <w:sz w:val="24"/>
                <w:szCs w:val="24"/>
                <w:highlight w:val="none"/>
              </w:rPr>
              <w:t>移动照明和配</w:t>
            </w:r>
            <w:r>
              <w:rPr>
                <w:rFonts w:hint="default" w:ascii="Times New Roman" w:hAnsi="Times New Roman" w:eastAsia="宋体" w:cs="Times New Roman"/>
                <w:color w:val="auto"/>
                <w:spacing w:val="1"/>
                <w:sz w:val="24"/>
                <w:szCs w:val="24"/>
                <w:highlight w:val="none"/>
              </w:rPr>
              <w:t>电板等。对生产区及其他需要配置的地方，安装事故应急照明</w:t>
            </w:r>
            <w:r>
              <w:rPr>
                <w:rFonts w:hint="default" w:ascii="Times New Roman" w:hAnsi="Times New Roman" w:eastAsia="宋体" w:cs="Times New Roman"/>
                <w:color w:val="auto"/>
                <w:sz w:val="24"/>
                <w:szCs w:val="24"/>
                <w:highlight w:val="none"/>
              </w:rPr>
              <w:t>和疏散指示标</w:t>
            </w:r>
            <w:r>
              <w:rPr>
                <w:rFonts w:hint="default" w:ascii="Times New Roman" w:hAnsi="Times New Roman" w:eastAsia="宋体" w:cs="Times New Roman"/>
                <w:color w:val="auto"/>
                <w:spacing w:val="-7"/>
                <w:sz w:val="24"/>
                <w:szCs w:val="24"/>
                <w:highlight w:val="none"/>
              </w:rPr>
              <w:t>志。</w:t>
            </w:r>
          </w:p>
          <w:p w14:paraId="7019C90C">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②加强消防设施的维护与保养使其保持在良好的性能状态，减少机械伤</w:t>
            </w:r>
            <w:r>
              <w:rPr>
                <w:rFonts w:hint="default" w:ascii="Times New Roman" w:hAnsi="Times New Roman" w:eastAsia="宋体" w:cs="Times New Roman"/>
                <w:color w:val="auto"/>
                <w:spacing w:val="-3"/>
                <w:sz w:val="24"/>
                <w:szCs w:val="24"/>
                <w:highlight w:val="none"/>
              </w:rPr>
              <w:t>害的发生。</w:t>
            </w:r>
          </w:p>
          <w:p w14:paraId="08D5C4AE">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③加强安全教育，强化安全意识，具备相应的安全知识，原料区域安全管理人员必须增强安全意识和</w:t>
            </w:r>
            <w:r>
              <w:rPr>
                <w:rFonts w:hint="default" w:ascii="Times New Roman" w:hAnsi="Times New Roman" w:cs="Times New Roman"/>
                <w:color w:val="auto"/>
                <w:spacing w:val="1"/>
                <w:sz w:val="24"/>
                <w:szCs w:val="24"/>
                <w:highlight w:val="none"/>
                <w:lang w:eastAsia="zh-CN"/>
              </w:rPr>
              <w:t>法治观念</w:t>
            </w:r>
            <w:r>
              <w:rPr>
                <w:rFonts w:hint="default" w:ascii="Times New Roman" w:hAnsi="Times New Roman" w:eastAsia="宋体" w:cs="Times New Roman"/>
                <w:color w:val="auto"/>
                <w:spacing w:val="1"/>
                <w:sz w:val="24"/>
                <w:szCs w:val="24"/>
                <w:highlight w:val="none"/>
              </w:rPr>
              <w:t>，掌握安全卫生</w:t>
            </w:r>
            <w:r>
              <w:rPr>
                <w:rFonts w:hint="default" w:ascii="Times New Roman" w:hAnsi="Times New Roman" w:eastAsia="宋体" w:cs="Times New Roman"/>
                <w:color w:val="auto"/>
                <w:sz w:val="24"/>
                <w:szCs w:val="24"/>
                <w:highlight w:val="none"/>
              </w:rPr>
              <w:t>基本知识，具有一定</w:t>
            </w:r>
            <w:r>
              <w:rPr>
                <w:rFonts w:hint="default" w:ascii="Times New Roman" w:hAnsi="Times New Roman" w:eastAsia="宋体" w:cs="Times New Roman"/>
                <w:color w:val="auto"/>
                <w:spacing w:val="-2"/>
                <w:sz w:val="24"/>
                <w:szCs w:val="24"/>
                <w:highlight w:val="none"/>
              </w:rPr>
              <w:t>的安全管理和决策能力。</w:t>
            </w:r>
          </w:p>
          <w:p w14:paraId="18EA75F2">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pacing w:val="-5"/>
                <w:sz w:val="24"/>
                <w:szCs w:val="24"/>
                <w:highlight w:val="none"/>
              </w:rPr>
            </w:pPr>
            <w:r>
              <w:rPr>
                <w:rFonts w:hint="default" w:ascii="Times New Roman" w:hAnsi="Times New Roman" w:eastAsia="宋体" w:cs="Times New Roman"/>
                <w:color w:val="auto"/>
                <w:spacing w:val="1"/>
                <w:sz w:val="24"/>
                <w:szCs w:val="24"/>
                <w:highlight w:val="none"/>
              </w:rPr>
              <w:t>④要落实消防安全责任制，严格各项规章制度。生产区的各项消防安全规章制度不能光挂在墙上，关键要落到实处，加强违规违章操作人员的</w:t>
            </w:r>
            <w:r>
              <w:rPr>
                <w:rFonts w:hint="default" w:ascii="Times New Roman" w:hAnsi="Times New Roman" w:eastAsia="宋体" w:cs="Times New Roman"/>
                <w:color w:val="auto"/>
                <w:sz w:val="24"/>
                <w:szCs w:val="24"/>
                <w:highlight w:val="none"/>
              </w:rPr>
              <w:t>管理</w:t>
            </w:r>
            <w:r>
              <w:rPr>
                <w:rFonts w:hint="default" w:ascii="Times New Roman" w:hAnsi="Times New Roman" w:eastAsia="宋体" w:cs="Times New Roman"/>
                <w:color w:val="auto"/>
                <w:spacing w:val="1"/>
                <w:sz w:val="24"/>
                <w:szCs w:val="24"/>
                <w:highlight w:val="none"/>
              </w:rPr>
              <w:t>和查处，要经常进行消防安全教育，实行车辆进出的登记查问制度、火</w:t>
            </w:r>
            <w:r>
              <w:rPr>
                <w:rFonts w:hint="default" w:ascii="Times New Roman" w:hAnsi="Times New Roman" w:eastAsia="宋体" w:cs="Times New Roman"/>
                <w:color w:val="auto"/>
                <w:sz w:val="24"/>
                <w:szCs w:val="24"/>
                <w:highlight w:val="none"/>
              </w:rPr>
              <w:t>种管</w:t>
            </w:r>
            <w:r>
              <w:rPr>
                <w:rFonts w:hint="default" w:ascii="Times New Roman" w:hAnsi="Times New Roman" w:eastAsia="宋体" w:cs="Times New Roman"/>
                <w:color w:val="auto"/>
                <w:spacing w:val="1"/>
                <w:sz w:val="24"/>
                <w:szCs w:val="24"/>
                <w:highlight w:val="none"/>
              </w:rPr>
              <w:t>理制度、动用明火制度、货物进出仓库的检查制度、货物堆放制度、巡</w:t>
            </w:r>
            <w:r>
              <w:rPr>
                <w:rFonts w:hint="default" w:ascii="Times New Roman" w:hAnsi="Times New Roman" w:eastAsia="宋体" w:cs="Times New Roman"/>
                <w:color w:val="auto"/>
                <w:sz w:val="24"/>
                <w:szCs w:val="24"/>
                <w:highlight w:val="none"/>
              </w:rPr>
              <w:t>查制</w:t>
            </w:r>
            <w:r>
              <w:rPr>
                <w:rFonts w:hint="default" w:ascii="Times New Roman" w:hAnsi="Times New Roman" w:eastAsia="宋体" w:cs="Times New Roman"/>
                <w:color w:val="auto"/>
                <w:spacing w:val="-5"/>
                <w:sz w:val="24"/>
                <w:szCs w:val="24"/>
                <w:highlight w:val="none"/>
              </w:rPr>
              <w:t>度。</w:t>
            </w:r>
          </w:p>
          <w:p w14:paraId="0D0CC307">
            <w:pPr>
              <w:keepNext w:val="0"/>
              <w:keepLines w:val="0"/>
              <w:pageBreakBefore w:val="0"/>
              <w:kinsoku/>
              <w:overflowPunct/>
              <w:bidi w:val="0"/>
              <w:spacing w:line="360" w:lineRule="auto"/>
              <w:ind w:left="0" w:right="0" w:firstLine="480" w:firstLineChars="20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w:t>
            </w:r>
            <w:r>
              <w:rPr>
                <w:rFonts w:hint="default" w:ascii="Times New Roman" w:hAnsi="Times New Roman" w:cs="Times New Roman"/>
                <w:color w:val="auto"/>
                <w:spacing w:val="0"/>
                <w:w w:val="100"/>
                <w:position w:val="0"/>
                <w:sz w:val="24"/>
                <w:szCs w:val="24"/>
                <w:highlight w:val="none"/>
                <w:lang w:val="en-US" w:eastAsia="zh-CN"/>
              </w:rPr>
              <w:t>6</w:t>
            </w:r>
            <w:r>
              <w:rPr>
                <w:rFonts w:hint="default" w:ascii="Times New Roman" w:hAnsi="Times New Roman" w:cs="Times New Roman"/>
                <w:color w:val="auto"/>
                <w:spacing w:val="0"/>
                <w:w w:val="100"/>
                <w:position w:val="0"/>
                <w:sz w:val="24"/>
                <w:szCs w:val="24"/>
                <w:highlight w:val="none"/>
              </w:rPr>
              <w:t>）环境风险防范措施及应急要求</w:t>
            </w:r>
          </w:p>
          <w:p w14:paraId="08F11E45">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1）运输过程的环境风险防范</w:t>
            </w:r>
          </w:p>
          <w:p w14:paraId="1E3828A4">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本项目生产原料采用</w:t>
            </w:r>
            <w:r>
              <w:rPr>
                <w:rFonts w:hint="default" w:ascii="Times New Roman" w:hAnsi="Times New Roman" w:cs="Times New Roman"/>
                <w:color w:val="auto"/>
                <w:spacing w:val="0"/>
                <w:w w:val="100"/>
                <w:position w:val="0"/>
                <w:sz w:val="24"/>
                <w:szCs w:val="24"/>
                <w:highlight w:val="none"/>
                <w:lang w:eastAsia="zh-CN"/>
              </w:rPr>
              <w:t>厢式</w:t>
            </w:r>
            <w:r>
              <w:rPr>
                <w:rFonts w:hint="default" w:ascii="Times New Roman" w:hAnsi="Times New Roman" w:cs="Times New Roman"/>
                <w:color w:val="auto"/>
                <w:spacing w:val="0"/>
                <w:w w:val="100"/>
                <w:position w:val="0"/>
                <w:sz w:val="24"/>
                <w:szCs w:val="24"/>
                <w:highlight w:val="none"/>
              </w:rPr>
              <w:t>货车运输，运输过程风险事故发生概率较小，要求在输送环节上</w:t>
            </w:r>
            <w:r>
              <w:rPr>
                <w:rFonts w:hint="default" w:ascii="Times New Roman" w:hAnsi="Times New Roman" w:cs="Times New Roman"/>
                <w:color w:val="auto"/>
                <w:spacing w:val="0"/>
                <w:w w:val="100"/>
                <w:position w:val="0"/>
                <w:sz w:val="24"/>
                <w:szCs w:val="24"/>
                <w:highlight w:val="none"/>
                <w:lang w:eastAsia="zh-CN"/>
              </w:rPr>
              <w:t>尽可能地减少</w:t>
            </w:r>
            <w:r>
              <w:rPr>
                <w:rFonts w:hint="default" w:ascii="Times New Roman" w:hAnsi="Times New Roman" w:cs="Times New Roman"/>
                <w:color w:val="auto"/>
                <w:spacing w:val="0"/>
                <w:w w:val="100"/>
                <w:position w:val="0"/>
                <w:sz w:val="24"/>
                <w:szCs w:val="24"/>
                <w:highlight w:val="none"/>
              </w:rPr>
              <w:t>人为的不安全行为，遵守交通规则，最大程度减少交通事故导致的散落或起火，同时输送车辆要配有专门的灭火设施，以降低火灾风险。合理选择行驶时间、路线、停车地点，同时要避开上下班</w:t>
            </w:r>
            <w:r>
              <w:rPr>
                <w:rFonts w:hint="default" w:ascii="Times New Roman" w:hAnsi="Times New Roman" w:cs="Times New Roman"/>
                <w:color w:val="auto"/>
                <w:spacing w:val="0"/>
                <w:w w:val="100"/>
                <w:position w:val="0"/>
                <w:sz w:val="24"/>
                <w:szCs w:val="24"/>
                <w:highlight w:val="none"/>
                <w:lang w:eastAsia="zh-CN"/>
              </w:rPr>
              <w:t>等</w:t>
            </w:r>
            <w:r>
              <w:rPr>
                <w:rFonts w:hint="default" w:ascii="Times New Roman" w:hAnsi="Times New Roman" w:cs="Times New Roman"/>
                <w:color w:val="auto"/>
                <w:spacing w:val="0"/>
                <w:w w:val="100"/>
                <w:position w:val="0"/>
                <w:sz w:val="24"/>
                <w:szCs w:val="24"/>
                <w:highlight w:val="none"/>
              </w:rPr>
              <w:t>交通高峰期，降低运输过程中的交通事故发生的可能。装卸作业由专人负责安全监督。</w:t>
            </w:r>
          </w:p>
          <w:p w14:paraId="624B6BBF">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2）储存过程的环境风险防范</w:t>
            </w:r>
          </w:p>
          <w:p w14:paraId="765E0E6E">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项目在原料储存</w:t>
            </w:r>
            <w:r>
              <w:rPr>
                <w:rFonts w:hint="default" w:ascii="Times New Roman" w:hAnsi="Times New Roman" w:cs="Times New Roman"/>
                <w:color w:val="auto"/>
                <w:spacing w:val="0"/>
                <w:w w:val="100"/>
                <w:position w:val="0"/>
                <w:sz w:val="24"/>
                <w:szCs w:val="24"/>
                <w:highlight w:val="none"/>
                <w:lang w:eastAsia="zh-CN"/>
              </w:rPr>
              <w:t>、</w:t>
            </w:r>
            <w:r>
              <w:rPr>
                <w:rFonts w:hint="default" w:ascii="Times New Roman" w:hAnsi="Times New Roman" w:cs="Times New Roman"/>
                <w:color w:val="auto"/>
                <w:spacing w:val="0"/>
                <w:w w:val="100"/>
                <w:position w:val="0"/>
                <w:sz w:val="24"/>
                <w:szCs w:val="24"/>
                <w:highlight w:val="none"/>
                <w:lang w:val="en-US" w:eastAsia="zh-CN"/>
              </w:rPr>
              <w:t>危险废物贮存</w:t>
            </w:r>
            <w:r>
              <w:rPr>
                <w:rFonts w:hint="default" w:ascii="Times New Roman" w:hAnsi="Times New Roman" w:cs="Times New Roman"/>
                <w:color w:val="auto"/>
                <w:spacing w:val="0"/>
                <w:w w:val="100"/>
                <w:position w:val="0"/>
                <w:sz w:val="24"/>
                <w:szCs w:val="24"/>
                <w:highlight w:val="none"/>
              </w:rPr>
              <w:t>过程中需采取一系列风险管理措施，具体包括：</w:t>
            </w:r>
          </w:p>
          <w:p w14:paraId="3B6BA50F">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①存储场设置明显的标志；</w:t>
            </w:r>
          </w:p>
          <w:p w14:paraId="4E610688">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②分区存放，按生产计划合理进料；</w:t>
            </w:r>
          </w:p>
          <w:p w14:paraId="575AEC33">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③对各类火种、火源和有散发火花危险的机械设备、作业活动，以及可燃、易燃物品等实行严格管理，禁止人员带火种进入存储场，对存储场动火实行全过程安全监督</w:t>
            </w:r>
            <w:r>
              <w:rPr>
                <w:rFonts w:hint="default" w:ascii="Times New Roman" w:hAnsi="Times New Roman" w:cs="Times New Roman"/>
                <w:color w:val="auto"/>
                <w:spacing w:val="0"/>
                <w:w w:val="100"/>
                <w:position w:val="0"/>
                <w:sz w:val="24"/>
                <w:szCs w:val="24"/>
                <w:highlight w:val="none"/>
                <w:lang w:eastAsia="zh-CN"/>
              </w:rPr>
              <w:t>制度</w:t>
            </w:r>
            <w:r>
              <w:rPr>
                <w:rFonts w:hint="default" w:ascii="Times New Roman" w:hAnsi="Times New Roman" w:cs="Times New Roman"/>
                <w:color w:val="auto"/>
                <w:spacing w:val="0"/>
                <w:w w:val="100"/>
                <w:position w:val="0"/>
                <w:sz w:val="24"/>
                <w:szCs w:val="24"/>
                <w:highlight w:val="none"/>
              </w:rPr>
              <w:t>；</w:t>
            </w:r>
          </w:p>
          <w:p w14:paraId="4468A6B1">
            <w:pPr>
              <w:pStyle w:val="41"/>
              <w:keepNext w:val="0"/>
              <w:keepLines w:val="0"/>
              <w:pageBreakBefore w:val="0"/>
              <w:kinsoku/>
              <w:overflowPunct/>
              <w:bidi w:val="0"/>
              <w:adjustRightInd/>
              <w:snapToGrid/>
              <w:spacing w:line="360" w:lineRule="auto"/>
              <w:ind w:left="0" w:right="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④对各类安全设施、消防器材，进行定期检查，并将发现的问题责任到人落实整改；</w:t>
            </w:r>
          </w:p>
          <w:p w14:paraId="7F489263">
            <w:pPr>
              <w:pStyle w:val="41"/>
              <w:keepNext w:val="0"/>
              <w:keepLines w:val="0"/>
              <w:pageBreakBefore w:val="0"/>
              <w:kinsoku/>
              <w:overflowPunct/>
              <w:bidi w:val="0"/>
              <w:adjustRightInd/>
              <w:snapToGrid/>
              <w:spacing w:line="360" w:lineRule="auto"/>
              <w:ind w:left="0" w:right="0" w:firstLine="480" w:firstLineChars="20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⑤贮存场所，实行安全责任制。</w:t>
            </w:r>
          </w:p>
          <w:p w14:paraId="056D18A8">
            <w:pPr>
              <w:pStyle w:val="41"/>
              <w:keepNext w:val="0"/>
              <w:keepLines w:val="0"/>
              <w:pageBreakBefore w:val="0"/>
              <w:kinsoku/>
              <w:overflowPunct/>
              <w:bidi w:val="0"/>
              <w:adjustRightInd/>
              <w:snapToGrid/>
              <w:spacing w:line="360" w:lineRule="auto"/>
              <w:ind w:left="0" w:right="0" w:firstLine="480" w:firstLineChars="20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3）其他风险防范措施</w:t>
            </w:r>
          </w:p>
          <w:p w14:paraId="14E8BAB8">
            <w:pPr>
              <w:pStyle w:val="4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①存储场</w:t>
            </w:r>
            <w:r>
              <w:rPr>
                <w:rFonts w:hint="default" w:ascii="Times New Roman" w:hAnsi="Times New Roman" w:cs="Times New Roman"/>
                <w:color w:val="auto"/>
                <w:spacing w:val="0"/>
                <w:w w:val="100"/>
                <w:position w:val="0"/>
                <w:sz w:val="24"/>
                <w:szCs w:val="24"/>
                <w:highlight w:val="none"/>
                <w:lang w:eastAsia="zh-CN"/>
              </w:rPr>
              <w:t>、</w:t>
            </w:r>
            <w:r>
              <w:rPr>
                <w:rFonts w:hint="default" w:ascii="Times New Roman" w:hAnsi="Times New Roman" w:cs="Times New Roman"/>
                <w:color w:val="auto"/>
                <w:spacing w:val="0"/>
                <w:w w:val="100"/>
                <w:position w:val="0"/>
                <w:sz w:val="24"/>
                <w:szCs w:val="24"/>
                <w:highlight w:val="none"/>
                <w:lang w:val="en-US" w:eastAsia="zh-CN"/>
              </w:rPr>
              <w:t>危废间</w:t>
            </w:r>
            <w:r>
              <w:rPr>
                <w:rFonts w:hint="default" w:ascii="Times New Roman" w:hAnsi="Times New Roman" w:cs="Times New Roman"/>
                <w:color w:val="auto"/>
                <w:spacing w:val="0"/>
                <w:w w:val="100"/>
                <w:position w:val="0"/>
                <w:sz w:val="24"/>
                <w:szCs w:val="24"/>
                <w:highlight w:val="none"/>
              </w:rPr>
              <w:t>内不得设置移动照明、配电线路与货垛之间应按规范的要求保持足够的防火间距，不得在堆垛上方架设临时线路，不得设置移动照明和配电板等。对生产区和仓储区及其他需要配置的地方，安装事故应急照明和疏散指示标志。</w:t>
            </w:r>
          </w:p>
          <w:p w14:paraId="725BF1A3">
            <w:pPr>
              <w:pStyle w:val="4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lang w:val="en-US" w:eastAsia="zh-CN"/>
              </w:rPr>
              <w:t>②</w:t>
            </w:r>
            <w:r>
              <w:rPr>
                <w:rFonts w:hint="default" w:ascii="Times New Roman" w:hAnsi="Times New Roman" w:cs="Times New Roman"/>
                <w:color w:val="auto"/>
                <w:spacing w:val="0"/>
                <w:w w:val="100"/>
                <w:position w:val="0"/>
                <w:sz w:val="24"/>
                <w:szCs w:val="24"/>
                <w:highlight w:val="none"/>
              </w:rPr>
              <w:t>加强消防设施的维护与保养使其保持在良好的性能状态，减少机械伤害的发生。</w:t>
            </w:r>
          </w:p>
          <w:p w14:paraId="674C3E23">
            <w:pPr>
              <w:pStyle w:val="41"/>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③加强安全教育，强化安全意识，具备相应的安全知识，原料区域安全管理人员必须增强安全意识和</w:t>
            </w:r>
            <w:r>
              <w:rPr>
                <w:rFonts w:hint="default" w:ascii="Times New Roman" w:hAnsi="Times New Roman" w:cs="Times New Roman"/>
                <w:color w:val="auto"/>
                <w:spacing w:val="0"/>
                <w:w w:val="100"/>
                <w:position w:val="0"/>
                <w:sz w:val="24"/>
                <w:szCs w:val="24"/>
                <w:highlight w:val="none"/>
                <w:lang w:eastAsia="zh-CN"/>
              </w:rPr>
              <w:t>法治观念</w:t>
            </w:r>
            <w:r>
              <w:rPr>
                <w:rFonts w:hint="default" w:ascii="Times New Roman" w:hAnsi="Times New Roman" w:cs="Times New Roman"/>
                <w:color w:val="auto"/>
                <w:spacing w:val="0"/>
                <w:w w:val="100"/>
                <w:position w:val="0"/>
                <w:sz w:val="24"/>
                <w:szCs w:val="24"/>
                <w:highlight w:val="none"/>
              </w:rPr>
              <w:t>，掌握安全卫生基本知识，具有一定的安全管理和决策能力。</w:t>
            </w:r>
          </w:p>
          <w:p w14:paraId="73AA8ACD">
            <w:pPr>
              <w:pStyle w:val="41"/>
              <w:keepNext w:val="0"/>
              <w:keepLines w:val="0"/>
              <w:pageBreakBefore w:val="0"/>
              <w:kinsoku/>
              <w:overflowPunct/>
              <w:bidi w:val="0"/>
              <w:adjustRightInd/>
              <w:snapToGrid/>
              <w:spacing w:line="360" w:lineRule="auto"/>
              <w:ind w:left="0" w:right="0" w:firstLine="480" w:firstLineChars="200"/>
              <w:rPr>
                <w:rFonts w:hint="default" w:ascii="Times New Roman" w:hAnsi="Times New Roman" w:cs="Times New Roman"/>
                <w:color w:val="auto"/>
                <w:spacing w:val="0"/>
                <w:w w:val="100"/>
                <w:position w:val="0"/>
                <w:sz w:val="24"/>
                <w:szCs w:val="24"/>
                <w:highlight w:val="none"/>
              </w:rPr>
            </w:pPr>
            <w:r>
              <w:rPr>
                <w:rFonts w:hint="default" w:ascii="Times New Roman" w:hAnsi="Times New Roman" w:cs="Times New Roman"/>
                <w:color w:val="auto"/>
                <w:spacing w:val="0"/>
                <w:w w:val="100"/>
                <w:position w:val="0"/>
                <w:sz w:val="24"/>
                <w:szCs w:val="24"/>
                <w:highlight w:val="none"/>
              </w:rPr>
              <w:t>④要落实消防安全责任制，严格各项规章制度。原料区的各项消防安全规章制度不能光挂在墙上，关键要落到实处，加强违规违章操作人员的管理和查处，要经常进行消防安全教育，实行车辆进出的登记查问制度、火种管理制度、动用明火制度、货物进出仓库的检查制度、货物堆放制度、巡查制度。</w:t>
            </w:r>
          </w:p>
          <w:p w14:paraId="28F4171F">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6.6</w:t>
            </w:r>
            <w:r>
              <w:rPr>
                <w:rFonts w:hint="default" w:ascii="Times New Roman" w:hAnsi="Times New Roman" w:eastAsia="宋体" w:cs="Times New Roman"/>
                <w:b/>
                <w:bCs/>
                <w:color w:val="auto"/>
                <w:spacing w:val="-2"/>
                <w:sz w:val="24"/>
                <w:szCs w:val="24"/>
                <w:highlight w:val="none"/>
              </w:rPr>
              <w:t>应急预案</w:t>
            </w:r>
          </w:p>
          <w:p w14:paraId="5EC38356">
            <w:pPr>
              <w:keepNext w:val="0"/>
              <w:keepLines w:val="0"/>
              <w:pageBreakBefore w:val="0"/>
              <w:widowControl/>
              <w:kinsoku w:val="0"/>
              <w:wordWrap/>
              <w:overflowPunct/>
              <w:topLinePunct w:val="0"/>
              <w:autoSpaceDE w:val="0"/>
              <w:autoSpaceDN w:val="0"/>
              <w:bidi w:val="0"/>
              <w:snapToGrid w:val="0"/>
              <w:spacing w:line="360" w:lineRule="auto"/>
              <w:ind w:left="0" w:right="0" w:firstLine="452"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7"/>
                <w:sz w:val="24"/>
                <w:szCs w:val="24"/>
                <w:highlight w:val="none"/>
              </w:rPr>
              <w:t>建设单位应按照《企业事业单位突发环境事件应急预案备案管理办法（试</w:t>
            </w:r>
            <w:r>
              <w:rPr>
                <w:rFonts w:hint="default" w:ascii="Times New Roman" w:hAnsi="Times New Roman" w:eastAsia="宋体" w:cs="Times New Roman"/>
                <w:color w:val="auto"/>
                <w:spacing w:val="-1"/>
                <w:sz w:val="24"/>
                <w:szCs w:val="24"/>
                <w:highlight w:val="none"/>
              </w:rPr>
              <w:t>行）》（新环发〔</w:t>
            </w:r>
            <w:r>
              <w:rPr>
                <w:rFonts w:hint="default" w:ascii="Times New Roman" w:hAnsi="Times New Roman" w:eastAsia="Times New Roman" w:cs="Times New Roman"/>
                <w:color w:val="auto"/>
                <w:spacing w:val="-1"/>
                <w:sz w:val="24"/>
                <w:szCs w:val="24"/>
                <w:highlight w:val="none"/>
              </w:rPr>
              <w:t>2015</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4</w:t>
            </w:r>
            <w:r>
              <w:rPr>
                <w:rFonts w:hint="default" w:ascii="Times New Roman" w:hAnsi="Times New Roman" w:eastAsia="宋体" w:cs="Times New Roman"/>
                <w:color w:val="auto"/>
                <w:spacing w:val="-1"/>
                <w:sz w:val="24"/>
                <w:szCs w:val="24"/>
                <w:highlight w:val="none"/>
              </w:rPr>
              <w:t>号）的要求建立环境风险事故应急预案，应急预</w:t>
            </w:r>
            <w:r>
              <w:rPr>
                <w:rFonts w:hint="default" w:ascii="Times New Roman" w:hAnsi="Times New Roman" w:eastAsia="宋体" w:cs="Times New Roman"/>
                <w:color w:val="auto"/>
                <w:spacing w:val="-3"/>
                <w:sz w:val="24"/>
                <w:szCs w:val="24"/>
                <w:highlight w:val="none"/>
              </w:rPr>
              <w:t>案所要求的基本内容可参照表</w:t>
            </w:r>
            <w:r>
              <w:rPr>
                <w:rFonts w:hint="default" w:ascii="Times New Roman" w:hAnsi="Times New Roman" w:eastAsia="Times New Roman" w:cs="Times New Roman"/>
                <w:color w:val="auto"/>
                <w:spacing w:val="-3"/>
                <w:sz w:val="24"/>
                <w:szCs w:val="24"/>
                <w:highlight w:val="none"/>
              </w:rPr>
              <w:t>4-1</w:t>
            </w:r>
            <w:r>
              <w:rPr>
                <w:rFonts w:hint="default" w:ascii="Times New Roman" w:hAnsi="Times New Roman" w:eastAsia="宋体" w:cs="Times New Roman"/>
                <w:color w:val="auto"/>
                <w:spacing w:val="-3"/>
                <w:sz w:val="24"/>
                <w:szCs w:val="24"/>
                <w:highlight w:val="none"/>
                <w:lang w:val="en-US" w:eastAsia="zh-CN"/>
              </w:rPr>
              <w:t>3</w:t>
            </w:r>
            <w:r>
              <w:rPr>
                <w:rFonts w:hint="default" w:ascii="Times New Roman" w:hAnsi="Times New Roman" w:eastAsia="宋体" w:cs="Times New Roman"/>
                <w:color w:val="auto"/>
                <w:spacing w:val="-3"/>
                <w:sz w:val="24"/>
                <w:szCs w:val="24"/>
                <w:highlight w:val="none"/>
              </w:rPr>
              <w:t>中的相关内容。</w:t>
            </w:r>
          </w:p>
          <w:p w14:paraId="15F19191">
            <w:pPr>
              <w:keepNext w:val="0"/>
              <w:keepLines w:val="0"/>
              <w:pageBreakBefore w:val="0"/>
              <w:widowControl/>
              <w:kinsoku w:val="0"/>
              <w:wordWrap/>
              <w:overflowPunct/>
              <w:topLinePunct w:val="0"/>
              <w:autoSpaceDE w:val="0"/>
              <w:autoSpaceDN w:val="0"/>
              <w:bidi w:val="0"/>
              <w:snapToGrid w:val="0"/>
              <w:spacing w:line="240" w:lineRule="auto"/>
              <w:ind w:left="0" w:right="0" w:firstLine="0" w:firstLineChars="0"/>
              <w:jc w:val="center"/>
              <w:textAlignment w:val="baseline"/>
              <w:rPr>
                <w:rFonts w:hint="default" w:ascii="Times New Roman" w:hAnsi="Times New Roman" w:eastAsia="宋体" w:cs="Times New Roman"/>
                <w:b/>
                <w:bCs/>
                <w:color w:val="auto"/>
                <w:spacing w:val="4"/>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b/>
                <w:bCs/>
                <w:color w:val="auto"/>
                <w:spacing w:val="5"/>
                <w:sz w:val="21"/>
                <w:szCs w:val="21"/>
                <w:highlight w:val="none"/>
              </w:rPr>
              <w:t>4-</w:t>
            </w:r>
            <w:r>
              <w:rPr>
                <w:rFonts w:hint="eastAsia" w:ascii="Times New Roman" w:hAnsi="Times New Roman" w:eastAsia="宋体" w:cs="Times New Roman"/>
                <w:b/>
                <w:bCs/>
                <w:color w:val="auto"/>
                <w:spacing w:val="5"/>
                <w:sz w:val="21"/>
                <w:szCs w:val="21"/>
                <w:highlight w:val="none"/>
                <w:lang w:val="en-US" w:eastAsia="zh-CN"/>
              </w:rPr>
              <w:t xml:space="preserve"> 13   </w:t>
            </w:r>
            <w:r>
              <w:rPr>
                <w:rFonts w:hint="default" w:ascii="Times New Roman" w:hAnsi="Times New Roman" w:eastAsia="宋体" w:cs="Times New Roman"/>
                <w:b/>
                <w:bCs/>
                <w:color w:val="auto"/>
                <w:spacing w:val="5"/>
                <w:sz w:val="21"/>
                <w:szCs w:val="21"/>
                <w:highlight w:val="none"/>
              </w:rPr>
              <w:t>应急预案内容</w:t>
            </w:r>
            <w:r>
              <w:rPr>
                <w:rFonts w:hint="default" w:ascii="Times New Roman" w:hAnsi="Times New Roman" w:eastAsia="宋体" w:cs="Times New Roman"/>
                <w:b/>
                <w:bCs/>
                <w:color w:val="auto"/>
                <w:spacing w:val="4"/>
                <w:sz w:val="21"/>
                <w:szCs w:val="21"/>
                <w:highlight w:val="none"/>
              </w:rPr>
              <w:t>一览表</w:t>
            </w:r>
          </w:p>
          <w:tbl>
            <w:tblPr>
              <w:tblStyle w:val="54"/>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83"/>
              <w:gridCol w:w="1982"/>
              <w:gridCol w:w="4717"/>
            </w:tblGrid>
            <w:tr w14:paraId="0D95A0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bottom w:val="single" w:color="000000" w:sz="12" w:space="0"/>
                  </w:tcBorders>
                  <w:vAlign w:val="center"/>
                </w:tcPr>
                <w:p w14:paraId="790875EA">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4"/>
                      <w:sz w:val="21"/>
                      <w:szCs w:val="21"/>
                      <w:highlight w:val="none"/>
                    </w:rPr>
                    <w:t>序号</w:t>
                  </w:r>
                </w:p>
              </w:tc>
              <w:tc>
                <w:tcPr>
                  <w:tcW w:w="1982" w:type="dxa"/>
                  <w:tcBorders>
                    <w:bottom w:val="single" w:color="000000" w:sz="12" w:space="0"/>
                  </w:tcBorders>
                  <w:vAlign w:val="center"/>
                </w:tcPr>
                <w:p w14:paraId="409C3568">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rPr>
                    <w:t>项目</w:t>
                  </w:r>
                </w:p>
              </w:tc>
              <w:tc>
                <w:tcPr>
                  <w:tcW w:w="4718" w:type="dxa"/>
                  <w:tcBorders>
                    <w:bottom w:val="single" w:color="000000" w:sz="12" w:space="0"/>
                  </w:tcBorders>
                  <w:vAlign w:val="center"/>
                </w:tcPr>
                <w:p w14:paraId="27B02D2B">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
                      <w:sz w:val="21"/>
                      <w:szCs w:val="21"/>
                      <w:highlight w:val="none"/>
                    </w:rPr>
                    <w:t>内容及要求</w:t>
                  </w:r>
                </w:p>
              </w:tc>
            </w:tr>
            <w:tr w14:paraId="3805BE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op w:val="single" w:color="000000" w:sz="12" w:space="0"/>
                    <w:tl2br w:val="nil"/>
                    <w:tr2bl w:val="nil"/>
                  </w:tcBorders>
                  <w:vAlign w:val="center"/>
                </w:tcPr>
                <w:p w14:paraId="0B5FD25D">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p>
              </w:tc>
              <w:tc>
                <w:tcPr>
                  <w:tcW w:w="1982" w:type="dxa"/>
                  <w:tcBorders>
                    <w:top w:val="single" w:color="000000" w:sz="12" w:space="0"/>
                    <w:tl2br w:val="nil"/>
                    <w:tr2bl w:val="nil"/>
                  </w:tcBorders>
                  <w:vAlign w:val="center"/>
                </w:tcPr>
                <w:p w14:paraId="019B4048">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应急计划区</w:t>
                  </w:r>
                </w:p>
              </w:tc>
              <w:tc>
                <w:tcPr>
                  <w:tcW w:w="4718" w:type="dxa"/>
                  <w:tcBorders>
                    <w:top w:val="single" w:color="000000" w:sz="12" w:space="0"/>
                    <w:tl2br w:val="nil"/>
                    <w:tr2bl w:val="nil"/>
                  </w:tcBorders>
                  <w:vAlign w:val="center"/>
                </w:tcPr>
                <w:p w14:paraId="7FAE534D">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主要危险源；相关环保设施等；环境保护目标</w:t>
                  </w:r>
                </w:p>
              </w:tc>
            </w:tr>
            <w:tr w14:paraId="5F75F6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7473884A">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2</w:t>
                  </w:r>
                </w:p>
              </w:tc>
              <w:tc>
                <w:tcPr>
                  <w:tcW w:w="1982" w:type="dxa"/>
                  <w:tcBorders>
                    <w:tl2br w:val="nil"/>
                    <w:tr2bl w:val="nil"/>
                  </w:tcBorders>
                  <w:vAlign w:val="center"/>
                </w:tcPr>
                <w:p w14:paraId="79FA6A99">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应急组织机构、人员</w:t>
                  </w:r>
                </w:p>
              </w:tc>
              <w:tc>
                <w:tcPr>
                  <w:tcW w:w="4718" w:type="dxa"/>
                  <w:tcBorders>
                    <w:tl2br w:val="nil"/>
                    <w:tr2bl w:val="nil"/>
                  </w:tcBorders>
                  <w:vAlign w:val="center"/>
                </w:tcPr>
                <w:p w14:paraId="25CD3E16">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公司设置应急组织机构，经理为应急计划、协调第一人，应急人员必须为培训上岗熟练工；区域应急组织结构由当地政府、相关行业专家、卫生安全相关单位组成，并由当地政府进行统一调度</w:t>
                  </w:r>
                </w:p>
              </w:tc>
            </w:tr>
            <w:tr w14:paraId="34AB3C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64F939D4">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3</w:t>
                  </w:r>
                </w:p>
              </w:tc>
              <w:tc>
                <w:tcPr>
                  <w:tcW w:w="1982" w:type="dxa"/>
                  <w:tcBorders>
                    <w:tl2br w:val="nil"/>
                    <w:tr2bl w:val="nil"/>
                  </w:tcBorders>
                  <w:vAlign w:val="center"/>
                </w:tcPr>
                <w:p w14:paraId="2C749DDD">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预案分级响应条件</w:t>
                  </w:r>
                </w:p>
              </w:tc>
              <w:tc>
                <w:tcPr>
                  <w:tcW w:w="4718" w:type="dxa"/>
                  <w:tcBorders>
                    <w:tl2br w:val="nil"/>
                    <w:tr2bl w:val="nil"/>
                  </w:tcBorders>
                  <w:vAlign w:val="center"/>
                </w:tcPr>
                <w:p w14:paraId="5B9D4837">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根据事故的严重程度制定相应级别的应急预案，以及适合相应情况的处理措施</w:t>
                  </w:r>
                </w:p>
              </w:tc>
            </w:tr>
            <w:tr w14:paraId="36CEB6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37E1E61C">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
                      <w:sz w:val="21"/>
                      <w:szCs w:val="21"/>
                      <w:highlight w:val="none"/>
                    </w:rPr>
                    <w:t>4</w:t>
                  </w:r>
                </w:p>
              </w:tc>
              <w:tc>
                <w:tcPr>
                  <w:tcW w:w="1982" w:type="dxa"/>
                  <w:tcBorders>
                    <w:tl2br w:val="nil"/>
                    <w:tr2bl w:val="nil"/>
                  </w:tcBorders>
                  <w:vAlign w:val="center"/>
                </w:tcPr>
                <w:p w14:paraId="5C1E9DB6">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应急救援保障</w:t>
                  </w:r>
                </w:p>
              </w:tc>
              <w:tc>
                <w:tcPr>
                  <w:tcW w:w="4718" w:type="dxa"/>
                  <w:tcBorders>
                    <w:tl2br w:val="nil"/>
                    <w:tr2bl w:val="nil"/>
                  </w:tcBorders>
                  <w:vAlign w:val="center"/>
                </w:tcPr>
                <w:p w14:paraId="279D85BB">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应急设施，设备与器材</w:t>
                  </w:r>
                </w:p>
              </w:tc>
            </w:tr>
            <w:tr w14:paraId="5612B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6E234C79">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5</w:t>
                  </w:r>
                </w:p>
              </w:tc>
              <w:tc>
                <w:tcPr>
                  <w:tcW w:w="1982" w:type="dxa"/>
                  <w:tcBorders>
                    <w:tl2br w:val="nil"/>
                    <w:tr2bl w:val="nil"/>
                  </w:tcBorders>
                  <w:vAlign w:val="center"/>
                </w:tcPr>
                <w:p w14:paraId="30725B6A">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报警、通讯联络方式</w:t>
                  </w:r>
                </w:p>
              </w:tc>
              <w:tc>
                <w:tcPr>
                  <w:tcW w:w="4718" w:type="dxa"/>
                  <w:tcBorders>
                    <w:tl2br w:val="nil"/>
                    <w:tr2bl w:val="nil"/>
                  </w:tcBorders>
                  <w:vAlign w:val="center"/>
                </w:tcPr>
                <w:p w14:paraId="6C8358F5">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逐一细化应急状态下各主要负责部门的报警通讯方</w:t>
                  </w:r>
                  <w:r>
                    <w:rPr>
                      <w:rFonts w:hint="default" w:ascii="Times New Roman" w:hAnsi="Times New Roman" w:eastAsia="宋体" w:cs="Times New Roman"/>
                      <w:color w:val="auto"/>
                      <w:spacing w:val="8"/>
                      <w:sz w:val="21"/>
                      <w:szCs w:val="21"/>
                      <w:highlight w:val="none"/>
                    </w:rPr>
                    <w:t>式、地点、电话号码以及相关配套的交通保障、管制、</w:t>
                  </w:r>
                  <w:r>
                    <w:rPr>
                      <w:rFonts w:hint="default" w:ascii="Times New Roman" w:hAnsi="Times New Roman" w:eastAsia="宋体" w:cs="Times New Roman"/>
                      <w:color w:val="auto"/>
                      <w:spacing w:val="9"/>
                      <w:sz w:val="21"/>
                      <w:szCs w:val="21"/>
                      <w:highlight w:val="none"/>
                    </w:rPr>
                    <w:t>消防联络方法，涉及跨区域的还应与相关区域环境保护部门和上级环保部门保持联系，及时通报事故处理情况，以获得区域性支援</w:t>
                  </w:r>
                </w:p>
              </w:tc>
            </w:tr>
            <w:tr w14:paraId="2DC3E6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3C15F942">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6</w:t>
                  </w:r>
                </w:p>
              </w:tc>
              <w:tc>
                <w:tcPr>
                  <w:tcW w:w="1982" w:type="dxa"/>
                  <w:tcBorders>
                    <w:tl2br w:val="nil"/>
                    <w:tr2bl w:val="nil"/>
                  </w:tcBorders>
                  <w:vAlign w:val="center"/>
                </w:tcPr>
                <w:p w14:paraId="649FA39D">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应急环境监测、抢险、</w:t>
                  </w:r>
                  <w:r>
                    <w:rPr>
                      <w:rFonts w:hint="default" w:ascii="Times New Roman" w:hAnsi="Times New Roman" w:eastAsia="宋体" w:cs="Times New Roman"/>
                      <w:color w:val="auto"/>
                      <w:spacing w:val="8"/>
                      <w:sz w:val="21"/>
                      <w:szCs w:val="21"/>
                      <w:highlight w:val="none"/>
                    </w:rPr>
                    <w:t>救援及控制措施</w:t>
                  </w:r>
                </w:p>
              </w:tc>
              <w:tc>
                <w:tcPr>
                  <w:tcW w:w="4718" w:type="dxa"/>
                  <w:tcBorders>
                    <w:tl2br w:val="nil"/>
                    <w:tr2bl w:val="nil"/>
                  </w:tcBorders>
                  <w:vAlign w:val="center"/>
                </w:tcPr>
                <w:p w14:paraId="3F5FA9EB">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由专业队伍负责对事故现场进行侦查监测，对事故性</w:t>
                  </w:r>
                  <w:r>
                    <w:rPr>
                      <w:rFonts w:hint="default" w:ascii="Times New Roman" w:hAnsi="Times New Roman" w:eastAsia="宋体" w:cs="Times New Roman"/>
                      <w:color w:val="auto"/>
                      <w:spacing w:val="9"/>
                      <w:sz w:val="21"/>
                      <w:szCs w:val="21"/>
                      <w:highlight w:val="none"/>
                    </w:rPr>
                    <w:t>质、参数与后果进行评估，为指挥部门提供决策依据</w:t>
                  </w:r>
                </w:p>
              </w:tc>
            </w:tr>
            <w:tr w14:paraId="5347EA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52E34A7E">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7</w:t>
                  </w:r>
                </w:p>
              </w:tc>
              <w:tc>
                <w:tcPr>
                  <w:tcW w:w="1982" w:type="dxa"/>
                  <w:tcBorders>
                    <w:tl2br w:val="nil"/>
                    <w:tr2bl w:val="nil"/>
                  </w:tcBorders>
                  <w:vAlign w:val="center"/>
                </w:tcPr>
                <w:p w14:paraId="780B91F8">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应急检测、防护措施、</w:t>
                  </w:r>
                  <w:r>
                    <w:rPr>
                      <w:rFonts w:hint="default" w:ascii="Times New Roman" w:hAnsi="Times New Roman" w:eastAsia="宋体" w:cs="Times New Roman"/>
                      <w:color w:val="auto"/>
                      <w:spacing w:val="8"/>
                      <w:sz w:val="21"/>
                      <w:szCs w:val="21"/>
                      <w:highlight w:val="none"/>
                    </w:rPr>
                    <w:t>清楚</w:t>
                  </w:r>
                  <w:r>
                    <w:rPr>
                      <w:rFonts w:hint="default" w:ascii="Times New Roman" w:hAnsi="Times New Roman" w:cs="Times New Roman"/>
                      <w:color w:val="auto"/>
                      <w:highlight w:val="none"/>
                      <w:lang w:val="en-US" w:eastAsia="zh-CN"/>
                    </w:rPr>
                    <w:t>应急</w:t>
                  </w:r>
                  <w:r>
                    <w:rPr>
                      <w:rFonts w:hint="default" w:ascii="Times New Roman" w:hAnsi="Times New Roman" w:eastAsia="宋体" w:cs="Times New Roman"/>
                      <w:color w:val="auto"/>
                      <w:spacing w:val="8"/>
                      <w:sz w:val="21"/>
                      <w:szCs w:val="21"/>
                      <w:highlight w:val="none"/>
                    </w:rPr>
                    <w:t>措施和</w:t>
                  </w:r>
                  <w:r>
                    <w:rPr>
                      <w:rFonts w:hint="default" w:ascii="Times New Roman" w:hAnsi="Times New Roman" w:cs="Times New Roman"/>
                      <w:color w:val="auto"/>
                      <w:spacing w:val="8"/>
                      <w:sz w:val="21"/>
                      <w:szCs w:val="21"/>
                      <w:highlight w:val="none"/>
                      <w:lang w:val="en-US" w:eastAsia="zh-CN"/>
                    </w:rPr>
                    <w:t>消防</w:t>
                  </w:r>
                  <w:r>
                    <w:rPr>
                      <w:rFonts w:hint="default" w:ascii="Times New Roman" w:hAnsi="Times New Roman" w:eastAsia="宋体" w:cs="Times New Roman"/>
                      <w:color w:val="auto"/>
                      <w:spacing w:val="8"/>
                      <w:sz w:val="21"/>
                      <w:szCs w:val="21"/>
                      <w:highlight w:val="none"/>
                    </w:rPr>
                    <w:t>器材</w:t>
                  </w:r>
                </w:p>
              </w:tc>
              <w:tc>
                <w:tcPr>
                  <w:tcW w:w="4718" w:type="dxa"/>
                  <w:tcBorders>
                    <w:tl2br w:val="nil"/>
                    <w:tr2bl w:val="nil"/>
                  </w:tcBorders>
                  <w:vAlign w:val="center"/>
                </w:tcPr>
                <w:p w14:paraId="27C806B7">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事故现场、临近区域、控制防火措施，控制和</w:t>
                  </w:r>
                  <w:r>
                    <w:rPr>
                      <w:rFonts w:hint="default" w:ascii="Times New Roman" w:hAnsi="Times New Roman" w:cs="Times New Roman"/>
                      <w:color w:val="auto"/>
                      <w:spacing w:val="9"/>
                      <w:sz w:val="21"/>
                      <w:szCs w:val="21"/>
                      <w:highlight w:val="none"/>
                      <w:lang w:eastAsia="zh-CN"/>
                    </w:rPr>
                    <w:t>清除</w:t>
                  </w:r>
                  <w:r>
                    <w:rPr>
                      <w:rFonts w:hint="default" w:ascii="Times New Roman" w:hAnsi="Times New Roman" w:eastAsia="宋体" w:cs="Times New Roman"/>
                      <w:color w:val="auto"/>
                      <w:spacing w:val="9"/>
                      <w:sz w:val="21"/>
                      <w:szCs w:val="21"/>
                      <w:highlight w:val="none"/>
                    </w:rPr>
                    <w:t>污</w:t>
                  </w:r>
                  <w:r>
                    <w:rPr>
                      <w:rFonts w:hint="default" w:ascii="Times New Roman" w:hAnsi="Times New Roman" w:eastAsia="宋体" w:cs="Times New Roman"/>
                      <w:color w:val="auto"/>
                      <w:spacing w:val="8"/>
                      <w:sz w:val="21"/>
                      <w:szCs w:val="21"/>
                      <w:highlight w:val="none"/>
                    </w:rPr>
                    <w:t>染措施及相应设备</w:t>
                  </w:r>
                </w:p>
              </w:tc>
            </w:tr>
            <w:tr w14:paraId="1A1E83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1A41EB68">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8</w:t>
                  </w:r>
                </w:p>
              </w:tc>
              <w:tc>
                <w:tcPr>
                  <w:tcW w:w="1982" w:type="dxa"/>
                  <w:tcBorders>
                    <w:tl2br w:val="nil"/>
                    <w:tr2bl w:val="nil"/>
                  </w:tcBorders>
                  <w:vAlign w:val="center"/>
                </w:tcPr>
                <w:p w14:paraId="252F11B0">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人员紧急撤离、疏散，</w:t>
                  </w:r>
                  <w:r>
                    <w:rPr>
                      <w:rFonts w:hint="default" w:ascii="Times New Roman" w:hAnsi="Times New Roman" w:eastAsia="宋体" w:cs="Times New Roman"/>
                      <w:color w:val="auto"/>
                      <w:spacing w:val="8"/>
                      <w:sz w:val="21"/>
                      <w:szCs w:val="21"/>
                      <w:highlight w:val="none"/>
                    </w:rPr>
                    <w:t>应急剂量控制、撤离</w:t>
                  </w:r>
                  <w:r>
                    <w:rPr>
                      <w:rFonts w:hint="default" w:ascii="Times New Roman" w:hAnsi="Times New Roman" w:eastAsia="宋体" w:cs="Times New Roman"/>
                      <w:color w:val="auto"/>
                      <w:spacing w:val="6"/>
                      <w:sz w:val="21"/>
                      <w:szCs w:val="21"/>
                      <w:highlight w:val="none"/>
                    </w:rPr>
                    <w:t>组织计划</w:t>
                  </w:r>
                </w:p>
              </w:tc>
              <w:tc>
                <w:tcPr>
                  <w:tcW w:w="4718" w:type="dxa"/>
                  <w:tcBorders>
                    <w:tl2br w:val="nil"/>
                    <w:tr2bl w:val="nil"/>
                  </w:tcBorders>
                  <w:vAlign w:val="center"/>
                </w:tcPr>
                <w:p w14:paraId="414DEFD8">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事故现场、厂区</w:t>
                  </w:r>
                  <w:r>
                    <w:rPr>
                      <w:rFonts w:hint="default" w:ascii="Times New Roman" w:hAnsi="Times New Roman" w:cs="Times New Roman"/>
                      <w:color w:val="auto"/>
                      <w:spacing w:val="9"/>
                      <w:sz w:val="21"/>
                      <w:szCs w:val="21"/>
                      <w:highlight w:val="none"/>
                      <w:lang w:eastAsia="zh-CN"/>
                    </w:rPr>
                    <w:t>邻近</w:t>
                  </w:r>
                  <w:r>
                    <w:rPr>
                      <w:rFonts w:hint="default" w:ascii="Times New Roman" w:hAnsi="Times New Roman" w:eastAsia="宋体" w:cs="Times New Roman"/>
                      <w:color w:val="auto"/>
                      <w:spacing w:val="9"/>
                      <w:sz w:val="21"/>
                      <w:szCs w:val="21"/>
                      <w:highlight w:val="none"/>
                    </w:rPr>
                    <w:t>区、受事故影响的区域人员及公众对毒物应急剂量控制规定，撤离组织计划及救护，</w:t>
                  </w:r>
                  <w:r>
                    <w:rPr>
                      <w:rFonts w:hint="default" w:ascii="Times New Roman" w:hAnsi="Times New Roman" w:eastAsia="宋体" w:cs="Times New Roman"/>
                      <w:color w:val="auto"/>
                      <w:spacing w:val="7"/>
                      <w:sz w:val="21"/>
                      <w:szCs w:val="21"/>
                      <w:highlight w:val="none"/>
                    </w:rPr>
                    <w:t>医疗救护与公众健康</w:t>
                  </w:r>
                </w:p>
              </w:tc>
            </w:tr>
            <w:tr w14:paraId="30D4BF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06EFF8C6">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9</w:t>
                  </w:r>
                </w:p>
              </w:tc>
              <w:tc>
                <w:tcPr>
                  <w:tcW w:w="1982" w:type="dxa"/>
                  <w:tcBorders>
                    <w:tl2br w:val="nil"/>
                    <w:tr2bl w:val="nil"/>
                  </w:tcBorders>
                  <w:vAlign w:val="center"/>
                </w:tcPr>
                <w:p w14:paraId="10DE0684">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事故应急救援关闭程序与恢复措施</w:t>
                  </w:r>
                </w:p>
              </w:tc>
              <w:tc>
                <w:tcPr>
                  <w:tcW w:w="4718" w:type="dxa"/>
                  <w:tcBorders>
                    <w:tl2br w:val="nil"/>
                    <w:tr2bl w:val="nil"/>
                  </w:tcBorders>
                  <w:vAlign w:val="center"/>
                </w:tcPr>
                <w:p w14:paraId="697A5F27">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制定相关应急状态终止程序，事故现场、受影响范围</w:t>
                  </w:r>
                  <w:r>
                    <w:rPr>
                      <w:rFonts w:hint="default" w:ascii="Times New Roman" w:hAnsi="Times New Roman" w:eastAsia="宋体" w:cs="Times New Roman"/>
                      <w:color w:val="auto"/>
                      <w:spacing w:val="8"/>
                      <w:sz w:val="21"/>
                      <w:szCs w:val="21"/>
                      <w:highlight w:val="none"/>
                    </w:rPr>
                    <w:t>内的善后处理、恢复措施，邻近区域解除事故警戒及</w:t>
                  </w:r>
                  <w:r>
                    <w:rPr>
                      <w:rFonts w:hint="default" w:ascii="Times New Roman" w:hAnsi="Times New Roman" w:eastAsia="宋体" w:cs="Times New Roman"/>
                      <w:color w:val="auto"/>
                      <w:spacing w:val="7"/>
                      <w:sz w:val="21"/>
                      <w:szCs w:val="21"/>
                      <w:highlight w:val="none"/>
                    </w:rPr>
                    <w:t>善后恢复措施</w:t>
                  </w:r>
                </w:p>
              </w:tc>
            </w:tr>
            <w:tr w14:paraId="67ACC7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681F63F6">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8"/>
                      <w:sz w:val="21"/>
                      <w:szCs w:val="21"/>
                      <w:highlight w:val="none"/>
                    </w:rPr>
                    <w:t>10</w:t>
                  </w:r>
                </w:p>
              </w:tc>
              <w:tc>
                <w:tcPr>
                  <w:tcW w:w="1982" w:type="dxa"/>
                  <w:tcBorders>
                    <w:tl2br w:val="nil"/>
                    <w:tr2bl w:val="nil"/>
                  </w:tcBorders>
                  <w:vAlign w:val="center"/>
                </w:tcPr>
                <w:p w14:paraId="14907DD4">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应急培训计划</w:t>
                  </w:r>
                </w:p>
              </w:tc>
              <w:tc>
                <w:tcPr>
                  <w:tcW w:w="4718" w:type="dxa"/>
                  <w:tcBorders>
                    <w:tl2br w:val="nil"/>
                    <w:tr2bl w:val="nil"/>
                  </w:tcBorders>
                  <w:vAlign w:val="center"/>
                </w:tcPr>
                <w:p w14:paraId="4513144E">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定期安排有关人员进行培训与演练</w:t>
                  </w:r>
                </w:p>
              </w:tc>
            </w:tr>
            <w:tr w14:paraId="5CAA73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3" w:type="dxa"/>
                  <w:tcBorders>
                    <w:tl2br w:val="nil"/>
                    <w:tr2bl w:val="nil"/>
                  </w:tcBorders>
                  <w:vAlign w:val="center"/>
                </w:tcPr>
                <w:p w14:paraId="4B220CF2">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pacing w:val="-10"/>
                      <w:sz w:val="21"/>
                      <w:szCs w:val="21"/>
                      <w:highlight w:val="none"/>
                    </w:rPr>
                    <w:t>11</w:t>
                  </w:r>
                </w:p>
              </w:tc>
              <w:tc>
                <w:tcPr>
                  <w:tcW w:w="1982" w:type="dxa"/>
                  <w:tcBorders>
                    <w:tl2br w:val="nil"/>
                    <w:tr2bl w:val="nil"/>
                  </w:tcBorders>
                  <w:vAlign w:val="center"/>
                </w:tcPr>
                <w:p w14:paraId="1047C7DB">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公众教育和信息</w:t>
                  </w:r>
                </w:p>
              </w:tc>
              <w:tc>
                <w:tcPr>
                  <w:tcW w:w="4718" w:type="dxa"/>
                  <w:tcBorders>
                    <w:tl2br w:val="nil"/>
                    <w:tr2bl w:val="nil"/>
                  </w:tcBorders>
                  <w:vAlign w:val="center"/>
                </w:tcPr>
                <w:p w14:paraId="6F409FA3">
                  <w:pPr>
                    <w:keepNext w:val="0"/>
                    <w:keepLines w:val="0"/>
                    <w:pageBreakBefore w:val="0"/>
                    <w:widowControl/>
                    <w:kinsoku w:val="0"/>
                    <w:wordWrap/>
                    <w:overflowPunct/>
                    <w:topLinePunct w:val="0"/>
                    <w:autoSpaceDE w:val="0"/>
                    <w:autoSpaceDN w:val="0"/>
                    <w:bidi w:val="0"/>
                    <w:adjustRightInd/>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对工厂邻近地区开展公众教育、培训和发布有关信息</w:t>
                  </w:r>
                </w:p>
              </w:tc>
            </w:tr>
          </w:tbl>
          <w:p w14:paraId="1672166A">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6.7</w:t>
            </w:r>
            <w:r>
              <w:rPr>
                <w:rFonts w:hint="default" w:ascii="Times New Roman" w:hAnsi="Times New Roman" w:eastAsia="宋体" w:cs="Times New Roman"/>
                <w:b/>
                <w:bCs/>
                <w:color w:val="auto"/>
                <w:spacing w:val="-2"/>
                <w:sz w:val="24"/>
                <w:szCs w:val="24"/>
                <w:highlight w:val="none"/>
              </w:rPr>
              <w:t>环境风险评价结论</w:t>
            </w:r>
          </w:p>
          <w:p w14:paraId="19662890">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建设单位应定期巡检生产车间，并完善和强化事故应急预案和</w:t>
            </w:r>
            <w:r>
              <w:rPr>
                <w:rFonts w:hint="default" w:ascii="Times New Roman" w:hAnsi="Times New Roman" w:eastAsia="宋体" w:cs="Times New Roman"/>
                <w:color w:val="auto"/>
                <w:sz w:val="24"/>
                <w:szCs w:val="24"/>
                <w:highlight w:val="none"/>
              </w:rPr>
              <w:t>对策。在</w:t>
            </w:r>
            <w:r>
              <w:rPr>
                <w:rFonts w:hint="default" w:ascii="Times New Roman" w:hAnsi="Times New Roman" w:eastAsia="宋体" w:cs="Times New Roman"/>
                <w:color w:val="auto"/>
                <w:spacing w:val="1"/>
                <w:sz w:val="24"/>
                <w:szCs w:val="24"/>
                <w:highlight w:val="none"/>
              </w:rPr>
              <w:t>事故发生时组织事故源危害及范围区域内人群的及时安全疏散及事故</w:t>
            </w:r>
            <w:r>
              <w:rPr>
                <w:rFonts w:hint="default" w:ascii="Times New Roman" w:hAnsi="Times New Roman" w:eastAsia="宋体" w:cs="Times New Roman"/>
                <w:color w:val="auto"/>
                <w:sz w:val="24"/>
                <w:szCs w:val="24"/>
                <w:highlight w:val="none"/>
              </w:rPr>
              <w:t>现场的</w:t>
            </w:r>
            <w:r>
              <w:rPr>
                <w:rFonts w:hint="default" w:ascii="Times New Roman" w:hAnsi="Times New Roman" w:eastAsia="宋体" w:cs="Times New Roman"/>
                <w:color w:val="auto"/>
                <w:spacing w:val="1"/>
                <w:sz w:val="24"/>
                <w:szCs w:val="24"/>
                <w:highlight w:val="none"/>
              </w:rPr>
              <w:t>善后工作，将事故影响范围和程度</w:t>
            </w:r>
            <w:r>
              <w:rPr>
                <w:rFonts w:hint="default" w:ascii="Times New Roman" w:hAnsi="Times New Roman" w:cs="Times New Roman"/>
                <w:color w:val="auto"/>
                <w:spacing w:val="1"/>
                <w:sz w:val="24"/>
                <w:szCs w:val="24"/>
                <w:highlight w:val="none"/>
                <w:lang w:val="en-US" w:eastAsia="zh-CN"/>
              </w:rPr>
              <w:t>降</w:t>
            </w:r>
            <w:r>
              <w:rPr>
                <w:rFonts w:hint="default" w:ascii="Times New Roman" w:hAnsi="Times New Roman" w:eastAsia="宋体" w:cs="Times New Roman"/>
                <w:color w:val="auto"/>
                <w:spacing w:val="1"/>
                <w:sz w:val="24"/>
                <w:szCs w:val="24"/>
                <w:highlight w:val="none"/>
              </w:rPr>
              <w:t>至最低。同时建设单位需制定环</w:t>
            </w:r>
            <w:r>
              <w:rPr>
                <w:rFonts w:hint="default" w:ascii="Times New Roman" w:hAnsi="Times New Roman" w:eastAsia="宋体" w:cs="Times New Roman"/>
                <w:color w:val="auto"/>
                <w:sz w:val="24"/>
                <w:szCs w:val="24"/>
                <w:highlight w:val="none"/>
              </w:rPr>
              <w:t>境风险</w:t>
            </w:r>
            <w:r>
              <w:rPr>
                <w:rFonts w:hint="default" w:ascii="Times New Roman" w:hAnsi="Times New Roman" w:eastAsia="宋体" w:cs="Times New Roman"/>
                <w:color w:val="auto"/>
                <w:spacing w:val="1"/>
                <w:sz w:val="24"/>
                <w:szCs w:val="24"/>
                <w:highlight w:val="none"/>
              </w:rPr>
              <w:t>应急预案并到当地生态环境部门备案，并按照要求执行相关规定。在</w:t>
            </w:r>
            <w:r>
              <w:rPr>
                <w:rFonts w:hint="default" w:ascii="Times New Roman" w:hAnsi="Times New Roman" w:eastAsia="宋体" w:cs="Times New Roman"/>
                <w:color w:val="auto"/>
                <w:sz w:val="24"/>
                <w:szCs w:val="24"/>
                <w:highlight w:val="none"/>
              </w:rPr>
              <w:t>认真落</w:t>
            </w:r>
            <w:r>
              <w:rPr>
                <w:rFonts w:hint="default" w:ascii="Times New Roman" w:hAnsi="Times New Roman" w:eastAsia="宋体" w:cs="Times New Roman"/>
                <w:color w:val="auto"/>
                <w:spacing w:val="1"/>
                <w:sz w:val="24"/>
                <w:szCs w:val="24"/>
                <w:highlight w:val="none"/>
              </w:rPr>
              <w:t>实工程拟采取的安全措施及评价所提出的安全设施和安全对策后，工</w:t>
            </w:r>
            <w:r>
              <w:rPr>
                <w:rFonts w:hint="default" w:ascii="Times New Roman" w:hAnsi="Times New Roman" w:eastAsia="宋体" w:cs="Times New Roman"/>
                <w:color w:val="auto"/>
                <w:sz w:val="24"/>
                <w:szCs w:val="24"/>
                <w:highlight w:val="none"/>
              </w:rPr>
              <w:t>程的事</w:t>
            </w:r>
            <w:r>
              <w:rPr>
                <w:rFonts w:hint="default" w:ascii="Times New Roman" w:hAnsi="Times New Roman" w:eastAsia="宋体" w:cs="Times New Roman"/>
                <w:color w:val="auto"/>
                <w:spacing w:val="-1"/>
                <w:sz w:val="24"/>
                <w:szCs w:val="24"/>
                <w:highlight w:val="none"/>
              </w:rPr>
              <w:t>故对周围影响是基本可以接受的。</w:t>
            </w:r>
          </w:p>
          <w:p w14:paraId="7C3051EA">
            <w:pPr>
              <w:keepNext w:val="0"/>
              <w:keepLines w:val="0"/>
              <w:pageBreakBefore w:val="0"/>
              <w:widowControl/>
              <w:kinsoku w:val="0"/>
              <w:wordWrap/>
              <w:overflowPunct/>
              <w:topLinePunct w:val="0"/>
              <w:autoSpaceDE w:val="0"/>
              <w:autoSpaceDN w:val="0"/>
              <w:bidi w:val="0"/>
              <w:snapToGrid w:val="0"/>
              <w:spacing w:line="240" w:lineRule="auto"/>
              <w:ind w:left="0" w:right="0" w:firstLine="446" w:firstLineChars="20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表</w:t>
            </w:r>
            <w:r>
              <w:rPr>
                <w:rFonts w:hint="default" w:ascii="Times New Roman" w:hAnsi="Times New Roman" w:eastAsia="Times New Roman" w:cs="Times New Roman"/>
                <w:color w:val="auto"/>
                <w:spacing w:val="6"/>
                <w:sz w:val="21"/>
                <w:szCs w:val="21"/>
                <w:highlight w:val="none"/>
              </w:rPr>
              <w:t>4-1</w:t>
            </w:r>
            <w:r>
              <w:rPr>
                <w:rFonts w:hint="eastAsia" w:ascii="Times New Roman" w:hAnsi="Times New Roman" w:eastAsia="宋体" w:cs="Times New Roman"/>
                <w:color w:val="auto"/>
                <w:spacing w:val="6"/>
                <w:sz w:val="21"/>
                <w:szCs w:val="21"/>
                <w:highlight w:val="none"/>
                <w:lang w:val="en-US" w:eastAsia="zh-CN"/>
              </w:rPr>
              <w:t xml:space="preserve">4   </w:t>
            </w:r>
            <w:r>
              <w:rPr>
                <w:rFonts w:hint="default" w:ascii="Times New Roman" w:hAnsi="Times New Roman" w:eastAsia="宋体" w:cs="Times New Roman"/>
                <w:b/>
                <w:bCs/>
                <w:color w:val="auto"/>
                <w:spacing w:val="6"/>
                <w:sz w:val="21"/>
                <w:szCs w:val="21"/>
                <w:highlight w:val="none"/>
              </w:rPr>
              <w:t>建设项目环境风险简单分析内容表</w:t>
            </w:r>
          </w:p>
          <w:tbl>
            <w:tblPr>
              <w:tblStyle w:val="54"/>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787"/>
              <w:gridCol w:w="3006"/>
              <w:gridCol w:w="2590"/>
            </w:tblGrid>
            <w:tr w14:paraId="70A7A2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0FB0D8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建设项目名称</w:t>
                  </w:r>
                </w:p>
              </w:tc>
              <w:tc>
                <w:tcPr>
                  <w:tcW w:w="6233" w:type="dxa"/>
                  <w:gridSpan w:val="2"/>
                  <w:tcBorders>
                    <w:tl2br w:val="nil"/>
                    <w:tr2bl w:val="nil"/>
                  </w:tcBorders>
                  <w:vAlign w:val="center"/>
                </w:tcPr>
                <w:p w14:paraId="04C2E5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新疆凯狮威塑业有限责任公司</w:t>
                  </w:r>
                  <w:r>
                    <w:rPr>
                      <w:rFonts w:hint="default" w:ascii="Times New Roman" w:hAnsi="Times New Roman" w:cs="Times New Roman"/>
                      <w:color w:val="auto"/>
                      <w:sz w:val="21"/>
                      <w:szCs w:val="21"/>
                      <w:highlight w:val="none"/>
                      <w:lang w:val="en-US" w:eastAsia="zh-CN"/>
                    </w:rPr>
                    <w:t>扩建年产6000吨地膜项目</w:t>
                  </w:r>
                </w:p>
              </w:tc>
            </w:tr>
            <w:tr w14:paraId="264716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1FE59C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5"/>
                      <w:sz w:val="21"/>
                      <w:szCs w:val="21"/>
                      <w:highlight w:val="none"/>
                    </w:rPr>
                    <w:t>建设地点</w:t>
                  </w:r>
                </w:p>
              </w:tc>
              <w:tc>
                <w:tcPr>
                  <w:tcW w:w="6233" w:type="dxa"/>
                  <w:gridSpan w:val="2"/>
                  <w:tcBorders>
                    <w:tl2br w:val="nil"/>
                    <w:tr2bl w:val="nil"/>
                  </w:tcBorders>
                  <w:vAlign w:val="center"/>
                </w:tcPr>
                <w:p w14:paraId="72798C1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9"/>
                      <w:sz w:val="21"/>
                      <w:szCs w:val="21"/>
                      <w:highlight w:val="none"/>
                    </w:rPr>
                    <w:t>新疆维吾尔自治区</w:t>
                  </w:r>
                  <w:r>
                    <w:rPr>
                      <w:rFonts w:hint="default" w:ascii="Times New Roman" w:hAnsi="Times New Roman" w:cs="Times New Roman"/>
                      <w:color w:val="auto"/>
                      <w:spacing w:val="9"/>
                      <w:sz w:val="21"/>
                      <w:szCs w:val="21"/>
                      <w:highlight w:val="none"/>
                      <w:lang w:val="en-US" w:eastAsia="zh-CN"/>
                    </w:rPr>
                    <w:t>昌吉市六工镇</w:t>
                  </w:r>
                </w:p>
              </w:tc>
            </w:tr>
            <w:tr w14:paraId="35FB73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7D0520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6"/>
                      <w:sz w:val="21"/>
                      <w:szCs w:val="21"/>
                      <w:highlight w:val="none"/>
                    </w:rPr>
                    <w:t>地理坐标</w:t>
                  </w:r>
                </w:p>
              </w:tc>
              <w:tc>
                <w:tcPr>
                  <w:tcW w:w="3348" w:type="dxa"/>
                  <w:tcBorders>
                    <w:tl2br w:val="nil"/>
                    <w:tr2bl w:val="nil"/>
                  </w:tcBorders>
                  <w:vAlign w:val="center"/>
                </w:tcPr>
                <w:p w14:paraId="510B60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东经：</w:t>
                  </w:r>
                  <w:r>
                    <w:rPr>
                      <w:rFonts w:hint="default" w:ascii="Times New Roman" w:hAnsi="Times New Roman" w:eastAsia="宋体" w:cs="Times New Roman"/>
                      <w:color w:val="auto"/>
                      <w:sz w:val="21"/>
                      <w:szCs w:val="21"/>
                      <w:highlight w:val="none"/>
                      <w:lang w:val="en-US" w:eastAsia="zh-CN"/>
                    </w:rPr>
                    <w:t>87°24′15.046"，</w:t>
                  </w:r>
                </w:p>
              </w:tc>
              <w:tc>
                <w:tcPr>
                  <w:tcW w:w="2885" w:type="dxa"/>
                  <w:tcBorders>
                    <w:tl2br w:val="nil"/>
                    <w:tr2bl w:val="nil"/>
                  </w:tcBorders>
                  <w:vAlign w:val="center"/>
                </w:tcPr>
                <w:p w14:paraId="703B56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北纬</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44°04′17.862"</w:t>
                  </w:r>
                </w:p>
              </w:tc>
            </w:tr>
            <w:tr w14:paraId="66D12F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1AB8BB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7"/>
                      <w:sz w:val="21"/>
                      <w:szCs w:val="21"/>
                      <w:highlight w:val="none"/>
                    </w:rPr>
                    <w:t>主要危险物质及分</w:t>
                  </w:r>
                  <w:r>
                    <w:rPr>
                      <w:rFonts w:hint="default" w:ascii="Times New Roman" w:hAnsi="Times New Roman" w:eastAsia="宋体" w:cs="Times New Roman"/>
                      <w:b/>
                      <w:bCs/>
                      <w:color w:val="auto"/>
                      <w:spacing w:val="-2"/>
                      <w:sz w:val="21"/>
                      <w:szCs w:val="21"/>
                      <w:highlight w:val="none"/>
                    </w:rPr>
                    <w:t>布</w:t>
                  </w:r>
                </w:p>
              </w:tc>
              <w:tc>
                <w:tcPr>
                  <w:tcW w:w="6233" w:type="dxa"/>
                  <w:gridSpan w:val="2"/>
                  <w:tcBorders>
                    <w:tl2br w:val="nil"/>
                    <w:tr2bl w:val="nil"/>
                  </w:tcBorders>
                  <w:vAlign w:val="center"/>
                </w:tcPr>
                <w:p w14:paraId="29A776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所涉及的主要危险废物是废机油，位于</w:t>
                  </w:r>
                  <w:r>
                    <w:rPr>
                      <w:rFonts w:hint="default" w:ascii="Times New Roman" w:hAnsi="Times New Roman" w:cs="Times New Roman"/>
                      <w:color w:val="auto"/>
                      <w:spacing w:val="9"/>
                      <w:sz w:val="21"/>
                      <w:szCs w:val="21"/>
                      <w:highlight w:val="none"/>
                      <w:lang w:eastAsia="zh-CN"/>
                    </w:rPr>
                    <w:t>危废暂存点</w:t>
                  </w:r>
                  <w:r>
                    <w:rPr>
                      <w:rFonts w:hint="default" w:ascii="Times New Roman" w:hAnsi="Times New Roman" w:eastAsia="宋体" w:cs="Times New Roman"/>
                      <w:color w:val="auto"/>
                      <w:spacing w:val="9"/>
                      <w:sz w:val="21"/>
                      <w:szCs w:val="21"/>
                      <w:highlight w:val="none"/>
                    </w:rPr>
                    <w:t>。</w:t>
                  </w:r>
                </w:p>
              </w:tc>
            </w:tr>
            <w:tr w14:paraId="048C0C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328825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7"/>
                      <w:sz w:val="21"/>
                      <w:szCs w:val="21"/>
                      <w:highlight w:val="none"/>
                    </w:rPr>
                    <w:t>环境影响途径及危害后果（大气、地</w:t>
                  </w:r>
                  <w:r>
                    <w:rPr>
                      <w:rFonts w:hint="default" w:ascii="Times New Roman" w:hAnsi="Times New Roman" w:eastAsia="宋体" w:cs="Times New Roman"/>
                      <w:b/>
                      <w:bCs/>
                      <w:color w:val="auto"/>
                      <w:spacing w:val="6"/>
                      <w:sz w:val="21"/>
                      <w:szCs w:val="21"/>
                      <w:highlight w:val="none"/>
                    </w:rPr>
                    <w:t>表水、地下水等）</w:t>
                  </w:r>
                </w:p>
              </w:tc>
              <w:tc>
                <w:tcPr>
                  <w:tcW w:w="6233" w:type="dxa"/>
                  <w:gridSpan w:val="2"/>
                  <w:tcBorders>
                    <w:tl2br w:val="nil"/>
                    <w:tr2bl w:val="nil"/>
                  </w:tcBorders>
                  <w:vAlign w:val="center"/>
                </w:tcPr>
                <w:p w14:paraId="736079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本项目可能发生的事故包括</w:t>
                  </w:r>
                </w:p>
                <w:p w14:paraId="1F0723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①危险废物泄漏，引起火灾、爆炸风险事故；</w:t>
                  </w:r>
                </w:p>
                <w:p w14:paraId="315044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②废气处理设施故障，造成周围环境影响；</w:t>
                  </w:r>
                </w:p>
              </w:tc>
            </w:tr>
            <w:tr w14:paraId="3889AA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3A8EAEB5">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Chars="0"/>
                    <w:jc w:val="both"/>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7"/>
                      <w:sz w:val="21"/>
                      <w:szCs w:val="21"/>
                      <w:highlight w:val="none"/>
                    </w:rPr>
                    <w:t>风险防范措施要求</w:t>
                  </w:r>
                </w:p>
              </w:tc>
              <w:tc>
                <w:tcPr>
                  <w:tcW w:w="6233" w:type="dxa"/>
                  <w:gridSpan w:val="2"/>
                  <w:tcBorders>
                    <w:tl2br w:val="nil"/>
                    <w:tr2bl w:val="nil"/>
                  </w:tcBorders>
                  <w:vAlign w:val="center"/>
                </w:tcPr>
                <w:p w14:paraId="61AAB5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9"/>
                      <w:sz w:val="21"/>
                      <w:szCs w:val="21"/>
                      <w:highlight w:val="none"/>
                    </w:rPr>
                    <w:t>设置消火栓、灭火器；建筑物构筑物之间的距离设计合理的防火间距；设备的安全管理；各生产区保证一定的距离，设有隔离带，设双重管理。生产车间的布局和建筑设计符合相关要求，并在生产车间设置消防系统，达到消防部门要求</w:t>
                  </w:r>
                  <w:r>
                    <w:rPr>
                      <w:rFonts w:hint="default" w:ascii="Times New Roman" w:hAnsi="Times New Roman" w:cs="Times New Roman"/>
                      <w:color w:val="auto"/>
                      <w:spacing w:val="9"/>
                      <w:sz w:val="21"/>
                      <w:szCs w:val="21"/>
                      <w:highlight w:val="none"/>
                      <w:lang w:eastAsia="zh-CN"/>
                    </w:rPr>
                    <w:t>；在</w:t>
                  </w:r>
                  <w:r>
                    <w:rPr>
                      <w:rFonts w:hint="default" w:ascii="Times New Roman" w:hAnsi="Times New Roman" w:eastAsia="宋体" w:cs="Times New Roman"/>
                      <w:color w:val="auto"/>
                      <w:spacing w:val="9"/>
                      <w:sz w:val="21"/>
                      <w:szCs w:val="21"/>
                      <w:highlight w:val="none"/>
                    </w:rPr>
                    <w:t>生产车</w:t>
                  </w:r>
                  <w:r>
                    <w:rPr>
                      <w:rFonts w:hint="default" w:ascii="Times New Roman" w:hAnsi="Times New Roman" w:eastAsia="宋体" w:cs="Times New Roman"/>
                      <w:color w:val="auto"/>
                      <w:spacing w:val="8"/>
                      <w:sz w:val="21"/>
                      <w:szCs w:val="21"/>
                      <w:highlight w:val="none"/>
                    </w:rPr>
                    <w:t>间内严格管控明火的使用。</w:t>
                  </w:r>
                </w:p>
              </w:tc>
            </w:tr>
            <w:tr w14:paraId="6E9FB4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990" w:type="dxa"/>
                  <w:tcBorders>
                    <w:tl2br w:val="nil"/>
                    <w:tr2bl w:val="nil"/>
                  </w:tcBorders>
                  <w:vAlign w:val="center"/>
                </w:tcPr>
                <w:p w14:paraId="4D87383A">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Chars="0"/>
                    <w:jc w:val="both"/>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7"/>
                      <w:sz w:val="21"/>
                      <w:szCs w:val="21"/>
                      <w:highlight w:val="none"/>
                    </w:rPr>
                    <w:t>填表说明（列出项</w:t>
                  </w:r>
                  <w:r>
                    <w:rPr>
                      <w:rFonts w:hint="default" w:ascii="Times New Roman" w:hAnsi="Times New Roman" w:eastAsia="宋体" w:cs="Times New Roman"/>
                      <w:b/>
                      <w:bCs/>
                      <w:color w:val="auto"/>
                      <w:spacing w:val="2"/>
                      <w:sz w:val="21"/>
                      <w:szCs w:val="21"/>
                      <w:highlight w:val="none"/>
                    </w:rPr>
                    <w:t>目相关信息及评价</w:t>
                  </w:r>
                  <w:r>
                    <w:rPr>
                      <w:rFonts w:hint="default" w:ascii="Times New Roman" w:hAnsi="Times New Roman" w:eastAsia="宋体" w:cs="Times New Roman"/>
                      <w:b/>
                      <w:bCs/>
                      <w:color w:val="auto"/>
                      <w:spacing w:val="1"/>
                      <w:sz w:val="21"/>
                      <w:szCs w:val="21"/>
                      <w:highlight w:val="none"/>
                    </w:rPr>
                    <w:t>说明）</w:t>
                  </w:r>
                </w:p>
              </w:tc>
              <w:tc>
                <w:tcPr>
                  <w:tcW w:w="6233" w:type="dxa"/>
                  <w:gridSpan w:val="2"/>
                  <w:tcBorders>
                    <w:tl2br w:val="nil"/>
                    <w:tr2bl w:val="nil"/>
                  </w:tcBorders>
                  <w:vAlign w:val="center"/>
                </w:tcPr>
                <w:p w14:paraId="6A77FB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根据《建设项目环境风险评价技术导则》（</w:t>
                  </w:r>
                  <w:r>
                    <w:rPr>
                      <w:rFonts w:hint="default" w:ascii="Times New Roman" w:hAnsi="Times New Roman" w:eastAsia="Times New Roman" w:cs="Times New Roman"/>
                      <w:color w:val="auto"/>
                      <w:sz w:val="21"/>
                      <w:szCs w:val="21"/>
                      <w:highlight w:val="none"/>
                    </w:rPr>
                    <w:t>HJ</w:t>
                  </w:r>
                  <w:r>
                    <w:rPr>
                      <w:rFonts w:hint="default" w:ascii="Times New Roman" w:hAnsi="Times New Roman" w:eastAsia="Times New Roman" w:cs="Times New Roman"/>
                      <w:color w:val="auto"/>
                      <w:spacing w:val="6"/>
                      <w:sz w:val="21"/>
                      <w:szCs w:val="21"/>
                      <w:highlight w:val="none"/>
                    </w:rPr>
                    <w:t>169-2018</w:t>
                  </w:r>
                  <w:r>
                    <w:rPr>
                      <w:rFonts w:hint="default" w:ascii="Times New Roman" w:hAnsi="Times New Roman" w:eastAsia="宋体" w:cs="Times New Roman"/>
                      <w:color w:val="auto"/>
                      <w:spacing w:val="6"/>
                      <w:sz w:val="21"/>
                      <w:szCs w:val="21"/>
                      <w:highlight w:val="none"/>
                    </w:rPr>
                    <w:t>）表</w:t>
                  </w:r>
                  <w:r>
                    <w:rPr>
                      <w:rFonts w:hint="default" w:ascii="Times New Roman" w:hAnsi="Times New Roman" w:eastAsia="Times New Roman" w:cs="Times New Roman"/>
                      <w:color w:val="auto"/>
                      <w:spacing w:val="6"/>
                      <w:sz w:val="21"/>
                      <w:szCs w:val="21"/>
                      <w:highlight w:val="none"/>
                    </w:rPr>
                    <w:t>1</w:t>
                  </w:r>
                  <w:r>
                    <w:rPr>
                      <w:rFonts w:hint="default" w:ascii="Times New Roman" w:hAnsi="Times New Roman" w:eastAsia="宋体" w:cs="Times New Roman"/>
                      <w:color w:val="auto"/>
                      <w:spacing w:val="6"/>
                      <w:sz w:val="21"/>
                      <w:szCs w:val="21"/>
                      <w:highlight w:val="none"/>
                    </w:rPr>
                    <w:t>，</w:t>
                  </w:r>
                  <w:r>
                    <w:rPr>
                      <w:rFonts w:hint="default" w:ascii="Times New Roman" w:hAnsi="Times New Roman" w:eastAsia="宋体" w:cs="Times New Roman"/>
                      <w:color w:val="auto"/>
                      <w:spacing w:val="9"/>
                      <w:sz w:val="21"/>
                      <w:szCs w:val="21"/>
                      <w:highlight w:val="none"/>
                    </w:rPr>
                    <w:t>可知项目环境风险评价工作等级为简单分析</w:t>
                  </w:r>
                </w:p>
              </w:tc>
            </w:tr>
          </w:tbl>
          <w:p w14:paraId="11FB3D63">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3"/>
                <w:sz w:val="24"/>
                <w:szCs w:val="24"/>
                <w:highlight w:val="none"/>
              </w:rPr>
              <w:t>7</w:t>
            </w:r>
            <w:r>
              <w:rPr>
                <w:rFonts w:hint="default" w:ascii="Times New Roman" w:hAnsi="Times New Roman" w:eastAsia="宋体" w:cs="Times New Roman"/>
                <w:b/>
                <w:bCs/>
                <w:color w:val="auto"/>
                <w:spacing w:val="-3"/>
                <w:sz w:val="24"/>
                <w:szCs w:val="24"/>
                <w:highlight w:val="none"/>
                <w:lang w:val="en-US" w:eastAsia="zh-CN"/>
              </w:rPr>
              <w:t>.</w:t>
            </w:r>
            <w:r>
              <w:rPr>
                <w:rFonts w:hint="default" w:ascii="Times New Roman" w:hAnsi="Times New Roman" w:eastAsia="宋体" w:cs="Times New Roman"/>
                <w:b/>
                <w:bCs/>
                <w:color w:val="auto"/>
                <w:spacing w:val="-3"/>
                <w:sz w:val="24"/>
                <w:szCs w:val="24"/>
                <w:highlight w:val="none"/>
              </w:rPr>
              <w:t>环境管理及监测</w:t>
            </w:r>
          </w:p>
          <w:p w14:paraId="18377667">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7.1</w:t>
            </w:r>
            <w:r>
              <w:rPr>
                <w:rFonts w:hint="default" w:ascii="Times New Roman" w:hAnsi="Times New Roman" w:eastAsia="宋体" w:cs="Times New Roman"/>
                <w:b/>
                <w:bCs/>
                <w:color w:val="auto"/>
                <w:spacing w:val="-2"/>
                <w:sz w:val="24"/>
                <w:szCs w:val="24"/>
                <w:highlight w:val="none"/>
              </w:rPr>
              <w:t>环境管理</w:t>
            </w:r>
          </w:p>
          <w:p w14:paraId="0ABA0F74">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环境管理</w:t>
            </w:r>
            <w:r>
              <w:rPr>
                <w:rFonts w:hint="default" w:ascii="Times New Roman" w:hAnsi="Times New Roman" w:cs="Times New Roman"/>
                <w:color w:val="auto"/>
                <w:spacing w:val="1"/>
                <w:sz w:val="24"/>
                <w:szCs w:val="24"/>
                <w:highlight w:val="none"/>
                <w:lang w:eastAsia="zh-CN"/>
              </w:rPr>
              <w:t>是指</w:t>
            </w:r>
            <w:r>
              <w:rPr>
                <w:rFonts w:hint="default" w:ascii="Times New Roman" w:hAnsi="Times New Roman" w:eastAsia="宋体" w:cs="Times New Roman"/>
                <w:color w:val="auto"/>
                <w:spacing w:val="1"/>
                <w:sz w:val="24"/>
                <w:szCs w:val="24"/>
                <w:highlight w:val="none"/>
              </w:rPr>
              <w:t>工程在施工期、营运期时全面执行和遵守国家、省、市有关环境保护</w:t>
            </w:r>
            <w:r>
              <w:rPr>
                <w:rFonts w:hint="default" w:ascii="Times New Roman" w:hAnsi="Times New Roman" w:cs="Times New Roman"/>
                <w:color w:val="auto"/>
                <w:spacing w:val="1"/>
                <w:sz w:val="24"/>
                <w:szCs w:val="24"/>
                <w:highlight w:val="none"/>
                <w:lang w:eastAsia="zh-CN"/>
              </w:rPr>
              <w:t>法律法规</w:t>
            </w:r>
            <w:r>
              <w:rPr>
                <w:rFonts w:hint="default" w:ascii="Times New Roman" w:hAnsi="Times New Roman" w:eastAsia="宋体" w:cs="Times New Roman"/>
                <w:color w:val="auto"/>
                <w:spacing w:val="1"/>
                <w:sz w:val="24"/>
                <w:szCs w:val="24"/>
                <w:highlight w:val="none"/>
              </w:rPr>
              <w:t>、政策和标准，接受地方环境保护主管部门的</w:t>
            </w:r>
            <w:r>
              <w:rPr>
                <w:rFonts w:hint="default" w:ascii="Times New Roman" w:hAnsi="Times New Roman" w:eastAsia="宋体" w:cs="Times New Roman"/>
                <w:color w:val="auto"/>
                <w:sz w:val="24"/>
                <w:szCs w:val="24"/>
                <w:highlight w:val="none"/>
              </w:rPr>
              <w:t>环境</w:t>
            </w:r>
            <w:r>
              <w:rPr>
                <w:rFonts w:hint="default" w:ascii="Times New Roman" w:hAnsi="Times New Roman" w:eastAsia="宋体" w:cs="Times New Roman"/>
                <w:color w:val="auto"/>
                <w:spacing w:val="1"/>
                <w:sz w:val="24"/>
                <w:szCs w:val="24"/>
                <w:highlight w:val="none"/>
              </w:rPr>
              <w:t>监督，调整和制定环境保护规划和目标，力争把不利影响减小到最低，</w:t>
            </w:r>
            <w:r>
              <w:rPr>
                <w:rFonts w:hint="default" w:ascii="Times New Roman" w:hAnsi="Times New Roman" w:eastAsia="宋体" w:cs="Times New Roman"/>
                <w:color w:val="auto"/>
                <w:sz w:val="24"/>
                <w:szCs w:val="24"/>
                <w:highlight w:val="none"/>
              </w:rPr>
              <w:t>加强</w:t>
            </w:r>
            <w:r>
              <w:rPr>
                <w:rFonts w:hint="default" w:ascii="Times New Roman" w:hAnsi="Times New Roman" w:eastAsia="宋体" w:cs="Times New Roman"/>
                <w:color w:val="auto"/>
                <w:spacing w:val="1"/>
                <w:sz w:val="24"/>
                <w:szCs w:val="24"/>
                <w:highlight w:val="none"/>
              </w:rPr>
              <w:t>项目环境管理，协调解决实现目标过程中的具体问题，及时调整工程运</w:t>
            </w:r>
            <w:r>
              <w:rPr>
                <w:rFonts w:hint="default" w:ascii="Times New Roman" w:hAnsi="Times New Roman" w:eastAsia="宋体" w:cs="Times New Roman"/>
                <w:color w:val="auto"/>
                <w:sz w:val="24"/>
                <w:szCs w:val="24"/>
                <w:highlight w:val="none"/>
              </w:rPr>
              <w:t>行方</w:t>
            </w:r>
            <w:r>
              <w:rPr>
                <w:rFonts w:hint="default" w:ascii="Times New Roman" w:hAnsi="Times New Roman" w:eastAsia="宋体" w:cs="Times New Roman"/>
                <w:color w:val="auto"/>
                <w:spacing w:val="-4"/>
                <w:sz w:val="24"/>
                <w:szCs w:val="24"/>
                <w:highlight w:val="none"/>
              </w:rPr>
              <w:t>式和环境保护措施，以取得更好的综合环境效益，最终达到保护环境的目的。</w:t>
            </w:r>
            <w:r>
              <w:rPr>
                <w:rFonts w:hint="default" w:ascii="Times New Roman" w:hAnsi="Times New Roman" w:eastAsia="宋体" w:cs="Times New Roman"/>
                <w:color w:val="auto"/>
                <w:spacing w:val="1"/>
                <w:sz w:val="24"/>
                <w:szCs w:val="24"/>
                <w:highlight w:val="none"/>
              </w:rPr>
              <w:t>建设项目环境管理是工程管理的重要组成部分，是工程环境保护工作能</w:t>
            </w:r>
            <w:r>
              <w:rPr>
                <w:rFonts w:hint="default" w:ascii="Times New Roman" w:hAnsi="Times New Roman" w:eastAsia="宋体" w:cs="Times New Roman"/>
                <w:color w:val="auto"/>
                <w:sz w:val="24"/>
                <w:szCs w:val="24"/>
                <w:highlight w:val="none"/>
              </w:rPr>
              <w:t>够有</w:t>
            </w:r>
            <w:r>
              <w:rPr>
                <w:rFonts w:hint="default" w:ascii="Times New Roman" w:hAnsi="Times New Roman" w:eastAsia="宋体" w:cs="Times New Roman"/>
                <w:color w:val="auto"/>
                <w:spacing w:val="1"/>
                <w:sz w:val="24"/>
                <w:szCs w:val="24"/>
                <w:highlight w:val="none"/>
              </w:rPr>
              <w:t>效实施的关键。根据本项目的污染物排放特征，其产生的废气及固体废</w:t>
            </w:r>
            <w:r>
              <w:rPr>
                <w:rFonts w:hint="default" w:ascii="Times New Roman" w:hAnsi="Times New Roman" w:eastAsia="宋体" w:cs="Times New Roman"/>
                <w:color w:val="auto"/>
                <w:sz w:val="24"/>
                <w:szCs w:val="24"/>
                <w:highlight w:val="none"/>
              </w:rPr>
              <w:t>物存</w:t>
            </w:r>
            <w:r>
              <w:rPr>
                <w:rFonts w:hint="default" w:ascii="Times New Roman" w:hAnsi="Times New Roman" w:eastAsia="宋体" w:cs="Times New Roman"/>
                <w:color w:val="auto"/>
                <w:spacing w:val="-4"/>
                <w:sz w:val="24"/>
                <w:szCs w:val="24"/>
                <w:highlight w:val="none"/>
              </w:rPr>
              <w:t>在一定的污染隐患。一旦管理不善将可能出现污染事故，从而影响周围环境。</w:t>
            </w:r>
            <w:r>
              <w:rPr>
                <w:rFonts w:hint="default" w:ascii="Times New Roman" w:hAnsi="Times New Roman" w:eastAsia="宋体" w:cs="Times New Roman"/>
                <w:color w:val="auto"/>
                <w:spacing w:val="-1"/>
                <w:sz w:val="24"/>
                <w:szCs w:val="24"/>
                <w:highlight w:val="none"/>
              </w:rPr>
              <w:t>因此，运营期的环境管理十分重要，运营期应做好以下工作：</w:t>
            </w:r>
          </w:p>
          <w:p w14:paraId="241DF162">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1</w:t>
            </w:r>
            <w:r>
              <w:rPr>
                <w:rFonts w:hint="default" w:ascii="Times New Roman" w:hAnsi="Times New Roman" w:eastAsia="宋体" w:cs="Times New Roman"/>
                <w:color w:val="auto"/>
                <w:spacing w:val="-3"/>
                <w:sz w:val="24"/>
                <w:szCs w:val="24"/>
                <w:highlight w:val="none"/>
              </w:rPr>
              <w:t>）制定污染治理操作规程，记录污染治理设施运行及检</w:t>
            </w:r>
            <w:r>
              <w:rPr>
                <w:rFonts w:hint="default" w:ascii="Times New Roman" w:hAnsi="Times New Roman" w:eastAsia="宋体" w:cs="Times New Roman"/>
                <w:color w:val="auto"/>
                <w:spacing w:val="-4"/>
                <w:sz w:val="24"/>
                <w:szCs w:val="24"/>
                <w:highlight w:val="none"/>
              </w:rPr>
              <w:t>修情况，确保</w:t>
            </w:r>
            <w:r>
              <w:rPr>
                <w:rFonts w:hint="default" w:ascii="Times New Roman" w:hAnsi="Times New Roman" w:eastAsia="宋体" w:cs="Times New Roman"/>
                <w:color w:val="auto"/>
                <w:spacing w:val="-2"/>
                <w:sz w:val="24"/>
                <w:szCs w:val="24"/>
                <w:highlight w:val="none"/>
              </w:rPr>
              <w:t>治理设施常年正常运行。</w:t>
            </w:r>
          </w:p>
          <w:p w14:paraId="6C1ABEC3">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2</w:t>
            </w:r>
            <w:r>
              <w:rPr>
                <w:rFonts w:hint="default" w:ascii="Times New Roman" w:hAnsi="Times New Roman" w:eastAsia="宋体" w:cs="Times New Roman"/>
                <w:color w:val="auto"/>
                <w:spacing w:val="-3"/>
                <w:sz w:val="24"/>
                <w:szCs w:val="24"/>
                <w:highlight w:val="none"/>
              </w:rPr>
              <w:t>）安全环保科除执行各项有关环境保护工作的指令外，</w:t>
            </w:r>
            <w:r>
              <w:rPr>
                <w:rFonts w:hint="default" w:ascii="Times New Roman" w:hAnsi="Times New Roman" w:eastAsia="宋体" w:cs="Times New Roman"/>
                <w:color w:val="auto"/>
                <w:spacing w:val="-4"/>
                <w:sz w:val="24"/>
                <w:szCs w:val="24"/>
                <w:highlight w:val="none"/>
              </w:rPr>
              <w:t>还应接受当地</w:t>
            </w:r>
            <w:r>
              <w:rPr>
                <w:rFonts w:hint="default" w:ascii="Times New Roman" w:hAnsi="Times New Roman" w:eastAsia="宋体" w:cs="Times New Roman"/>
                <w:color w:val="auto"/>
                <w:spacing w:val="1"/>
                <w:sz w:val="24"/>
                <w:szCs w:val="24"/>
                <w:highlight w:val="none"/>
              </w:rPr>
              <w:t>环境保护局的监督检查，组织环保监测及统计工作，配合上级部门对</w:t>
            </w:r>
            <w:r>
              <w:rPr>
                <w:rFonts w:hint="default" w:ascii="Times New Roman" w:hAnsi="Times New Roman" w:eastAsia="宋体" w:cs="Times New Roman"/>
                <w:color w:val="auto"/>
                <w:sz w:val="24"/>
                <w:szCs w:val="24"/>
                <w:highlight w:val="none"/>
              </w:rPr>
              <w:t>本企业</w:t>
            </w:r>
            <w:r>
              <w:rPr>
                <w:rFonts w:hint="default" w:ascii="Times New Roman" w:hAnsi="Times New Roman" w:eastAsia="宋体" w:cs="Times New Roman"/>
                <w:color w:val="auto"/>
                <w:spacing w:val="1"/>
                <w:sz w:val="24"/>
                <w:szCs w:val="24"/>
                <w:highlight w:val="none"/>
              </w:rPr>
              <w:t>环保项目进行检查验收，定期与不定期地上报各项管理工作的执行情</w:t>
            </w:r>
            <w:r>
              <w:rPr>
                <w:rFonts w:hint="default" w:ascii="Times New Roman" w:hAnsi="Times New Roman" w:eastAsia="宋体" w:cs="Times New Roman"/>
                <w:color w:val="auto"/>
                <w:sz w:val="24"/>
                <w:szCs w:val="24"/>
                <w:highlight w:val="none"/>
              </w:rPr>
              <w:t>况以及</w:t>
            </w:r>
            <w:r>
              <w:rPr>
                <w:rFonts w:hint="default" w:ascii="Times New Roman" w:hAnsi="Times New Roman" w:eastAsia="宋体" w:cs="Times New Roman"/>
                <w:color w:val="auto"/>
                <w:spacing w:val="1"/>
                <w:sz w:val="24"/>
                <w:szCs w:val="24"/>
                <w:highlight w:val="none"/>
              </w:rPr>
              <w:t>各项有关环境参数、污染源排放指标，建立污染源及厂区周围环境质</w:t>
            </w:r>
            <w:r>
              <w:rPr>
                <w:rFonts w:hint="default" w:ascii="Times New Roman" w:hAnsi="Times New Roman" w:eastAsia="宋体" w:cs="Times New Roman"/>
                <w:color w:val="auto"/>
                <w:sz w:val="24"/>
                <w:szCs w:val="24"/>
                <w:highlight w:val="none"/>
              </w:rPr>
              <w:t>量监测</w:t>
            </w:r>
            <w:r>
              <w:rPr>
                <w:rFonts w:hint="default" w:ascii="Times New Roman" w:hAnsi="Times New Roman" w:eastAsia="宋体" w:cs="Times New Roman"/>
                <w:color w:val="auto"/>
                <w:spacing w:val="1"/>
                <w:sz w:val="24"/>
                <w:szCs w:val="24"/>
                <w:highlight w:val="none"/>
              </w:rPr>
              <w:t>数据档案，定期编写环保简报，制定全厂环保年度计划和长远规划，</w:t>
            </w:r>
            <w:r>
              <w:rPr>
                <w:rFonts w:hint="default" w:ascii="Times New Roman" w:hAnsi="Times New Roman" w:eastAsia="宋体" w:cs="Times New Roman"/>
                <w:color w:val="auto"/>
                <w:sz w:val="24"/>
                <w:szCs w:val="24"/>
                <w:highlight w:val="none"/>
              </w:rPr>
              <w:t>为区域</w:t>
            </w:r>
            <w:r>
              <w:rPr>
                <w:rFonts w:hint="default" w:ascii="Times New Roman" w:hAnsi="Times New Roman" w:eastAsia="宋体" w:cs="Times New Roman"/>
                <w:color w:val="auto"/>
                <w:spacing w:val="-2"/>
                <w:sz w:val="24"/>
                <w:szCs w:val="24"/>
                <w:highlight w:val="none"/>
              </w:rPr>
              <w:t>整体环境控制服务。</w:t>
            </w:r>
          </w:p>
          <w:p w14:paraId="66FEBADF">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Times New Roman" w:cs="Times New Roman"/>
                <w:color w:val="auto"/>
                <w:spacing w:val="-2"/>
                <w:sz w:val="24"/>
                <w:szCs w:val="24"/>
                <w:highlight w:val="none"/>
              </w:rPr>
              <w:t>3</w:t>
            </w:r>
            <w:r>
              <w:rPr>
                <w:rFonts w:hint="default" w:ascii="Times New Roman" w:hAnsi="Times New Roman" w:eastAsia="宋体" w:cs="Times New Roman"/>
                <w:color w:val="auto"/>
                <w:spacing w:val="-2"/>
                <w:sz w:val="24"/>
                <w:szCs w:val="24"/>
                <w:highlight w:val="none"/>
              </w:rPr>
              <w:t>）确保污染治理措施执行</w:t>
            </w:r>
            <w:r>
              <w:rPr>
                <w:rFonts w:hint="default" w:ascii="Times New Roman" w:hAnsi="Times New Roman" w:eastAsia="Times New Roman"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rPr>
              <w:t>三同时</w:t>
            </w:r>
            <w:r>
              <w:rPr>
                <w:rFonts w:hint="default" w:ascii="Times New Roman" w:hAnsi="Times New Roman" w:eastAsia="Times New Roman" w:cs="Times New Roman"/>
                <w:color w:val="auto"/>
                <w:spacing w:val="-2"/>
                <w:sz w:val="24"/>
                <w:szCs w:val="24"/>
                <w:highlight w:val="none"/>
              </w:rPr>
              <w:t>”</w:t>
            </w:r>
            <w:r>
              <w:rPr>
                <w:rFonts w:hint="default" w:ascii="Times New Roman" w:hAnsi="Times New Roman" w:eastAsia="宋体" w:cs="Times New Roman"/>
                <w:color w:val="auto"/>
                <w:spacing w:val="-2"/>
                <w:sz w:val="24"/>
                <w:szCs w:val="24"/>
                <w:highlight w:val="none"/>
              </w:rPr>
              <w:t>，检查、监督</w:t>
            </w:r>
            <w:r>
              <w:rPr>
                <w:rFonts w:hint="default" w:ascii="Times New Roman" w:hAnsi="Times New Roman" w:eastAsia="宋体" w:cs="Times New Roman"/>
                <w:color w:val="auto"/>
                <w:spacing w:val="-3"/>
                <w:sz w:val="24"/>
                <w:szCs w:val="24"/>
                <w:highlight w:val="none"/>
              </w:rPr>
              <w:t>全厂环保设施的正常</w:t>
            </w:r>
            <w:r>
              <w:rPr>
                <w:rFonts w:hint="default" w:ascii="Times New Roman" w:hAnsi="Times New Roman" w:eastAsia="宋体" w:cs="Times New Roman"/>
                <w:color w:val="auto"/>
                <w:spacing w:val="-1"/>
                <w:sz w:val="24"/>
                <w:szCs w:val="24"/>
                <w:highlight w:val="none"/>
              </w:rPr>
              <w:t>高效运行，使各项治理设施达到设计要求。</w:t>
            </w:r>
          </w:p>
          <w:p w14:paraId="033CF54E">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4</w:t>
            </w:r>
            <w:r>
              <w:rPr>
                <w:rFonts w:hint="default" w:ascii="Times New Roman" w:hAnsi="Times New Roman" w:eastAsia="宋体" w:cs="Times New Roman"/>
                <w:color w:val="auto"/>
                <w:spacing w:val="-3"/>
                <w:sz w:val="24"/>
                <w:szCs w:val="24"/>
                <w:highlight w:val="none"/>
              </w:rPr>
              <w:t>）控制场内运输过程中粉尘无组织排放。运输产生粉尘</w:t>
            </w:r>
            <w:r>
              <w:rPr>
                <w:rFonts w:hint="default" w:ascii="Times New Roman" w:hAnsi="Times New Roman" w:eastAsia="宋体" w:cs="Times New Roman"/>
                <w:color w:val="auto"/>
                <w:spacing w:val="-4"/>
                <w:sz w:val="24"/>
                <w:szCs w:val="24"/>
                <w:highlight w:val="none"/>
              </w:rPr>
              <w:t>的物料，其车</w:t>
            </w:r>
            <w:r>
              <w:rPr>
                <w:rFonts w:hint="default" w:ascii="Times New Roman" w:hAnsi="Times New Roman" w:eastAsia="宋体" w:cs="Times New Roman"/>
                <w:color w:val="auto"/>
                <w:spacing w:val="1"/>
                <w:sz w:val="24"/>
                <w:szCs w:val="24"/>
                <w:highlight w:val="none"/>
              </w:rPr>
              <w:t>辆应采取密闭、苫盖等措施。厂区道路应硬化，并采取洒水、喷雾等降</w:t>
            </w:r>
            <w:r>
              <w:rPr>
                <w:rFonts w:hint="default" w:ascii="Times New Roman" w:hAnsi="Times New Roman" w:eastAsia="宋体" w:cs="Times New Roman"/>
                <w:color w:val="auto"/>
                <w:sz w:val="24"/>
                <w:szCs w:val="24"/>
                <w:highlight w:val="none"/>
              </w:rPr>
              <w:t>尘措</w:t>
            </w:r>
            <w:r>
              <w:rPr>
                <w:rFonts w:hint="default" w:ascii="Times New Roman" w:hAnsi="Times New Roman" w:eastAsia="宋体" w:cs="Times New Roman"/>
                <w:color w:val="auto"/>
                <w:spacing w:val="-5"/>
                <w:sz w:val="24"/>
                <w:szCs w:val="24"/>
                <w:highlight w:val="none"/>
              </w:rPr>
              <w:t>施。</w:t>
            </w:r>
          </w:p>
          <w:p w14:paraId="3A8E71AF">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5</w:t>
            </w:r>
            <w:r>
              <w:rPr>
                <w:rFonts w:hint="default" w:ascii="Times New Roman" w:hAnsi="Times New Roman" w:eastAsia="宋体" w:cs="Times New Roman"/>
                <w:color w:val="auto"/>
                <w:spacing w:val="-3"/>
                <w:sz w:val="24"/>
                <w:szCs w:val="24"/>
                <w:highlight w:val="none"/>
              </w:rPr>
              <w:t>）污染防治设施应在满足设计工况的条件下运行，并根据工艺要求，</w:t>
            </w:r>
            <w:r>
              <w:rPr>
                <w:rFonts w:hint="default" w:ascii="Times New Roman" w:hAnsi="Times New Roman" w:eastAsia="宋体" w:cs="Times New Roman"/>
                <w:color w:val="auto"/>
                <w:spacing w:val="-1"/>
                <w:sz w:val="24"/>
                <w:szCs w:val="24"/>
                <w:highlight w:val="none"/>
              </w:rPr>
              <w:t>定期对设备、电气、自控仪表及构筑物进行检查维护，确保污染防治设施可</w:t>
            </w:r>
            <w:r>
              <w:rPr>
                <w:rFonts w:hint="default" w:ascii="Times New Roman" w:hAnsi="Times New Roman" w:eastAsia="宋体" w:cs="Times New Roman"/>
                <w:color w:val="auto"/>
                <w:spacing w:val="-3"/>
                <w:sz w:val="24"/>
                <w:szCs w:val="24"/>
                <w:highlight w:val="none"/>
              </w:rPr>
              <w:t>靠运行。</w:t>
            </w:r>
          </w:p>
          <w:p w14:paraId="5B83937D">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6</w:t>
            </w:r>
            <w:r>
              <w:rPr>
                <w:rFonts w:hint="default" w:ascii="Times New Roman" w:hAnsi="Times New Roman" w:eastAsia="宋体" w:cs="Times New Roman"/>
                <w:color w:val="auto"/>
                <w:spacing w:val="-3"/>
                <w:sz w:val="24"/>
                <w:szCs w:val="24"/>
                <w:highlight w:val="none"/>
              </w:rPr>
              <w:t>）加强环保知识宣传教育，</w:t>
            </w:r>
            <w:r>
              <w:rPr>
                <w:rFonts w:hint="default" w:ascii="Times New Roman" w:hAnsi="Times New Roman" w:cs="Times New Roman"/>
                <w:color w:val="auto"/>
                <w:spacing w:val="-3"/>
                <w:sz w:val="24"/>
                <w:szCs w:val="24"/>
                <w:highlight w:val="none"/>
                <w:lang w:eastAsia="zh-CN"/>
              </w:rPr>
              <w:t>增强</w:t>
            </w:r>
            <w:r>
              <w:rPr>
                <w:rFonts w:hint="default" w:ascii="Times New Roman" w:hAnsi="Times New Roman" w:eastAsia="宋体" w:cs="Times New Roman"/>
                <w:color w:val="auto"/>
                <w:spacing w:val="-3"/>
                <w:sz w:val="24"/>
                <w:szCs w:val="24"/>
                <w:highlight w:val="none"/>
              </w:rPr>
              <w:t>职工环境意识，把环境意识贯彻到企</w:t>
            </w:r>
            <w:r>
              <w:rPr>
                <w:rFonts w:hint="default" w:ascii="Times New Roman" w:hAnsi="Times New Roman" w:eastAsia="宋体" w:cs="Times New Roman"/>
                <w:color w:val="auto"/>
                <w:spacing w:val="-12"/>
                <w:sz w:val="24"/>
                <w:szCs w:val="24"/>
                <w:highlight w:val="none"/>
              </w:rPr>
              <w:t>业各车间班组及每个职工的日常生产、生活中；推广治理方面的先进技术</w:t>
            </w:r>
            <w:r>
              <w:rPr>
                <w:rFonts w:hint="default" w:ascii="Times New Roman" w:hAnsi="Times New Roman" w:cs="Times New Roman"/>
                <w:color w:val="auto"/>
                <w:spacing w:val="-12"/>
                <w:sz w:val="24"/>
                <w:szCs w:val="24"/>
                <w:highlight w:val="none"/>
                <w:lang w:eastAsia="zh-CN"/>
              </w:rPr>
              <w:t>。</w:t>
            </w:r>
          </w:p>
          <w:p w14:paraId="78A3DD77">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7</w:t>
            </w:r>
            <w:r>
              <w:rPr>
                <w:rFonts w:hint="default" w:ascii="Times New Roman" w:hAnsi="Times New Roman" w:eastAsia="宋体" w:cs="Times New Roman"/>
                <w:color w:val="auto"/>
                <w:spacing w:val="-3"/>
                <w:sz w:val="24"/>
                <w:szCs w:val="24"/>
                <w:highlight w:val="none"/>
              </w:rPr>
              <w:t>）组织制定环境保护管理的规章制度并监督执行；制定</w:t>
            </w:r>
            <w:r>
              <w:rPr>
                <w:rFonts w:hint="default" w:ascii="Times New Roman" w:hAnsi="Times New Roman" w:eastAsia="宋体" w:cs="Times New Roman"/>
                <w:color w:val="auto"/>
                <w:spacing w:val="-4"/>
                <w:sz w:val="24"/>
                <w:szCs w:val="24"/>
                <w:highlight w:val="none"/>
              </w:rPr>
              <w:t>并组织实施各</w:t>
            </w:r>
            <w:r>
              <w:rPr>
                <w:rFonts w:hint="default" w:ascii="Times New Roman" w:hAnsi="Times New Roman" w:eastAsia="宋体" w:cs="Times New Roman"/>
                <w:color w:val="auto"/>
                <w:spacing w:val="-1"/>
                <w:sz w:val="24"/>
                <w:szCs w:val="24"/>
                <w:highlight w:val="none"/>
              </w:rPr>
              <w:t>项环境保护的规划和计划；贯彻执行环境保护法规和标准。</w:t>
            </w:r>
          </w:p>
          <w:p w14:paraId="62299FC4">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8</w:t>
            </w:r>
            <w:r>
              <w:rPr>
                <w:rFonts w:hint="default" w:ascii="Times New Roman" w:hAnsi="Times New Roman" w:eastAsia="宋体" w:cs="Times New Roman"/>
                <w:color w:val="auto"/>
                <w:spacing w:val="-3"/>
                <w:sz w:val="24"/>
                <w:szCs w:val="24"/>
                <w:highlight w:val="none"/>
              </w:rPr>
              <w:t>）项目建成后及时进行环保验收并申请排污许可证。排</w:t>
            </w:r>
            <w:r>
              <w:rPr>
                <w:rFonts w:hint="default" w:ascii="Times New Roman" w:hAnsi="Times New Roman" w:eastAsia="宋体" w:cs="Times New Roman"/>
                <w:color w:val="auto"/>
                <w:spacing w:val="-4"/>
                <w:sz w:val="24"/>
                <w:szCs w:val="24"/>
                <w:highlight w:val="none"/>
              </w:rPr>
              <w:t>污单位在申请</w:t>
            </w:r>
            <w:r>
              <w:rPr>
                <w:rFonts w:hint="default" w:ascii="Times New Roman" w:hAnsi="Times New Roman" w:eastAsia="宋体" w:cs="Times New Roman"/>
                <w:color w:val="auto"/>
                <w:spacing w:val="-10"/>
                <w:sz w:val="24"/>
                <w:szCs w:val="24"/>
                <w:highlight w:val="none"/>
              </w:rPr>
              <w:t>排污许可证时，应按《排污许可证申请与核发技术规范橡胶和塑料制品》（</w:t>
            </w:r>
            <w:r>
              <w:rPr>
                <w:rFonts w:hint="default" w:ascii="Times New Roman" w:hAnsi="Times New Roman" w:eastAsia="Times New Roman" w:cs="Times New Roman"/>
                <w:color w:val="auto"/>
                <w:spacing w:val="-10"/>
                <w:sz w:val="24"/>
                <w:szCs w:val="24"/>
                <w:highlight w:val="none"/>
              </w:rPr>
              <w:t>HJ</w:t>
            </w:r>
            <w:r>
              <w:rPr>
                <w:rFonts w:hint="default" w:ascii="Times New Roman" w:hAnsi="Times New Roman" w:eastAsia="Times New Roman" w:cs="Times New Roman"/>
                <w:color w:val="auto"/>
                <w:spacing w:val="-1"/>
                <w:sz w:val="24"/>
                <w:szCs w:val="24"/>
                <w:highlight w:val="none"/>
              </w:rPr>
              <w:t>1122-2020</w:t>
            </w:r>
            <w:r>
              <w:rPr>
                <w:rFonts w:hint="default" w:ascii="Times New Roman" w:hAnsi="Times New Roman" w:eastAsia="宋体" w:cs="Times New Roman"/>
                <w:color w:val="auto"/>
                <w:spacing w:val="-1"/>
                <w:sz w:val="24"/>
                <w:szCs w:val="24"/>
                <w:highlight w:val="none"/>
              </w:rPr>
              <w:t>）相关标准规定，在全国排污许可证管</w:t>
            </w:r>
            <w:r>
              <w:rPr>
                <w:rFonts w:hint="default" w:ascii="Times New Roman" w:hAnsi="Times New Roman" w:eastAsia="宋体" w:cs="Times New Roman"/>
                <w:color w:val="auto"/>
                <w:spacing w:val="-2"/>
                <w:sz w:val="24"/>
                <w:szCs w:val="24"/>
                <w:highlight w:val="none"/>
              </w:rPr>
              <w:t>理信息平台中明确环境管理</w:t>
            </w:r>
            <w:r>
              <w:rPr>
                <w:rFonts w:hint="default" w:ascii="Times New Roman" w:hAnsi="Times New Roman" w:eastAsia="宋体" w:cs="Times New Roman"/>
                <w:color w:val="auto"/>
                <w:spacing w:val="1"/>
                <w:sz w:val="24"/>
                <w:szCs w:val="24"/>
                <w:highlight w:val="none"/>
              </w:rPr>
              <w:t>台账记录要求。建立环境管理台账制度，落实环境管理台账记录的责</w:t>
            </w:r>
            <w:r>
              <w:rPr>
                <w:rFonts w:hint="default" w:ascii="Times New Roman" w:hAnsi="Times New Roman" w:eastAsia="宋体" w:cs="Times New Roman"/>
                <w:color w:val="auto"/>
                <w:sz w:val="24"/>
                <w:szCs w:val="24"/>
                <w:highlight w:val="none"/>
              </w:rPr>
              <w:t>任单位</w:t>
            </w:r>
            <w:r>
              <w:rPr>
                <w:rFonts w:hint="default" w:ascii="Times New Roman" w:hAnsi="Times New Roman" w:eastAsia="宋体" w:cs="Times New Roman"/>
                <w:color w:val="auto"/>
                <w:spacing w:val="1"/>
                <w:sz w:val="24"/>
                <w:szCs w:val="24"/>
                <w:highlight w:val="none"/>
              </w:rPr>
              <w:t>和责任人，明确工作职责，包括台账的记录、整理、维护和管理等，</w:t>
            </w:r>
            <w:r>
              <w:rPr>
                <w:rFonts w:hint="default" w:ascii="Times New Roman" w:hAnsi="Times New Roman" w:eastAsia="宋体" w:cs="Times New Roman"/>
                <w:color w:val="auto"/>
                <w:sz w:val="24"/>
                <w:szCs w:val="24"/>
                <w:highlight w:val="none"/>
              </w:rPr>
              <w:t>台账记</w:t>
            </w:r>
            <w:r>
              <w:rPr>
                <w:rFonts w:hint="default" w:ascii="Times New Roman" w:hAnsi="Times New Roman" w:eastAsia="宋体" w:cs="Times New Roman"/>
                <w:color w:val="auto"/>
                <w:spacing w:val="-4"/>
                <w:sz w:val="24"/>
                <w:szCs w:val="24"/>
                <w:highlight w:val="none"/>
              </w:rPr>
              <w:t>录频次和内容须满足排污许可证环境管理要求，并对台账记录结果的真实性、</w:t>
            </w:r>
            <w:r>
              <w:rPr>
                <w:rFonts w:hint="default" w:ascii="Times New Roman" w:hAnsi="Times New Roman" w:eastAsia="宋体" w:cs="Times New Roman"/>
                <w:color w:val="auto"/>
                <w:spacing w:val="-1"/>
                <w:sz w:val="24"/>
                <w:szCs w:val="24"/>
                <w:highlight w:val="none"/>
              </w:rPr>
              <w:t>完整性和规范性负责。</w:t>
            </w:r>
          </w:p>
          <w:p w14:paraId="2AB2CF40">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7.2</w:t>
            </w:r>
            <w:r>
              <w:rPr>
                <w:rFonts w:hint="default" w:ascii="Times New Roman" w:hAnsi="Times New Roman" w:eastAsia="宋体" w:cs="Times New Roman"/>
                <w:b/>
                <w:bCs/>
                <w:color w:val="auto"/>
                <w:spacing w:val="-2"/>
                <w:sz w:val="24"/>
                <w:szCs w:val="24"/>
                <w:highlight w:val="none"/>
              </w:rPr>
              <w:t>危险废物环境管理计划</w:t>
            </w:r>
          </w:p>
          <w:p w14:paraId="278B0C38">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1</w:t>
            </w:r>
            <w:r>
              <w:rPr>
                <w:rFonts w:hint="default" w:ascii="Times New Roman" w:hAnsi="Times New Roman" w:eastAsia="宋体" w:cs="Times New Roman"/>
                <w:color w:val="auto"/>
                <w:spacing w:val="-3"/>
                <w:sz w:val="24"/>
                <w:szCs w:val="24"/>
                <w:highlight w:val="none"/>
              </w:rPr>
              <w:t>）危险废物产生</w:t>
            </w:r>
          </w:p>
          <w:p w14:paraId="5B40CE4B">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危险废物产生情况应按《危险废物管理计划和管理台账制定技术导则》</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HJ1259-2022</w:t>
            </w:r>
            <w:r>
              <w:rPr>
                <w:rFonts w:hint="default" w:ascii="Times New Roman" w:hAnsi="Times New Roman" w:eastAsia="宋体" w:cs="Times New Roman"/>
                <w:color w:val="auto"/>
                <w:spacing w:val="-1"/>
                <w:sz w:val="24"/>
                <w:szCs w:val="24"/>
                <w:highlight w:val="none"/>
              </w:rPr>
              <w:t>）附录</w:t>
            </w:r>
            <w:r>
              <w:rPr>
                <w:rFonts w:hint="default" w:ascii="Times New Roman" w:hAnsi="Times New Roman" w:eastAsia="Times New Roman" w:cs="Times New Roman"/>
                <w:color w:val="auto"/>
                <w:spacing w:val="-1"/>
                <w:sz w:val="24"/>
                <w:szCs w:val="24"/>
                <w:highlight w:val="none"/>
              </w:rPr>
              <w:t>A.3</w:t>
            </w:r>
            <w:r>
              <w:rPr>
                <w:rFonts w:hint="default" w:ascii="Times New Roman" w:hAnsi="Times New Roman" w:eastAsia="宋体" w:cs="Times New Roman"/>
                <w:color w:val="auto"/>
                <w:spacing w:val="-1"/>
                <w:sz w:val="24"/>
                <w:szCs w:val="24"/>
                <w:highlight w:val="none"/>
              </w:rPr>
              <w:t>填写，填写应满足以下要求。</w:t>
            </w:r>
          </w:p>
          <w:p w14:paraId="2061DBD9">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①危险废物名称、类别、代码和危险特性：依据《国家危险废物名录》</w:t>
            </w:r>
            <w:r>
              <w:rPr>
                <w:rFonts w:hint="default" w:ascii="Times New Roman" w:hAnsi="Times New Roman" w:eastAsia="宋体" w:cs="Times New Roman"/>
                <w:color w:val="auto"/>
                <w:spacing w:val="-2"/>
                <w:sz w:val="24"/>
                <w:szCs w:val="24"/>
                <w:highlight w:val="none"/>
              </w:rPr>
              <w:t>或根据</w:t>
            </w:r>
            <w:r>
              <w:rPr>
                <w:rFonts w:hint="default" w:ascii="Times New Roman" w:hAnsi="Times New Roman" w:eastAsia="Times New Roman" w:cs="Times New Roman"/>
                <w:color w:val="auto"/>
                <w:spacing w:val="-2"/>
                <w:sz w:val="24"/>
                <w:szCs w:val="24"/>
                <w:highlight w:val="none"/>
              </w:rPr>
              <w:t>GB5085.1~7</w:t>
            </w:r>
            <w:r>
              <w:rPr>
                <w:rFonts w:hint="default" w:ascii="Times New Roman" w:hAnsi="Times New Roman" w:eastAsia="宋体" w:cs="Times New Roman"/>
                <w:color w:val="auto"/>
                <w:spacing w:val="-2"/>
                <w:sz w:val="24"/>
                <w:szCs w:val="24"/>
                <w:highlight w:val="none"/>
              </w:rPr>
              <w:t>和</w:t>
            </w:r>
            <w:r>
              <w:rPr>
                <w:rFonts w:hint="default" w:ascii="Times New Roman" w:hAnsi="Times New Roman" w:eastAsia="Times New Roman" w:cs="Times New Roman"/>
                <w:color w:val="auto"/>
                <w:spacing w:val="-2"/>
                <w:sz w:val="24"/>
                <w:szCs w:val="24"/>
                <w:highlight w:val="none"/>
              </w:rPr>
              <w:t>HJ298</w:t>
            </w:r>
            <w:r>
              <w:rPr>
                <w:rFonts w:hint="default" w:ascii="Times New Roman" w:hAnsi="Times New Roman" w:eastAsia="宋体" w:cs="Times New Roman"/>
                <w:color w:val="auto"/>
                <w:spacing w:val="-2"/>
                <w:sz w:val="24"/>
                <w:szCs w:val="24"/>
                <w:highlight w:val="none"/>
              </w:rPr>
              <w:t>判定并填写。有行业俗称或单位内部名称的，</w:t>
            </w:r>
            <w:r>
              <w:rPr>
                <w:rFonts w:hint="default" w:ascii="Times New Roman" w:hAnsi="Times New Roman" w:eastAsia="宋体" w:cs="Times New Roman"/>
                <w:color w:val="auto"/>
                <w:spacing w:val="-1"/>
                <w:sz w:val="24"/>
                <w:szCs w:val="24"/>
                <w:highlight w:val="none"/>
              </w:rPr>
              <w:t>同时填写行业俗称或单位内部名称。</w:t>
            </w:r>
          </w:p>
          <w:p w14:paraId="621A87A4">
            <w:pPr>
              <w:keepNext w:val="0"/>
              <w:keepLines w:val="0"/>
              <w:pageBreakBefore w:val="0"/>
              <w:widowControl/>
              <w:kinsoku w:val="0"/>
              <w:wordWrap/>
              <w:overflowPunct/>
              <w:topLinePunct w:val="0"/>
              <w:autoSpaceDE w:val="0"/>
              <w:autoSpaceDN w:val="0"/>
              <w:bidi w:val="0"/>
              <w:snapToGrid w:val="0"/>
              <w:spacing w:line="360" w:lineRule="auto"/>
              <w:ind w:left="0" w:right="0" w:firstLine="46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②有害成分名称：危险废物中对环境有害的主要污染物名称，如苯系物、</w:t>
            </w:r>
            <w:r>
              <w:rPr>
                <w:rFonts w:hint="default" w:ascii="Times New Roman" w:hAnsi="Times New Roman" w:eastAsia="宋体" w:cs="Times New Roman"/>
                <w:color w:val="auto"/>
                <w:spacing w:val="-2"/>
                <w:sz w:val="24"/>
                <w:szCs w:val="24"/>
                <w:highlight w:val="none"/>
              </w:rPr>
              <w:t>氰化物、砷等。</w:t>
            </w:r>
          </w:p>
          <w:p w14:paraId="55315C95">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③产生危险废物设施名称和编码：依据排污许可证副本中载明的编码。</w:t>
            </w:r>
            <w:r>
              <w:rPr>
                <w:rFonts w:hint="default" w:ascii="Times New Roman" w:hAnsi="Times New Roman" w:eastAsia="宋体" w:cs="Times New Roman"/>
                <w:color w:val="auto"/>
                <w:spacing w:val="-2"/>
                <w:sz w:val="24"/>
                <w:szCs w:val="24"/>
                <w:highlight w:val="none"/>
              </w:rPr>
              <w:t>若无编码，则根据</w:t>
            </w:r>
            <w:r>
              <w:rPr>
                <w:rFonts w:hint="default" w:ascii="Times New Roman" w:hAnsi="Times New Roman" w:eastAsia="Times New Roman" w:cs="Times New Roman"/>
                <w:color w:val="auto"/>
                <w:spacing w:val="-2"/>
                <w:sz w:val="24"/>
                <w:szCs w:val="24"/>
                <w:highlight w:val="none"/>
              </w:rPr>
              <w:t>HJ608</w:t>
            </w:r>
            <w:r>
              <w:rPr>
                <w:rFonts w:hint="default" w:ascii="Times New Roman" w:hAnsi="Times New Roman" w:eastAsia="宋体" w:cs="Times New Roman"/>
                <w:color w:val="auto"/>
                <w:spacing w:val="-2"/>
                <w:sz w:val="24"/>
                <w:szCs w:val="24"/>
                <w:highlight w:val="none"/>
              </w:rPr>
              <w:t>进行编码并填写生产设施名称、生产设施编码，可</w:t>
            </w:r>
            <w:r>
              <w:rPr>
                <w:rFonts w:hint="default" w:ascii="Times New Roman" w:hAnsi="Times New Roman" w:eastAsia="宋体" w:cs="Times New Roman"/>
                <w:color w:val="auto"/>
                <w:spacing w:val="-1"/>
                <w:sz w:val="24"/>
                <w:szCs w:val="24"/>
                <w:highlight w:val="none"/>
              </w:rPr>
              <w:t>由国家危险废物信息管理系统自动生成。</w:t>
            </w:r>
          </w:p>
          <w:p w14:paraId="2D9C5EF3">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④本年度预计产生量：本年度预计产生的危险废物量。</w:t>
            </w:r>
          </w:p>
          <w:p w14:paraId="619E3F81">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⑤计量单位：填写吨。以升、立方米等体积计量的，应折算成重量吨；</w:t>
            </w:r>
            <w:r>
              <w:rPr>
                <w:rFonts w:hint="default" w:ascii="Times New Roman" w:hAnsi="Times New Roman" w:eastAsia="宋体" w:cs="Times New Roman"/>
                <w:color w:val="auto"/>
                <w:spacing w:val="-2"/>
                <w:sz w:val="24"/>
                <w:szCs w:val="24"/>
                <w:highlight w:val="none"/>
              </w:rPr>
              <w:t>以个数作为计量单位的，除填写个数外，还应折算成重量吨。</w:t>
            </w:r>
          </w:p>
          <w:p w14:paraId="0962B2E9">
            <w:pPr>
              <w:keepNext w:val="0"/>
              <w:keepLines w:val="0"/>
              <w:pageBreakBefore w:val="0"/>
              <w:widowControl/>
              <w:kinsoku w:val="0"/>
              <w:wordWrap/>
              <w:overflowPunct/>
              <w:topLinePunct w:val="0"/>
              <w:autoSpaceDE w:val="0"/>
              <w:autoSpaceDN w:val="0"/>
              <w:bidi w:val="0"/>
              <w:snapToGrid w:val="0"/>
              <w:spacing w:line="360" w:lineRule="auto"/>
              <w:ind w:left="0" w:right="0" w:firstLine="472"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⑥内部治理方式及去向：自行利用设施编码、自行</w:t>
            </w:r>
            <w:r>
              <w:rPr>
                <w:rFonts w:hint="default" w:ascii="Times New Roman" w:hAnsi="Times New Roman" w:eastAsia="宋体" w:cs="Times New Roman"/>
                <w:color w:val="auto"/>
                <w:spacing w:val="-3"/>
                <w:sz w:val="24"/>
                <w:szCs w:val="24"/>
                <w:highlight w:val="none"/>
              </w:rPr>
              <w:t>处置设施编码和贮存</w:t>
            </w:r>
            <w:r>
              <w:rPr>
                <w:rFonts w:hint="default" w:ascii="Times New Roman" w:hAnsi="Times New Roman" w:eastAsia="宋体" w:cs="Times New Roman"/>
                <w:color w:val="auto"/>
                <w:spacing w:val="-2"/>
                <w:sz w:val="24"/>
                <w:szCs w:val="24"/>
                <w:highlight w:val="none"/>
              </w:rPr>
              <w:t>设施编码依据本标准第</w:t>
            </w:r>
          </w:p>
          <w:p w14:paraId="3B195F87">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⑦部分填写的污染防治设施编码填写，可由国家危险废物信息管理系统</w:t>
            </w:r>
            <w:r>
              <w:rPr>
                <w:rFonts w:hint="default" w:ascii="Times New Roman" w:hAnsi="Times New Roman" w:eastAsia="宋体" w:cs="Times New Roman"/>
                <w:color w:val="auto"/>
                <w:spacing w:val="-10"/>
                <w:sz w:val="24"/>
                <w:szCs w:val="24"/>
                <w:highlight w:val="none"/>
              </w:rPr>
              <w:t>自动生成。</w:t>
            </w:r>
          </w:p>
          <w:p w14:paraId="63C22A91">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2</w:t>
            </w:r>
            <w:r>
              <w:rPr>
                <w:rFonts w:hint="default" w:ascii="Times New Roman" w:hAnsi="Times New Roman" w:eastAsia="宋体" w:cs="Times New Roman"/>
                <w:color w:val="auto"/>
                <w:spacing w:val="-3"/>
                <w:sz w:val="24"/>
                <w:szCs w:val="24"/>
                <w:highlight w:val="none"/>
              </w:rPr>
              <w:t>）危险废物贮存</w:t>
            </w:r>
          </w:p>
          <w:p w14:paraId="6F50FE81">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危险废物贮存情况应按《危险废物管理计划和管理台账制定技术导则》</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HJ1259-2022</w:t>
            </w:r>
            <w:r>
              <w:rPr>
                <w:rFonts w:hint="default" w:ascii="Times New Roman" w:hAnsi="Times New Roman" w:eastAsia="宋体" w:cs="Times New Roman"/>
                <w:color w:val="auto"/>
                <w:spacing w:val="-1"/>
                <w:sz w:val="24"/>
                <w:szCs w:val="24"/>
                <w:highlight w:val="none"/>
              </w:rPr>
              <w:t>）附录</w:t>
            </w:r>
            <w:r>
              <w:rPr>
                <w:rFonts w:hint="default" w:ascii="Times New Roman" w:hAnsi="Times New Roman" w:eastAsia="Times New Roman" w:cs="Times New Roman"/>
                <w:color w:val="auto"/>
                <w:spacing w:val="-1"/>
                <w:sz w:val="24"/>
                <w:szCs w:val="24"/>
                <w:highlight w:val="none"/>
              </w:rPr>
              <w:t>A.4</w:t>
            </w:r>
            <w:r>
              <w:rPr>
                <w:rFonts w:hint="default" w:ascii="Times New Roman" w:hAnsi="Times New Roman" w:eastAsia="宋体" w:cs="Times New Roman"/>
                <w:color w:val="auto"/>
                <w:spacing w:val="-1"/>
                <w:sz w:val="24"/>
                <w:szCs w:val="24"/>
                <w:highlight w:val="none"/>
              </w:rPr>
              <w:t>填写，填写应满足以下要求。</w:t>
            </w:r>
          </w:p>
          <w:p w14:paraId="3EB2C2AE">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①危险废物名称、类别、代码、有害成分名称、形态、危险特性的相关</w:t>
            </w:r>
            <w:r>
              <w:rPr>
                <w:rFonts w:hint="default" w:ascii="Times New Roman" w:hAnsi="Times New Roman" w:eastAsia="宋体" w:cs="Times New Roman"/>
                <w:color w:val="auto"/>
                <w:spacing w:val="-1"/>
                <w:sz w:val="24"/>
                <w:szCs w:val="24"/>
                <w:highlight w:val="none"/>
              </w:rPr>
              <w:t>信息填写，可由国家危险废物信息管理系统自动生成。</w:t>
            </w:r>
          </w:p>
          <w:p w14:paraId="5914B4E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②贮存设施编码：依据排污许可证副本中载明的编码。若无编码，则根</w:t>
            </w:r>
            <w:r>
              <w:rPr>
                <w:rFonts w:hint="default" w:ascii="Times New Roman" w:hAnsi="Times New Roman" w:eastAsia="宋体" w:cs="Times New Roman"/>
                <w:color w:val="auto"/>
                <w:spacing w:val="-2"/>
                <w:sz w:val="24"/>
                <w:szCs w:val="24"/>
                <w:highlight w:val="none"/>
              </w:rPr>
              <w:t>据</w:t>
            </w:r>
            <w:r>
              <w:rPr>
                <w:rFonts w:hint="default" w:ascii="Times New Roman" w:hAnsi="Times New Roman" w:eastAsia="Times New Roman" w:cs="Times New Roman"/>
                <w:color w:val="auto"/>
                <w:spacing w:val="-2"/>
                <w:sz w:val="24"/>
                <w:szCs w:val="24"/>
                <w:highlight w:val="none"/>
              </w:rPr>
              <w:t>HJ608</w:t>
            </w:r>
            <w:r>
              <w:rPr>
                <w:rFonts w:hint="default" w:ascii="Times New Roman" w:hAnsi="Times New Roman" w:eastAsia="宋体" w:cs="Times New Roman"/>
                <w:color w:val="auto"/>
                <w:spacing w:val="-2"/>
                <w:sz w:val="24"/>
                <w:szCs w:val="24"/>
                <w:highlight w:val="none"/>
              </w:rPr>
              <w:t>进行编码并填写生产设施名称、生产设施编码，可由国家危险废物</w:t>
            </w:r>
            <w:r>
              <w:rPr>
                <w:rFonts w:hint="default" w:ascii="Times New Roman" w:hAnsi="Times New Roman" w:eastAsia="宋体" w:cs="Times New Roman"/>
                <w:color w:val="auto"/>
                <w:spacing w:val="-1"/>
                <w:sz w:val="24"/>
                <w:szCs w:val="24"/>
                <w:highlight w:val="none"/>
              </w:rPr>
              <w:t>信息管理系统自动生成。</w:t>
            </w:r>
          </w:p>
          <w:p w14:paraId="0759F5F7">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③贮存设施类型：根据</w:t>
            </w:r>
            <w:r>
              <w:rPr>
                <w:rFonts w:hint="default" w:ascii="Times New Roman" w:hAnsi="Times New Roman" w:eastAsia="Times New Roman" w:cs="Times New Roman"/>
                <w:color w:val="auto"/>
                <w:spacing w:val="-3"/>
                <w:sz w:val="24"/>
                <w:szCs w:val="24"/>
                <w:highlight w:val="none"/>
              </w:rPr>
              <w:t>GB18597</w:t>
            </w:r>
            <w:r>
              <w:rPr>
                <w:rFonts w:hint="default" w:ascii="Times New Roman" w:hAnsi="Times New Roman" w:eastAsia="宋体" w:cs="Times New Roman"/>
                <w:color w:val="auto"/>
                <w:spacing w:val="-3"/>
                <w:sz w:val="24"/>
                <w:szCs w:val="24"/>
                <w:highlight w:val="none"/>
              </w:rPr>
              <w:t>中贮存设施类型填写。</w:t>
            </w:r>
          </w:p>
          <w:p w14:paraId="40602BC9">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④包装形式：包括包装容器、材质、规格等。</w:t>
            </w:r>
          </w:p>
          <w:p w14:paraId="4AF9C39B">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⑤本年度预计剩余贮存量：预计截至本年底贮存设施内危险废物的库存</w:t>
            </w:r>
            <w:r>
              <w:rPr>
                <w:rFonts w:hint="default" w:ascii="Times New Roman" w:hAnsi="Times New Roman" w:eastAsia="宋体" w:cs="Times New Roman"/>
                <w:color w:val="auto"/>
                <w:spacing w:val="-5"/>
                <w:sz w:val="24"/>
                <w:szCs w:val="24"/>
                <w:highlight w:val="none"/>
              </w:rPr>
              <w:t>量。</w:t>
            </w:r>
          </w:p>
          <w:p w14:paraId="63A29575">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⑥计量单位：填写吨。以升、立方米等体积计量的，应折算成重量吨；</w:t>
            </w:r>
            <w:r>
              <w:rPr>
                <w:rFonts w:hint="default" w:ascii="Times New Roman" w:hAnsi="Times New Roman" w:eastAsia="宋体" w:cs="Times New Roman"/>
                <w:color w:val="auto"/>
                <w:spacing w:val="-2"/>
                <w:sz w:val="24"/>
                <w:szCs w:val="24"/>
                <w:highlight w:val="none"/>
              </w:rPr>
              <w:t>以个数作为计量单位的，除填写个数外，还应折算成重量吨。</w:t>
            </w:r>
          </w:p>
          <w:p w14:paraId="380592BC">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⑦危险废物贮存能力应与排污许可证副本中载明的保持一致，或根据产</w:t>
            </w:r>
            <w:r>
              <w:rPr>
                <w:rFonts w:hint="default" w:ascii="Times New Roman" w:hAnsi="Times New Roman" w:eastAsia="宋体" w:cs="Times New Roman"/>
                <w:color w:val="auto"/>
                <w:spacing w:val="-1"/>
                <w:sz w:val="24"/>
                <w:szCs w:val="24"/>
                <w:highlight w:val="none"/>
              </w:rPr>
              <w:t>生危险废物的单位环境影响评价文件及审批意见确定。</w:t>
            </w:r>
          </w:p>
          <w:p w14:paraId="24C8545E">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w:t>
            </w:r>
            <w:r>
              <w:rPr>
                <w:rFonts w:hint="default" w:ascii="Times New Roman" w:hAnsi="Times New Roman" w:eastAsia="Times New Roman" w:cs="Times New Roman"/>
                <w:color w:val="auto"/>
                <w:spacing w:val="-3"/>
                <w:sz w:val="24"/>
                <w:szCs w:val="24"/>
                <w:highlight w:val="none"/>
              </w:rPr>
              <w:t>3</w:t>
            </w:r>
            <w:r>
              <w:rPr>
                <w:rFonts w:hint="default" w:ascii="Times New Roman" w:hAnsi="Times New Roman" w:eastAsia="宋体" w:cs="Times New Roman"/>
                <w:color w:val="auto"/>
                <w:spacing w:val="-3"/>
                <w:sz w:val="24"/>
                <w:szCs w:val="24"/>
                <w:highlight w:val="none"/>
              </w:rPr>
              <w:t>）危险废物转移</w:t>
            </w:r>
          </w:p>
          <w:p w14:paraId="73C2D427">
            <w:pPr>
              <w:keepNext w:val="0"/>
              <w:keepLines w:val="0"/>
              <w:pageBreakBefore w:val="0"/>
              <w:widowControl/>
              <w:kinsoku w:val="0"/>
              <w:wordWrap/>
              <w:overflowPunct/>
              <w:topLinePunct w:val="0"/>
              <w:autoSpaceDE w:val="0"/>
              <w:autoSpaceDN w:val="0"/>
              <w:bidi w:val="0"/>
              <w:snapToGrid w:val="0"/>
              <w:spacing w:line="360" w:lineRule="auto"/>
              <w:ind w:left="0" w:right="0" w:firstLine="480"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危险废物转移情况应按《危险废物管理计划和管理台账制定技术导则》</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HJ1259-2022</w:t>
            </w:r>
            <w:r>
              <w:rPr>
                <w:rFonts w:hint="default" w:ascii="Times New Roman" w:hAnsi="Times New Roman" w:eastAsia="宋体" w:cs="Times New Roman"/>
                <w:color w:val="auto"/>
                <w:spacing w:val="-1"/>
                <w:sz w:val="24"/>
                <w:szCs w:val="24"/>
                <w:highlight w:val="none"/>
              </w:rPr>
              <w:t>）附录</w:t>
            </w:r>
            <w:r>
              <w:rPr>
                <w:rFonts w:hint="default" w:ascii="Times New Roman" w:hAnsi="Times New Roman" w:eastAsia="Times New Roman" w:cs="Times New Roman"/>
                <w:color w:val="auto"/>
                <w:spacing w:val="-1"/>
                <w:sz w:val="24"/>
                <w:szCs w:val="24"/>
                <w:highlight w:val="none"/>
              </w:rPr>
              <w:t>A.7</w:t>
            </w:r>
            <w:r>
              <w:rPr>
                <w:rFonts w:hint="default" w:ascii="Times New Roman" w:hAnsi="Times New Roman" w:eastAsia="宋体" w:cs="Times New Roman"/>
                <w:color w:val="auto"/>
                <w:spacing w:val="-1"/>
                <w:sz w:val="24"/>
                <w:szCs w:val="24"/>
                <w:highlight w:val="none"/>
              </w:rPr>
              <w:t>填写，填写应满足以下要求。</w:t>
            </w:r>
          </w:p>
          <w:p w14:paraId="2390AB33">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①转移类型：指省内转移、跨省转移和境外转移。</w:t>
            </w:r>
          </w:p>
          <w:p w14:paraId="1F7529D9">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②危险废物名称、类别、代码、有害成分名称、形态、危险特性填写相</w:t>
            </w:r>
            <w:r>
              <w:rPr>
                <w:rFonts w:hint="default" w:ascii="Times New Roman" w:hAnsi="Times New Roman" w:eastAsia="宋体" w:cs="Times New Roman"/>
                <w:color w:val="auto"/>
                <w:spacing w:val="-1"/>
                <w:sz w:val="24"/>
                <w:szCs w:val="24"/>
                <w:highlight w:val="none"/>
              </w:rPr>
              <w:t>关信息，可由国家危险废物信息管理系统自动生成。</w:t>
            </w:r>
          </w:p>
          <w:p w14:paraId="3C1C5C92">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②本年度预计转移量：本年度预计转移的危险废物量。</w:t>
            </w:r>
          </w:p>
          <w:p w14:paraId="418FBDC1">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③计量单位：填写吨。以升、立方米等体积计量的，应折算成重量吨；</w:t>
            </w:r>
            <w:r>
              <w:rPr>
                <w:rFonts w:hint="default" w:ascii="Times New Roman" w:hAnsi="Times New Roman" w:eastAsia="宋体" w:cs="Times New Roman"/>
                <w:color w:val="auto"/>
                <w:spacing w:val="-2"/>
                <w:sz w:val="24"/>
                <w:szCs w:val="24"/>
                <w:highlight w:val="none"/>
              </w:rPr>
              <w:t>以个数作为计量单位的，除填写个数外，还应折算成重量吨。</w:t>
            </w:r>
          </w:p>
          <w:p w14:paraId="60A66528">
            <w:pPr>
              <w:keepNext w:val="0"/>
              <w:keepLines w:val="0"/>
              <w:pageBreakBefore w:val="0"/>
              <w:widowControl/>
              <w:kinsoku w:val="0"/>
              <w:wordWrap/>
              <w:overflowPunct/>
              <w:topLinePunct w:val="0"/>
              <w:autoSpaceDE w:val="0"/>
              <w:autoSpaceDN w:val="0"/>
              <w:bidi w:val="0"/>
              <w:snapToGrid w:val="0"/>
              <w:spacing w:line="360" w:lineRule="auto"/>
              <w:ind w:left="0" w:right="0" w:firstLine="468"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④利用</w:t>
            </w:r>
            <w:r>
              <w:rPr>
                <w:rFonts w:hint="default" w:ascii="Times New Roman" w:hAnsi="Times New Roman" w:eastAsia="Times New Roman" w:cs="Times New Roman"/>
                <w:color w:val="auto"/>
                <w:spacing w:val="-3"/>
                <w:sz w:val="24"/>
                <w:szCs w:val="24"/>
                <w:highlight w:val="none"/>
              </w:rPr>
              <w:t>/</w:t>
            </w:r>
            <w:r>
              <w:rPr>
                <w:rFonts w:hint="default" w:ascii="Times New Roman" w:hAnsi="Times New Roman" w:eastAsia="宋体" w:cs="Times New Roman"/>
                <w:color w:val="auto"/>
                <w:spacing w:val="-3"/>
                <w:sz w:val="24"/>
                <w:szCs w:val="24"/>
                <w:highlight w:val="none"/>
              </w:rPr>
              <w:t>处置方式代码：根据</w:t>
            </w:r>
            <w:r>
              <w:rPr>
                <w:rFonts w:hint="default" w:ascii="Times New Roman" w:hAnsi="Times New Roman" w:eastAsia="Times New Roman" w:cs="Times New Roman"/>
                <w:color w:val="auto"/>
                <w:spacing w:val="-3"/>
                <w:sz w:val="24"/>
                <w:szCs w:val="24"/>
                <w:highlight w:val="none"/>
              </w:rPr>
              <w:t>HJ1033</w:t>
            </w:r>
            <w:r>
              <w:rPr>
                <w:rFonts w:hint="default" w:ascii="Times New Roman" w:hAnsi="Times New Roman" w:eastAsia="宋体" w:cs="Times New Roman"/>
                <w:color w:val="auto"/>
                <w:spacing w:val="-3"/>
                <w:sz w:val="24"/>
                <w:szCs w:val="24"/>
                <w:highlight w:val="none"/>
              </w:rPr>
              <w:t>附录</w:t>
            </w:r>
            <w:r>
              <w:rPr>
                <w:rFonts w:hint="default" w:ascii="Times New Roman" w:hAnsi="Times New Roman" w:eastAsia="Times New Roman" w:cs="Times New Roman"/>
                <w:color w:val="auto"/>
                <w:spacing w:val="-3"/>
                <w:sz w:val="24"/>
                <w:szCs w:val="24"/>
                <w:highlight w:val="none"/>
              </w:rPr>
              <w:t>F</w:t>
            </w:r>
            <w:r>
              <w:rPr>
                <w:rFonts w:hint="default" w:ascii="Times New Roman" w:hAnsi="Times New Roman" w:eastAsia="宋体" w:cs="Times New Roman"/>
                <w:color w:val="auto"/>
                <w:spacing w:val="-3"/>
                <w:sz w:val="24"/>
                <w:szCs w:val="24"/>
                <w:highlight w:val="none"/>
              </w:rPr>
              <w:t>填写。</w:t>
            </w:r>
          </w:p>
          <w:p w14:paraId="30114E85">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⑤拟接收单位类型：危险废物经营许可证持有单位、危险废物利用处置</w:t>
            </w:r>
            <w:r>
              <w:rPr>
                <w:rFonts w:hint="default" w:ascii="Times New Roman" w:hAnsi="Times New Roman" w:eastAsia="宋体" w:cs="Times New Roman"/>
                <w:color w:val="auto"/>
                <w:sz w:val="24"/>
                <w:szCs w:val="24"/>
                <w:highlight w:val="none"/>
              </w:rPr>
              <w:t>环节豁免管理单位、中华人民共和国境外的危</w:t>
            </w:r>
            <w:r>
              <w:rPr>
                <w:rFonts w:hint="default" w:ascii="Times New Roman" w:hAnsi="Times New Roman" w:eastAsia="宋体" w:cs="Times New Roman"/>
                <w:color w:val="auto"/>
                <w:spacing w:val="-1"/>
                <w:sz w:val="24"/>
                <w:szCs w:val="24"/>
                <w:highlight w:val="none"/>
              </w:rPr>
              <w:t>险废物利用处置单位等。</w:t>
            </w:r>
            <w:r>
              <w:rPr>
                <w:rFonts w:hint="default" w:ascii="Times New Roman" w:hAnsi="Times New Roman" w:eastAsia="宋体" w:cs="Times New Roman"/>
                <w:color w:val="auto"/>
                <w:spacing w:val="1"/>
                <w:sz w:val="24"/>
                <w:szCs w:val="24"/>
                <w:highlight w:val="none"/>
              </w:rPr>
              <w:t>⑥拟接收危险废物经营许可证持有单位名称、经营许可证编号：应当与国家危险废物信息管理系统中登记的危险废物经营许可证持</w:t>
            </w:r>
            <w:r>
              <w:rPr>
                <w:rFonts w:hint="default" w:ascii="Times New Roman" w:hAnsi="Times New Roman" w:eastAsia="宋体" w:cs="Times New Roman"/>
                <w:color w:val="auto"/>
                <w:sz w:val="24"/>
                <w:szCs w:val="24"/>
                <w:highlight w:val="none"/>
              </w:rPr>
              <w:t>有单位相关信息</w:t>
            </w:r>
            <w:r>
              <w:rPr>
                <w:rFonts w:hint="default" w:ascii="Times New Roman" w:hAnsi="Times New Roman" w:eastAsia="宋体" w:cs="Times New Roman"/>
                <w:color w:val="auto"/>
                <w:spacing w:val="-1"/>
                <w:sz w:val="24"/>
                <w:szCs w:val="24"/>
                <w:highlight w:val="none"/>
              </w:rPr>
              <w:t>关联并一致，可由国家危险废物信息管理系统自动生成。</w:t>
            </w:r>
          </w:p>
          <w:p w14:paraId="322D2C10">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⑦危险废物利用处置环节豁免管理单位的相关信息应在国家危险废物信</w:t>
            </w:r>
            <w:r>
              <w:rPr>
                <w:rFonts w:hint="default" w:ascii="Times New Roman" w:hAnsi="Times New Roman" w:eastAsia="宋体" w:cs="Times New Roman"/>
                <w:color w:val="auto"/>
                <w:spacing w:val="-3"/>
                <w:sz w:val="24"/>
                <w:szCs w:val="24"/>
                <w:highlight w:val="none"/>
              </w:rPr>
              <w:t>息管理系统中登记。</w:t>
            </w:r>
          </w:p>
          <w:p w14:paraId="2C59AF38">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⑧危险废物出口至境外的，应在国家危险废物信息管理系统中填写中华</w:t>
            </w:r>
            <w:r>
              <w:rPr>
                <w:rFonts w:hint="default" w:ascii="Times New Roman" w:hAnsi="Times New Roman" w:eastAsia="宋体" w:cs="Times New Roman"/>
                <w:color w:val="auto"/>
                <w:spacing w:val="-1"/>
                <w:sz w:val="24"/>
                <w:szCs w:val="24"/>
                <w:highlight w:val="none"/>
              </w:rPr>
              <w:t>人民共和国境外的危险废物利用处置单位信息。</w:t>
            </w:r>
          </w:p>
          <w:p w14:paraId="2E4931FC">
            <w:pPr>
              <w:keepNext w:val="0"/>
              <w:keepLines w:val="0"/>
              <w:pageBreakBefore w:val="0"/>
              <w:widowControl/>
              <w:kinsoku w:val="0"/>
              <w:wordWrap/>
              <w:overflowPunct/>
              <w:topLinePunct w:val="0"/>
              <w:autoSpaceDE w:val="0"/>
              <w:autoSpaceDN w:val="0"/>
              <w:bidi w:val="0"/>
              <w:snapToGrid w:val="0"/>
              <w:spacing w:line="360" w:lineRule="auto"/>
              <w:ind w:right="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Times New Roman" w:cs="Times New Roman"/>
                <w:b/>
                <w:bCs/>
                <w:color w:val="auto"/>
                <w:spacing w:val="-2"/>
                <w:sz w:val="24"/>
                <w:szCs w:val="24"/>
                <w:highlight w:val="none"/>
              </w:rPr>
              <w:t>7.3</w:t>
            </w:r>
            <w:r>
              <w:rPr>
                <w:rFonts w:hint="default" w:ascii="Times New Roman" w:hAnsi="Times New Roman" w:eastAsia="宋体" w:cs="Times New Roman"/>
                <w:b/>
                <w:bCs/>
                <w:color w:val="auto"/>
                <w:spacing w:val="-2"/>
                <w:sz w:val="24"/>
                <w:szCs w:val="24"/>
                <w:highlight w:val="none"/>
              </w:rPr>
              <w:t>环境监测</w:t>
            </w:r>
          </w:p>
          <w:p w14:paraId="36CC9045">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环境监测是保证环境管理措施落实的一个基本手段。环境监测能及时、准确地提供环境质量、污染源状况及发展趋势、环保设施运行效果的信</w:t>
            </w:r>
            <w:r>
              <w:rPr>
                <w:rFonts w:hint="default" w:ascii="Times New Roman" w:hAnsi="Times New Roman" w:eastAsia="宋体" w:cs="Times New Roman"/>
                <w:color w:val="auto"/>
                <w:sz w:val="24"/>
                <w:szCs w:val="24"/>
                <w:highlight w:val="none"/>
              </w:rPr>
              <w:t>息。</w:t>
            </w:r>
            <w:r>
              <w:rPr>
                <w:rFonts w:hint="default" w:ascii="Times New Roman" w:hAnsi="Times New Roman" w:eastAsia="宋体" w:cs="Times New Roman"/>
                <w:color w:val="auto"/>
                <w:spacing w:val="1"/>
                <w:sz w:val="24"/>
                <w:szCs w:val="24"/>
                <w:highlight w:val="none"/>
              </w:rPr>
              <w:t>及时发现环境管理措施的不足而及时修正，使环境质量和环境资源维持</w:t>
            </w:r>
            <w:r>
              <w:rPr>
                <w:rFonts w:hint="default" w:ascii="Times New Roman" w:hAnsi="Times New Roman" w:eastAsia="宋体" w:cs="Times New Roman"/>
                <w:color w:val="auto"/>
                <w:sz w:val="24"/>
                <w:szCs w:val="24"/>
                <w:highlight w:val="none"/>
              </w:rPr>
              <w:t>在期</w:t>
            </w:r>
            <w:r>
              <w:rPr>
                <w:rFonts w:hint="default" w:ascii="Times New Roman" w:hAnsi="Times New Roman" w:eastAsia="宋体" w:cs="Times New Roman"/>
                <w:color w:val="auto"/>
                <w:spacing w:val="-2"/>
                <w:sz w:val="24"/>
                <w:szCs w:val="24"/>
                <w:highlight w:val="none"/>
              </w:rPr>
              <w:t>望值之内。</w:t>
            </w:r>
          </w:p>
          <w:p w14:paraId="4231640C">
            <w:pPr>
              <w:keepNext w:val="0"/>
              <w:keepLines w:val="0"/>
              <w:pageBreakBefore w:val="0"/>
              <w:widowControl/>
              <w:kinsoku w:val="0"/>
              <w:wordWrap/>
              <w:overflowPunct/>
              <w:topLinePunct w:val="0"/>
              <w:autoSpaceDE w:val="0"/>
              <w:autoSpaceDN w:val="0"/>
              <w:bidi w:val="0"/>
              <w:snapToGrid w:val="0"/>
              <w:spacing w:line="360" w:lineRule="auto"/>
              <w:ind w:left="0" w:right="0" w:firstLine="488"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根据《排污单位自行监测技术指南总则》（</w:t>
            </w:r>
            <w:r>
              <w:rPr>
                <w:rFonts w:hint="default" w:ascii="Times New Roman" w:hAnsi="Times New Roman" w:eastAsia="Times New Roman" w:cs="Times New Roman"/>
                <w:color w:val="auto"/>
                <w:sz w:val="24"/>
                <w:szCs w:val="24"/>
                <w:highlight w:val="none"/>
              </w:rPr>
              <w:t>HJ</w:t>
            </w:r>
            <w:r>
              <w:rPr>
                <w:rFonts w:hint="default" w:ascii="Times New Roman" w:hAnsi="Times New Roman" w:eastAsia="Times New Roman" w:cs="Times New Roman"/>
                <w:color w:val="auto"/>
                <w:spacing w:val="2"/>
                <w:sz w:val="24"/>
                <w:szCs w:val="24"/>
                <w:highlight w:val="none"/>
              </w:rPr>
              <w:t>819-2017</w:t>
            </w:r>
            <w:r>
              <w:rPr>
                <w:rFonts w:hint="default" w:ascii="Times New Roman" w:hAnsi="Times New Roman" w:eastAsia="宋体" w:cs="Times New Roman"/>
                <w:color w:val="auto"/>
                <w:spacing w:val="2"/>
                <w:sz w:val="24"/>
                <w:szCs w:val="24"/>
                <w:highlight w:val="none"/>
              </w:rPr>
              <w:t>）相关规定，</w:t>
            </w:r>
            <w:r>
              <w:rPr>
                <w:rFonts w:hint="default" w:ascii="Times New Roman" w:hAnsi="Times New Roman" w:eastAsia="宋体" w:cs="Times New Roman"/>
                <w:color w:val="auto"/>
                <w:spacing w:val="1"/>
                <w:sz w:val="24"/>
                <w:szCs w:val="24"/>
                <w:highlight w:val="none"/>
              </w:rPr>
              <w:t>排污单位应按照最新的监测方案开展监测活动，可根据自身条件和能</w:t>
            </w:r>
            <w:r>
              <w:rPr>
                <w:rFonts w:hint="default" w:ascii="Times New Roman" w:hAnsi="Times New Roman" w:eastAsia="宋体" w:cs="Times New Roman"/>
                <w:color w:val="auto"/>
                <w:sz w:val="24"/>
                <w:szCs w:val="24"/>
                <w:highlight w:val="none"/>
              </w:rPr>
              <w:t>力，利用自有人员、场所和设备进行自行监测；也可委托其他有资质的检（监）</w:t>
            </w:r>
            <w:r>
              <w:rPr>
                <w:rFonts w:hint="default" w:ascii="Times New Roman" w:hAnsi="Times New Roman" w:eastAsia="宋体" w:cs="Times New Roman"/>
                <w:color w:val="auto"/>
                <w:spacing w:val="1"/>
                <w:sz w:val="24"/>
                <w:szCs w:val="24"/>
                <w:highlight w:val="none"/>
              </w:rPr>
              <w:t>测机构代其开展自行监测。排污单位应建立自行监测质量管理制度，</w:t>
            </w:r>
            <w:r>
              <w:rPr>
                <w:rFonts w:hint="default" w:ascii="Times New Roman" w:hAnsi="Times New Roman" w:eastAsia="宋体" w:cs="Times New Roman"/>
                <w:color w:val="auto"/>
                <w:sz w:val="24"/>
                <w:szCs w:val="24"/>
                <w:highlight w:val="none"/>
              </w:rPr>
              <w:t>按照相</w:t>
            </w:r>
            <w:r>
              <w:rPr>
                <w:rFonts w:hint="default" w:ascii="Times New Roman" w:hAnsi="Times New Roman" w:eastAsia="宋体" w:cs="Times New Roman"/>
                <w:color w:val="auto"/>
                <w:spacing w:val="1"/>
                <w:sz w:val="24"/>
                <w:szCs w:val="24"/>
                <w:highlight w:val="none"/>
              </w:rPr>
              <w:t>关技术规范要求做好监测质量保证与质量控制，记录好与监测有关的</w:t>
            </w:r>
            <w:r>
              <w:rPr>
                <w:rFonts w:hint="default" w:ascii="Times New Roman" w:hAnsi="Times New Roman" w:eastAsia="宋体" w:cs="Times New Roman"/>
                <w:color w:val="auto"/>
                <w:sz w:val="24"/>
                <w:szCs w:val="24"/>
                <w:highlight w:val="none"/>
              </w:rPr>
              <w:t>数据，</w:t>
            </w:r>
            <w:r>
              <w:rPr>
                <w:rFonts w:hint="default" w:ascii="Times New Roman" w:hAnsi="Times New Roman" w:eastAsia="宋体" w:cs="Times New Roman"/>
                <w:color w:val="auto"/>
                <w:spacing w:val="1"/>
                <w:sz w:val="24"/>
                <w:szCs w:val="24"/>
                <w:highlight w:val="none"/>
              </w:rPr>
              <w:t>按照规定进行保存并依据《企业事业单位环境信息公开办法》（环境</w:t>
            </w:r>
            <w:r>
              <w:rPr>
                <w:rFonts w:hint="default" w:ascii="Times New Roman" w:hAnsi="Times New Roman" w:eastAsia="宋体" w:cs="Times New Roman"/>
                <w:color w:val="auto"/>
                <w:sz w:val="24"/>
                <w:szCs w:val="24"/>
                <w:highlight w:val="none"/>
              </w:rPr>
              <w:t>保护部</w:t>
            </w:r>
            <w:r>
              <w:rPr>
                <w:rFonts w:hint="default" w:ascii="Times New Roman" w:hAnsi="Times New Roman" w:eastAsia="宋体" w:cs="Times New Roman"/>
                <w:color w:val="auto"/>
                <w:spacing w:val="-3"/>
                <w:sz w:val="24"/>
                <w:szCs w:val="24"/>
                <w:highlight w:val="none"/>
              </w:rPr>
              <w:t>令第</w:t>
            </w:r>
            <w:r>
              <w:rPr>
                <w:rFonts w:hint="default" w:ascii="Times New Roman" w:hAnsi="Times New Roman" w:eastAsia="Times New Roman" w:cs="Times New Roman"/>
                <w:color w:val="auto"/>
                <w:spacing w:val="-3"/>
                <w:sz w:val="24"/>
                <w:szCs w:val="24"/>
                <w:highlight w:val="none"/>
              </w:rPr>
              <w:t>31</w:t>
            </w:r>
            <w:r>
              <w:rPr>
                <w:rFonts w:hint="default" w:ascii="Times New Roman" w:hAnsi="Times New Roman" w:eastAsia="宋体" w:cs="Times New Roman"/>
                <w:color w:val="auto"/>
                <w:spacing w:val="-3"/>
                <w:sz w:val="24"/>
                <w:szCs w:val="24"/>
                <w:highlight w:val="none"/>
              </w:rPr>
              <w:t>号）、《国家重点监控企业自行监测及</w:t>
            </w:r>
            <w:r>
              <w:rPr>
                <w:rFonts w:hint="default" w:ascii="Times New Roman" w:hAnsi="Times New Roman" w:eastAsia="宋体" w:cs="Times New Roman"/>
                <w:color w:val="auto"/>
                <w:spacing w:val="-4"/>
                <w:sz w:val="24"/>
                <w:szCs w:val="24"/>
                <w:highlight w:val="none"/>
              </w:rPr>
              <w:t>信息公开办法（试行）》（环</w:t>
            </w:r>
            <w:r>
              <w:rPr>
                <w:rFonts w:hint="default" w:ascii="Times New Roman" w:hAnsi="Times New Roman" w:eastAsia="宋体" w:cs="Times New Roman"/>
                <w:color w:val="auto"/>
                <w:spacing w:val="-1"/>
                <w:sz w:val="24"/>
                <w:szCs w:val="24"/>
                <w:highlight w:val="none"/>
              </w:rPr>
              <w:t>发〔</w:t>
            </w:r>
            <w:r>
              <w:rPr>
                <w:rFonts w:hint="default" w:ascii="Times New Roman" w:hAnsi="Times New Roman" w:eastAsia="Times New Roman" w:cs="Times New Roman"/>
                <w:color w:val="auto"/>
                <w:spacing w:val="-1"/>
                <w:sz w:val="24"/>
                <w:szCs w:val="24"/>
                <w:highlight w:val="none"/>
              </w:rPr>
              <w:t>2013</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81</w:t>
            </w:r>
            <w:r>
              <w:rPr>
                <w:rFonts w:hint="default" w:ascii="Times New Roman" w:hAnsi="Times New Roman" w:eastAsia="宋体" w:cs="Times New Roman"/>
                <w:color w:val="auto"/>
                <w:spacing w:val="-1"/>
                <w:sz w:val="24"/>
                <w:szCs w:val="24"/>
                <w:highlight w:val="none"/>
              </w:rPr>
              <w:t>号）要求向社会公开监测结果。非重点排</w:t>
            </w:r>
            <w:r>
              <w:rPr>
                <w:rFonts w:hint="default" w:ascii="Times New Roman" w:hAnsi="Times New Roman" w:eastAsia="宋体" w:cs="Times New Roman"/>
                <w:color w:val="auto"/>
                <w:spacing w:val="-2"/>
                <w:sz w:val="24"/>
                <w:szCs w:val="24"/>
                <w:highlight w:val="none"/>
              </w:rPr>
              <w:t>污单位的信息公开要</w:t>
            </w:r>
            <w:r>
              <w:rPr>
                <w:rFonts w:hint="default" w:ascii="Times New Roman" w:hAnsi="Times New Roman" w:eastAsia="宋体" w:cs="Times New Roman"/>
                <w:color w:val="auto"/>
                <w:spacing w:val="-1"/>
                <w:sz w:val="24"/>
                <w:szCs w:val="24"/>
                <w:highlight w:val="none"/>
              </w:rPr>
              <w:t>求</w:t>
            </w:r>
            <w:r>
              <w:rPr>
                <w:rFonts w:hint="default" w:ascii="Times New Roman" w:hAnsi="Times New Roman" w:cs="Times New Roman"/>
                <w:color w:val="auto"/>
                <w:spacing w:val="-1"/>
                <w:sz w:val="24"/>
                <w:szCs w:val="24"/>
                <w:highlight w:val="none"/>
                <w:lang w:val="en-US" w:eastAsia="zh-CN"/>
              </w:rPr>
              <w:t>由</w:t>
            </w:r>
            <w:r>
              <w:rPr>
                <w:rFonts w:hint="default" w:ascii="Times New Roman" w:hAnsi="Times New Roman" w:eastAsia="宋体" w:cs="Times New Roman"/>
                <w:color w:val="auto"/>
                <w:spacing w:val="-1"/>
                <w:sz w:val="24"/>
                <w:szCs w:val="24"/>
                <w:highlight w:val="none"/>
              </w:rPr>
              <w:t>地方环境保护主管部门确定。</w:t>
            </w:r>
          </w:p>
          <w:p w14:paraId="546A7A17">
            <w:pPr>
              <w:keepNext w:val="0"/>
              <w:keepLines w:val="0"/>
              <w:pageBreakBefore w:val="0"/>
              <w:widowControl/>
              <w:kinsoku w:val="0"/>
              <w:wordWrap/>
              <w:overflowPunct/>
              <w:topLinePunct w:val="0"/>
              <w:autoSpaceDE w:val="0"/>
              <w:autoSpaceDN w:val="0"/>
              <w:bidi w:val="0"/>
              <w:snapToGrid w:val="0"/>
              <w:spacing w:line="360" w:lineRule="auto"/>
              <w:ind w:left="0" w:right="0" w:firstLine="484" w:firstLineChars="200"/>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根据生产特征和污染物的排放特征，依据国家颁布的环境质量标准，污染物排放标准及地方环保部门的要求，根据《排污单位自行监测技术指南总</w:t>
            </w:r>
            <w:r>
              <w:rPr>
                <w:rFonts w:hint="default" w:ascii="Times New Roman" w:hAnsi="Times New Roman" w:eastAsia="宋体" w:cs="Times New Roman"/>
                <w:color w:val="auto"/>
                <w:sz w:val="24"/>
                <w:szCs w:val="24"/>
                <w:highlight w:val="none"/>
              </w:rPr>
              <w:t>则》（</w:t>
            </w:r>
            <w:r>
              <w:rPr>
                <w:rFonts w:hint="default" w:ascii="Times New Roman" w:hAnsi="Times New Roman" w:eastAsia="Times New Roman" w:cs="Times New Roman"/>
                <w:color w:val="auto"/>
                <w:sz w:val="24"/>
                <w:szCs w:val="24"/>
                <w:highlight w:val="none"/>
              </w:rPr>
              <w:t>HJ819-2017</w:t>
            </w:r>
            <w:r>
              <w:rPr>
                <w:rFonts w:hint="default" w:ascii="Times New Roman" w:hAnsi="Times New Roman" w:eastAsia="宋体" w:cs="Times New Roman"/>
                <w:color w:val="auto"/>
                <w:sz w:val="24"/>
                <w:szCs w:val="24"/>
                <w:highlight w:val="none"/>
              </w:rPr>
              <w:t>）有关规定，结合本项目主要排</w:t>
            </w:r>
            <w:r>
              <w:rPr>
                <w:rFonts w:hint="default" w:ascii="Times New Roman" w:hAnsi="Times New Roman" w:eastAsia="宋体" w:cs="Times New Roman"/>
                <w:color w:val="auto"/>
                <w:spacing w:val="-1"/>
                <w:sz w:val="24"/>
                <w:szCs w:val="24"/>
                <w:highlight w:val="none"/>
              </w:rPr>
              <w:t>污特点，监测项目应包括</w:t>
            </w:r>
            <w:r>
              <w:rPr>
                <w:rFonts w:hint="default" w:ascii="Times New Roman" w:hAnsi="Times New Roman" w:eastAsia="宋体" w:cs="Times New Roman"/>
                <w:color w:val="auto"/>
                <w:sz w:val="24"/>
                <w:szCs w:val="24"/>
                <w:highlight w:val="none"/>
              </w:rPr>
              <w:t>大气污染物、厂界噪声。采样、分析方法按国家环保局颁发的</w:t>
            </w:r>
            <w:r>
              <w:rPr>
                <w:rFonts w:hint="default" w:ascii="Times New Roman" w:hAnsi="Times New Roman" w:eastAsia="Times New Roman" w:cs="Times New Roman"/>
                <w:color w:val="auto"/>
                <w:sz w:val="24"/>
                <w:szCs w:val="24"/>
                <w:highlight w:val="none"/>
              </w:rPr>
              <w:t>G</w:t>
            </w:r>
            <w:r>
              <w:rPr>
                <w:rFonts w:hint="default" w:ascii="Times New Roman" w:hAnsi="Times New Roman" w:eastAsia="Times New Roman" w:cs="Times New Roman"/>
                <w:color w:val="auto"/>
                <w:spacing w:val="-1"/>
                <w:sz w:val="24"/>
                <w:szCs w:val="24"/>
                <w:highlight w:val="none"/>
              </w:rPr>
              <w:t>B/T16157</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z w:val="24"/>
                <w:szCs w:val="24"/>
                <w:highlight w:val="none"/>
              </w:rPr>
              <w:t>HJ/T397</w:t>
            </w:r>
            <w:r>
              <w:rPr>
                <w:rFonts w:hint="default" w:ascii="Times New Roman" w:hAnsi="Times New Roman" w:eastAsia="宋体" w:cs="Times New Roman"/>
                <w:color w:val="auto"/>
                <w:sz w:val="24"/>
                <w:szCs w:val="24"/>
                <w:highlight w:val="none"/>
              </w:rPr>
              <w:t>、</w:t>
            </w:r>
            <w:r>
              <w:rPr>
                <w:rFonts w:hint="default" w:ascii="Times New Roman" w:hAnsi="Times New Roman" w:eastAsia="Times New Roman" w:cs="Times New Roman"/>
                <w:color w:val="auto"/>
                <w:sz w:val="24"/>
                <w:szCs w:val="24"/>
                <w:highlight w:val="none"/>
              </w:rPr>
              <w:t>HJ/T75</w:t>
            </w:r>
            <w:r>
              <w:rPr>
                <w:rFonts w:hint="default" w:ascii="Times New Roman" w:hAnsi="Times New Roman" w:eastAsia="宋体" w:cs="Times New Roman"/>
                <w:color w:val="auto"/>
                <w:sz w:val="24"/>
                <w:szCs w:val="24"/>
                <w:highlight w:val="none"/>
              </w:rPr>
              <w:t>、</w:t>
            </w:r>
            <w:r>
              <w:rPr>
                <w:rFonts w:hint="default" w:ascii="Times New Roman" w:hAnsi="Times New Roman" w:eastAsia="Times New Roman" w:cs="Times New Roman"/>
                <w:color w:val="auto"/>
                <w:sz w:val="24"/>
                <w:szCs w:val="24"/>
                <w:highlight w:val="none"/>
              </w:rPr>
              <w:t>HJ/T76</w:t>
            </w:r>
            <w:r>
              <w:rPr>
                <w:rFonts w:hint="default" w:ascii="Times New Roman" w:hAnsi="Times New Roman" w:eastAsia="宋体" w:cs="Times New Roman"/>
                <w:color w:val="auto"/>
                <w:sz w:val="24"/>
                <w:szCs w:val="24"/>
                <w:highlight w:val="none"/>
              </w:rPr>
              <w:t>以及《环境监测技术规范</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空</w:t>
            </w:r>
            <w:r>
              <w:rPr>
                <w:rFonts w:hint="default" w:ascii="Times New Roman" w:hAnsi="Times New Roman" w:eastAsia="宋体" w:cs="Times New Roman"/>
                <w:color w:val="auto"/>
                <w:spacing w:val="-1"/>
                <w:sz w:val="24"/>
                <w:szCs w:val="24"/>
                <w:highlight w:val="none"/>
              </w:rPr>
              <w:t>气与废气监测分析方法》等进行。具体监测计划表见表</w:t>
            </w:r>
            <w:r>
              <w:rPr>
                <w:rFonts w:hint="default" w:ascii="Times New Roman" w:hAnsi="Times New Roman" w:eastAsia="Times New Roman" w:cs="Times New Roman"/>
                <w:color w:val="auto"/>
                <w:spacing w:val="-1"/>
                <w:sz w:val="24"/>
                <w:szCs w:val="24"/>
                <w:highlight w:val="none"/>
              </w:rPr>
              <w:t>4-1</w:t>
            </w:r>
            <w:r>
              <w:rPr>
                <w:rFonts w:hint="default" w:ascii="Times New Roman" w:hAnsi="Times New Roman" w:eastAsia="宋体" w:cs="Times New Roman"/>
                <w:color w:val="auto"/>
                <w:spacing w:val="-1"/>
                <w:sz w:val="24"/>
                <w:szCs w:val="24"/>
                <w:highlight w:val="none"/>
                <w:lang w:val="en-US" w:eastAsia="zh-CN"/>
              </w:rPr>
              <w:t>5</w:t>
            </w:r>
            <w:r>
              <w:rPr>
                <w:rFonts w:hint="default" w:ascii="Times New Roman" w:hAnsi="Times New Roman" w:eastAsia="宋体" w:cs="Times New Roman"/>
                <w:color w:val="auto"/>
                <w:spacing w:val="-1"/>
                <w:sz w:val="24"/>
                <w:szCs w:val="24"/>
                <w:highlight w:val="none"/>
              </w:rPr>
              <w:t>。</w:t>
            </w:r>
          </w:p>
          <w:p w14:paraId="3CFC24EF">
            <w:pPr>
              <w:keepNext w:val="0"/>
              <w:keepLines w:val="0"/>
              <w:pageBreakBefore w:val="0"/>
              <w:widowControl/>
              <w:kinsoku w:val="0"/>
              <w:wordWrap/>
              <w:overflowPunct/>
              <w:topLinePunct w:val="0"/>
              <w:autoSpaceDE w:val="0"/>
              <w:autoSpaceDN w:val="0"/>
              <w:bidi w:val="0"/>
              <w:snapToGrid w:val="0"/>
              <w:spacing w:line="240" w:lineRule="auto"/>
              <w:ind w:left="0" w:right="0" w:firstLine="442" w:firstLineChars="200"/>
              <w:jc w:val="center"/>
              <w:textAlignment w:val="baseline"/>
              <w:rPr>
                <w:rFonts w:hint="default" w:ascii="Times New Roman" w:hAnsi="Times New Roman" w:eastAsia="宋体" w:cs="Times New Roman"/>
                <w:b/>
                <w:bCs/>
                <w:color w:val="auto"/>
                <w:spacing w:val="5"/>
                <w:sz w:val="21"/>
                <w:szCs w:val="21"/>
                <w:highlight w:val="none"/>
              </w:rPr>
            </w:pPr>
            <w:r>
              <w:rPr>
                <w:rFonts w:hint="default" w:ascii="Times New Roman" w:hAnsi="Times New Roman" w:eastAsia="宋体" w:cs="Times New Roman"/>
                <w:b/>
                <w:bCs/>
                <w:color w:val="auto"/>
                <w:spacing w:val="5"/>
                <w:sz w:val="21"/>
                <w:szCs w:val="21"/>
                <w:highlight w:val="none"/>
              </w:rPr>
              <w:t>表</w:t>
            </w:r>
            <w:r>
              <w:rPr>
                <w:rFonts w:hint="default" w:ascii="Times New Roman" w:hAnsi="Times New Roman" w:eastAsia="Times New Roman" w:cs="Times New Roman"/>
                <w:b/>
                <w:bCs/>
                <w:color w:val="auto"/>
                <w:spacing w:val="5"/>
                <w:sz w:val="21"/>
                <w:szCs w:val="21"/>
                <w:highlight w:val="none"/>
              </w:rPr>
              <w:t>4-1</w:t>
            </w:r>
            <w:r>
              <w:rPr>
                <w:rFonts w:hint="default" w:ascii="Times New Roman" w:hAnsi="Times New Roman" w:eastAsia="宋体" w:cs="Times New Roman"/>
                <w:b/>
                <w:bCs/>
                <w:color w:val="auto"/>
                <w:spacing w:val="5"/>
                <w:sz w:val="21"/>
                <w:szCs w:val="21"/>
                <w:highlight w:val="none"/>
                <w:lang w:val="en-US" w:eastAsia="zh-CN"/>
              </w:rPr>
              <w:t>5</w:t>
            </w:r>
            <w:r>
              <w:rPr>
                <w:rFonts w:hint="eastAsia" w:ascii="Times New Roman" w:hAnsi="Times New Roman" w:cs="Times New Roman"/>
                <w:b/>
                <w:bCs/>
                <w:color w:val="auto"/>
                <w:spacing w:val="5"/>
                <w:sz w:val="21"/>
                <w:szCs w:val="21"/>
                <w:highlight w:val="none"/>
                <w:lang w:val="en-US" w:eastAsia="zh-CN"/>
              </w:rPr>
              <w:t xml:space="preserve">   </w:t>
            </w:r>
            <w:r>
              <w:rPr>
                <w:rFonts w:hint="default" w:ascii="Times New Roman" w:hAnsi="Times New Roman" w:eastAsia="宋体" w:cs="Times New Roman"/>
                <w:b/>
                <w:bCs/>
                <w:color w:val="auto"/>
                <w:spacing w:val="5"/>
                <w:sz w:val="21"/>
                <w:szCs w:val="21"/>
                <w:highlight w:val="none"/>
              </w:rPr>
              <w:t>项目监测计划一览表</w:t>
            </w:r>
          </w:p>
          <w:tbl>
            <w:tblPr>
              <w:tblStyle w:val="54"/>
              <w:tblW w:w="495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43"/>
              <w:gridCol w:w="684"/>
              <w:gridCol w:w="524"/>
              <w:gridCol w:w="524"/>
              <w:gridCol w:w="839"/>
              <w:gridCol w:w="670"/>
              <w:gridCol w:w="578"/>
              <w:gridCol w:w="3030"/>
            </w:tblGrid>
            <w:tr w14:paraId="43C37B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43" w:type="dxa"/>
                  <w:tcBorders>
                    <w:bottom w:val="single" w:color="000000" w:sz="12" w:space="0"/>
                  </w:tcBorders>
                  <w:vAlign w:val="center"/>
                </w:tcPr>
                <w:p w14:paraId="256B32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pacing w:val="6"/>
                      <w:position w:val="-1"/>
                      <w:sz w:val="21"/>
                      <w:szCs w:val="21"/>
                      <w:highlight w:val="none"/>
                    </w:rPr>
                    <w:t>分类</w:t>
                  </w:r>
                </w:p>
              </w:tc>
              <w:tc>
                <w:tcPr>
                  <w:tcW w:w="684" w:type="dxa"/>
                  <w:tcBorders>
                    <w:bottom w:val="single" w:color="000000" w:sz="12" w:space="0"/>
                  </w:tcBorders>
                  <w:vAlign w:val="center"/>
                </w:tcPr>
                <w:p w14:paraId="3EEC89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4"/>
                      <w:sz w:val="21"/>
                      <w:szCs w:val="21"/>
                      <w:highlight w:val="none"/>
                    </w:rPr>
                    <w:t>监测</w:t>
                  </w:r>
                  <w:r>
                    <w:rPr>
                      <w:rFonts w:hint="default" w:ascii="Times New Roman" w:hAnsi="Times New Roman" w:eastAsia="宋体" w:cs="Times New Roman"/>
                      <w:b/>
                      <w:bCs/>
                      <w:color w:val="auto"/>
                      <w:spacing w:val="5"/>
                      <w:sz w:val="21"/>
                      <w:szCs w:val="21"/>
                      <w:highlight w:val="none"/>
                    </w:rPr>
                    <w:t>对象</w:t>
                  </w:r>
                </w:p>
              </w:tc>
              <w:tc>
                <w:tcPr>
                  <w:tcW w:w="524" w:type="dxa"/>
                  <w:tcBorders>
                    <w:bottom w:val="single" w:color="000000" w:sz="12" w:space="0"/>
                  </w:tcBorders>
                  <w:vAlign w:val="center"/>
                </w:tcPr>
                <w:p w14:paraId="346D2A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污染</w:t>
                  </w:r>
                  <w:r>
                    <w:rPr>
                      <w:rFonts w:hint="default" w:ascii="Times New Roman" w:hAnsi="Times New Roman" w:eastAsia="宋体" w:cs="Times New Roman"/>
                      <w:b/>
                      <w:bCs/>
                      <w:color w:val="auto"/>
                      <w:spacing w:val="1"/>
                      <w:sz w:val="21"/>
                      <w:szCs w:val="21"/>
                      <w:highlight w:val="none"/>
                    </w:rPr>
                    <w:t>源</w:t>
                  </w:r>
                </w:p>
              </w:tc>
              <w:tc>
                <w:tcPr>
                  <w:tcW w:w="524" w:type="dxa"/>
                  <w:tcBorders>
                    <w:bottom w:val="single" w:color="000000" w:sz="12" w:space="0"/>
                  </w:tcBorders>
                  <w:vAlign w:val="center"/>
                </w:tcPr>
                <w:p w14:paraId="640813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监测项</w:t>
                  </w:r>
                  <w:r>
                    <w:rPr>
                      <w:rFonts w:hint="default" w:ascii="Times New Roman" w:hAnsi="Times New Roman" w:eastAsia="宋体" w:cs="Times New Roman"/>
                      <w:b/>
                      <w:bCs/>
                      <w:color w:val="auto"/>
                      <w:spacing w:val="6"/>
                      <w:position w:val="1"/>
                      <w:sz w:val="21"/>
                      <w:szCs w:val="21"/>
                      <w:highlight w:val="none"/>
                    </w:rPr>
                    <w:t>目</w:t>
                  </w:r>
                </w:p>
              </w:tc>
              <w:tc>
                <w:tcPr>
                  <w:tcW w:w="839" w:type="dxa"/>
                  <w:tcBorders>
                    <w:bottom w:val="single" w:color="000000" w:sz="12" w:space="0"/>
                  </w:tcBorders>
                  <w:vAlign w:val="center"/>
                </w:tcPr>
                <w:p w14:paraId="39602D4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监测位</w:t>
                  </w:r>
                  <w:r>
                    <w:rPr>
                      <w:rFonts w:hint="default" w:ascii="Times New Roman" w:hAnsi="Times New Roman" w:eastAsia="宋体" w:cs="Times New Roman"/>
                      <w:b/>
                      <w:bCs/>
                      <w:color w:val="auto"/>
                      <w:spacing w:val="2"/>
                      <w:sz w:val="21"/>
                      <w:szCs w:val="21"/>
                      <w:highlight w:val="none"/>
                    </w:rPr>
                    <w:t>置</w:t>
                  </w:r>
                </w:p>
              </w:tc>
              <w:tc>
                <w:tcPr>
                  <w:tcW w:w="670" w:type="dxa"/>
                  <w:tcBorders>
                    <w:bottom w:val="single" w:color="000000" w:sz="12" w:space="0"/>
                  </w:tcBorders>
                  <w:vAlign w:val="center"/>
                </w:tcPr>
                <w:p w14:paraId="3AC61E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采样频次</w:t>
                  </w:r>
                </w:p>
              </w:tc>
              <w:tc>
                <w:tcPr>
                  <w:tcW w:w="578" w:type="dxa"/>
                  <w:tcBorders>
                    <w:bottom w:val="single" w:color="000000" w:sz="12" w:space="0"/>
                  </w:tcBorders>
                  <w:vAlign w:val="center"/>
                </w:tcPr>
                <w:p w14:paraId="357250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监测单</w:t>
                  </w:r>
                  <w:r>
                    <w:rPr>
                      <w:rFonts w:hint="default" w:ascii="Times New Roman" w:hAnsi="Times New Roman" w:eastAsia="宋体" w:cs="Times New Roman"/>
                      <w:b/>
                      <w:bCs/>
                      <w:color w:val="auto"/>
                      <w:sz w:val="21"/>
                      <w:szCs w:val="21"/>
                      <w:highlight w:val="none"/>
                    </w:rPr>
                    <w:t>位</w:t>
                  </w:r>
                </w:p>
              </w:tc>
              <w:tc>
                <w:tcPr>
                  <w:tcW w:w="3030" w:type="dxa"/>
                  <w:tcBorders>
                    <w:bottom w:val="single" w:color="000000" w:sz="12" w:space="0"/>
                  </w:tcBorders>
                  <w:vAlign w:val="center"/>
                </w:tcPr>
                <w:p w14:paraId="79DDD8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7"/>
                      <w:sz w:val="21"/>
                      <w:szCs w:val="21"/>
                      <w:highlight w:val="none"/>
                    </w:rPr>
                    <w:t>执行标准</w:t>
                  </w:r>
                </w:p>
              </w:tc>
            </w:tr>
            <w:tr w14:paraId="27D703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43" w:type="dxa"/>
                  <w:vMerge w:val="restart"/>
                  <w:tcBorders>
                    <w:top w:val="single" w:color="000000" w:sz="12" w:space="0"/>
                    <w:tl2br w:val="nil"/>
                    <w:tr2bl w:val="nil"/>
                  </w:tcBorders>
                  <w:vAlign w:val="center"/>
                </w:tcPr>
                <w:p w14:paraId="4D1F9F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废气</w:t>
                  </w:r>
                </w:p>
              </w:tc>
              <w:tc>
                <w:tcPr>
                  <w:tcW w:w="684" w:type="dxa"/>
                  <w:tcBorders>
                    <w:top w:val="single" w:color="000000" w:sz="12" w:space="0"/>
                    <w:tl2br w:val="nil"/>
                    <w:tr2bl w:val="nil"/>
                  </w:tcBorders>
                  <w:vAlign w:val="center"/>
                </w:tcPr>
                <w:p w14:paraId="1866D4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有组</w:t>
                  </w:r>
                  <w:r>
                    <w:rPr>
                      <w:rFonts w:hint="default" w:ascii="Times New Roman" w:hAnsi="Times New Roman" w:eastAsia="宋体" w:cs="Times New Roman"/>
                      <w:color w:val="auto"/>
                      <w:spacing w:val="3"/>
                      <w:sz w:val="21"/>
                      <w:szCs w:val="21"/>
                      <w:highlight w:val="none"/>
                    </w:rPr>
                    <w:t>织排</w:t>
                  </w:r>
                  <w:r>
                    <w:rPr>
                      <w:rFonts w:hint="default" w:ascii="Times New Roman" w:hAnsi="Times New Roman" w:eastAsia="宋体" w:cs="Times New Roman"/>
                      <w:color w:val="auto"/>
                      <w:spacing w:val="4"/>
                      <w:sz w:val="21"/>
                      <w:szCs w:val="21"/>
                      <w:highlight w:val="none"/>
                    </w:rPr>
                    <w:t>放非</w:t>
                  </w:r>
                  <w:r>
                    <w:rPr>
                      <w:rFonts w:hint="default" w:ascii="Times New Roman" w:hAnsi="Times New Roman" w:eastAsia="宋体" w:cs="Times New Roman"/>
                      <w:color w:val="auto"/>
                      <w:spacing w:val="-9"/>
                      <w:sz w:val="21"/>
                      <w:szCs w:val="21"/>
                      <w:highlight w:val="none"/>
                    </w:rPr>
                    <w:t>甲烷</w:t>
                  </w:r>
                  <w:r>
                    <w:rPr>
                      <w:rFonts w:hint="default" w:ascii="Times New Roman" w:hAnsi="Times New Roman" w:eastAsia="宋体" w:cs="Times New Roman"/>
                      <w:color w:val="auto"/>
                      <w:spacing w:val="2"/>
                      <w:sz w:val="21"/>
                      <w:szCs w:val="21"/>
                      <w:highlight w:val="none"/>
                    </w:rPr>
                    <w:t>总烃</w:t>
                  </w:r>
                </w:p>
              </w:tc>
              <w:tc>
                <w:tcPr>
                  <w:tcW w:w="524" w:type="dxa"/>
                  <w:tcBorders>
                    <w:top w:val="single" w:color="000000" w:sz="12" w:space="0"/>
                    <w:tl2br w:val="nil"/>
                    <w:tr2bl w:val="nil"/>
                  </w:tcBorders>
                  <w:vAlign w:val="center"/>
                </w:tcPr>
                <w:p w14:paraId="1938FD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排气筒</w:t>
                  </w:r>
                  <w:r>
                    <w:rPr>
                      <w:rFonts w:hint="default" w:ascii="Times New Roman" w:hAnsi="Times New Roman" w:eastAsia="宋体" w:cs="Times New Roman"/>
                      <w:color w:val="auto"/>
                      <w:spacing w:val="6"/>
                      <w:position w:val="1"/>
                      <w:sz w:val="21"/>
                      <w:szCs w:val="21"/>
                      <w:highlight w:val="none"/>
                    </w:rPr>
                    <w:t>口</w:t>
                  </w:r>
                </w:p>
              </w:tc>
              <w:tc>
                <w:tcPr>
                  <w:tcW w:w="524" w:type="dxa"/>
                  <w:tcBorders>
                    <w:top w:val="single" w:color="000000" w:sz="12" w:space="0"/>
                    <w:tl2br w:val="nil"/>
                    <w:tr2bl w:val="nil"/>
                  </w:tcBorders>
                  <w:vAlign w:val="center"/>
                </w:tcPr>
                <w:p w14:paraId="3D7727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非</w:t>
                  </w:r>
                  <w:r>
                    <w:rPr>
                      <w:rFonts w:hint="default" w:ascii="Times New Roman" w:hAnsi="Times New Roman" w:eastAsia="宋体" w:cs="Times New Roman"/>
                      <w:color w:val="auto"/>
                      <w:spacing w:val="6"/>
                      <w:position w:val="1"/>
                      <w:sz w:val="21"/>
                      <w:szCs w:val="21"/>
                      <w:highlight w:val="none"/>
                    </w:rPr>
                    <w:t>甲</w:t>
                  </w:r>
                  <w:r>
                    <w:rPr>
                      <w:rFonts w:hint="default" w:ascii="Times New Roman" w:hAnsi="Times New Roman" w:eastAsia="宋体" w:cs="Times New Roman"/>
                      <w:color w:val="auto"/>
                      <w:spacing w:val="6"/>
                      <w:sz w:val="21"/>
                      <w:szCs w:val="21"/>
                      <w:highlight w:val="none"/>
                    </w:rPr>
                    <w:t>烷总烃</w:t>
                  </w:r>
                </w:p>
              </w:tc>
              <w:tc>
                <w:tcPr>
                  <w:tcW w:w="839" w:type="dxa"/>
                  <w:tcBorders>
                    <w:top w:val="single" w:color="000000" w:sz="12" w:space="0"/>
                    <w:tl2br w:val="nil"/>
                    <w:tr2bl w:val="nil"/>
                  </w:tcBorders>
                  <w:vAlign w:val="center"/>
                </w:tcPr>
                <w:p w14:paraId="0A8815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排气筒</w:t>
                  </w:r>
                  <w:r>
                    <w:rPr>
                      <w:rFonts w:hint="default" w:ascii="Times New Roman" w:hAnsi="Times New Roman" w:eastAsia="宋体" w:cs="Times New Roman"/>
                      <w:color w:val="auto"/>
                      <w:position w:val="1"/>
                      <w:sz w:val="21"/>
                      <w:szCs w:val="21"/>
                      <w:highlight w:val="none"/>
                    </w:rPr>
                    <w:t>口</w:t>
                  </w:r>
                </w:p>
              </w:tc>
              <w:tc>
                <w:tcPr>
                  <w:tcW w:w="670" w:type="dxa"/>
                  <w:tcBorders>
                    <w:top w:val="single" w:color="000000" w:sz="12" w:space="0"/>
                    <w:tl2br w:val="nil"/>
                    <w:tr2bl w:val="nil"/>
                  </w:tcBorders>
                  <w:vAlign w:val="center"/>
                </w:tcPr>
                <w:p w14:paraId="094072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r>
                    <w:rPr>
                      <w:rFonts w:hint="default" w:ascii="Times New Roman" w:hAnsi="Times New Roman" w:eastAsia="宋体" w:cs="Times New Roman"/>
                      <w:color w:val="auto"/>
                      <w:sz w:val="21"/>
                      <w:szCs w:val="21"/>
                      <w:highlight w:val="none"/>
                    </w:rPr>
                    <w:t>次</w:t>
                  </w:r>
                  <w:r>
                    <w:rPr>
                      <w:rFonts w:hint="default" w:ascii="Times New Roman" w:hAnsi="Times New Roman" w:eastAsia="Times New Roman" w:cs="Times New Roman"/>
                      <w:color w:val="auto"/>
                      <w:spacing w:val="2"/>
                      <w:sz w:val="21"/>
                      <w:szCs w:val="21"/>
                      <w:highlight w:val="none"/>
                    </w:rPr>
                    <w:t>/</w:t>
                  </w:r>
                  <w:r>
                    <w:rPr>
                      <w:rFonts w:hint="default" w:ascii="Times New Roman" w:hAnsi="Times New Roman" w:eastAsia="宋体" w:cs="Times New Roman"/>
                      <w:color w:val="auto"/>
                      <w:sz w:val="21"/>
                      <w:szCs w:val="21"/>
                      <w:highlight w:val="none"/>
                    </w:rPr>
                    <w:t>半年</w:t>
                  </w:r>
                </w:p>
              </w:tc>
              <w:tc>
                <w:tcPr>
                  <w:tcW w:w="578" w:type="dxa"/>
                  <w:vMerge w:val="restart"/>
                  <w:tcBorders>
                    <w:top w:val="single" w:color="000000" w:sz="12" w:space="0"/>
                    <w:tl2br w:val="nil"/>
                    <w:tr2bl w:val="nil"/>
                  </w:tcBorders>
                  <w:vAlign w:val="center"/>
                </w:tcPr>
                <w:p w14:paraId="22B06A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委托第</w:t>
                  </w:r>
                  <w:r>
                    <w:rPr>
                      <w:rFonts w:hint="default" w:ascii="Times New Roman" w:hAnsi="Times New Roman" w:eastAsia="宋体" w:cs="Times New Roman"/>
                      <w:color w:val="auto"/>
                      <w:spacing w:val="6"/>
                      <w:sz w:val="21"/>
                      <w:szCs w:val="21"/>
                      <w:highlight w:val="none"/>
                    </w:rPr>
                    <w:t>三方监测单位</w:t>
                  </w:r>
                  <w:r>
                    <w:rPr>
                      <w:rFonts w:hint="default" w:ascii="Times New Roman" w:hAnsi="Times New Roman" w:eastAsia="宋体" w:cs="Times New Roman"/>
                      <w:color w:val="auto"/>
                      <w:spacing w:val="4"/>
                      <w:sz w:val="21"/>
                      <w:szCs w:val="21"/>
                      <w:highlight w:val="none"/>
                    </w:rPr>
                    <w:t>监测</w:t>
                  </w:r>
                </w:p>
              </w:tc>
              <w:tc>
                <w:tcPr>
                  <w:tcW w:w="3030" w:type="dxa"/>
                  <w:tcBorders>
                    <w:top w:val="single" w:color="000000" w:sz="12" w:space="0"/>
                    <w:tl2br w:val="nil"/>
                    <w:tr2bl w:val="nil"/>
                  </w:tcBorders>
                  <w:vAlign w:val="center"/>
                </w:tcPr>
                <w:p w14:paraId="129C06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《合成树脂工业污染物排放标准》</w:t>
                  </w:r>
                  <w:r>
                    <w:rPr>
                      <w:rFonts w:hint="default" w:ascii="Times New Roman" w:hAnsi="Times New Roman" w:eastAsia="宋体" w:cs="Times New Roman"/>
                      <w:color w:val="auto"/>
                      <w:spacing w:val="4"/>
                      <w:sz w:val="21"/>
                      <w:szCs w:val="21"/>
                      <w:highlight w:val="none"/>
                    </w:rPr>
                    <w:t>（</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4"/>
                      <w:sz w:val="21"/>
                      <w:szCs w:val="21"/>
                      <w:highlight w:val="none"/>
                    </w:rPr>
                    <w:t>31572-2015</w:t>
                  </w:r>
                  <w:r>
                    <w:rPr>
                      <w:rFonts w:hint="default" w:ascii="Times New Roman" w:hAnsi="Times New Roman" w:eastAsia="宋体" w:cs="Times New Roman"/>
                      <w:color w:val="auto"/>
                      <w:spacing w:val="4"/>
                      <w:sz w:val="21"/>
                      <w:szCs w:val="21"/>
                      <w:highlight w:val="none"/>
                    </w:rPr>
                    <w:t>，含</w:t>
                  </w:r>
                  <w:r>
                    <w:rPr>
                      <w:rFonts w:hint="default" w:ascii="Times New Roman" w:hAnsi="Times New Roman" w:eastAsia="Times New Roman" w:cs="Times New Roman"/>
                      <w:color w:val="auto"/>
                      <w:spacing w:val="4"/>
                      <w:sz w:val="21"/>
                      <w:szCs w:val="21"/>
                      <w:highlight w:val="none"/>
                    </w:rPr>
                    <w:t>2024</w:t>
                  </w:r>
                  <w:r>
                    <w:rPr>
                      <w:rFonts w:hint="default" w:ascii="Times New Roman" w:hAnsi="Times New Roman" w:eastAsia="宋体" w:cs="Times New Roman"/>
                      <w:color w:val="auto"/>
                      <w:spacing w:val="4"/>
                      <w:sz w:val="21"/>
                      <w:szCs w:val="21"/>
                      <w:highlight w:val="none"/>
                    </w:rPr>
                    <w:t>年修改单）中的表</w:t>
                  </w:r>
                  <w:r>
                    <w:rPr>
                      <w:rFonts w:hint="default" w:ascii="Times New Roman" w:hAnsi="Times New Roman" w:eastAsia="Times New Roman" w:cs="Times New Roman"/>
                      <w:color w:val="auto"/>
                      <w:spacing w:val="4"/>
                      <w:sz w:val="21"/>
                      <w:szCs w:val="21"/>
                      <w:highlight w:val="none"/>
                    </w:rPr>
                    <w:t>4</w:t>
                  </w:r>
                  <w:r>
                    <w:rPr>
                      <w:rFonts w:hint="default" w:ascii="Times New Roman" w:hAnsi="Times New Roman" w:eastAsia="宋体" w:cs="Times New Roman"/>
                      <w:color w:val="auto"/>
                      <w:spacing w:val="4"/>
                      <w:sz w:val="21"/>
                      <w:szCs w:val="21"/>
                      <w:highlight w:val="none"/>
                    </w:rPr>
                    <w:t>大气污染物排放限值要求</w:t>
                  </w:r>
                </w:p>
              </w:tc>
            </w:tr>
            <w:tr w14:paraId="5B975F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43" w:type="dxa"/>
                  <w:vMerge w:val="continue"/>
                  <w:tcBorders>
                    <w:tl2br w:val="nil"/>
                    <w:tr2bl w:val="nil"/>
                  </w:tcBorders>
                  <w:vAlign w:val="center"/>
                </w:tcPr>
                <w:p w14:paraId="32C6EC23">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684" w:type="dxa"/>
                  <w:tcBorders>
                    <w:tl2br w:val="nil"/>
                    <w:tr2bl w:val="nil"/>
                  </w:tcBorders>
                  <w:vAlign w:val="center"/>
                </w:tcPr>
                <w:p w14:paraId="0E0DF6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无组织非</w:t>
                  </w:r>
                  <w:r>
                    <w:rPr>
                      <w:rFonts w:hint="default" w:ascii="Times New Roman" w:hAnsi="Times New Roman" w:eastAsia="宋体" w:cs="Times New Roman"/>
                      <w:color w:val="auto"/>
                      <w:spacing w:val="-9"/>
                      <w:sz w:val="21"/>
                      <w:szCs w:val="21"/>
                      <w:highlight w:val="none"/>
                    </w:rPr>
                    <w:t>甲烷</w:t>
                  </w:r>
                  <w:r>
                    <w:rPr>
                      <w:rFonts w:hint="default" w:ascii="Times New Roman" w:hAnsi="Times New Roman" w:eastAsia="宋体" w:cs="Times New Roman"/>
                      <w:color w:val="auto"/>
                      <w:spacing w:val="2"/>
                      <w:sz w:val="21"/>
                      <w:szCs w:val="21"/>
                      <w:highlight w:val="none"/>
                    </w:rPr>
                    <w:t>总烃</w:t>
                  </w:r>
                </w:p>
              </w:tc>
              <w:tc>
                <w:tcPr>
                  <w:tcW w:w="524" w:type="dxa"/>
                  <w:tcBorders>
                    <w:tl2br w:val="nil"/>
                    <w:tr2bl w:val="nil"/>
                  </w:tcBorders>
                  <w:vAlign w:val="center"/>
                </w:tcPr>
                <w:p w14:paraId="0B6685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厂区</w:t>
                  </w:r>
                </w:p>
              </w:tc>
              <w:tc>
                <w:tcPr>
                  <w:tcW w:w="524" w:type="dxa"/>
                  <w:tcBorders>
                    <w:tl2br w:val="nil"/>
                    <w:tr2bl w:val="nil"/>
                  </w:tcBorders>
                  <w:vAlign w:val="center"/>
                </w:tcPr>
                <w:p w14:paraId="1083F5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非</w:t>
                  </w:r>
                  <w:r>
                    <w:rPr>
                      <w:rFonts w:hint="default" w:ascii="Times New Roman" w:hAnsi="Times New Roman" w:eastAsia="宋体" w:cs="Times New Roman"/>
                      <w:color w:val="auto"/>
                      <w:spacing w:val="6"/>
                      <w:position w:val="1"/>
                      <w:sz w:val="21"/>
                      <w:szCs w:val="21"/>
                      <w:highlight w:val="none"/>
                    </w:rPr>
                    <w:t>甲</w:t>
                  </w:r>
                  <w:r>
                    <w:rPr>
                      <w:rFonts w:hint="default" w:ascii="Times New Roman" w:hAnsi="Times New Roman" w:eastAsia="宋体" w:cs="Times New Roman"/>
                      <w:color w:val="auto"/>
                      <w:spacing w:val="6"/>
                      <w:sz w:val="21"/>
                      <w:szCs w:val="21"/>
                      <w:highlight w:val="none"/>
                    </w:rPr>
                    <w:t>烷总烃</w:t>
                  </w:r>
                </w:p>
              </w:tc>
              <w:tc>
                <w:tcPr>
                  <w:tcW w:w="839" w:type="dxa"/>
                  <w:tcBorders>
                    <w:tl2br w:val="nil"/>
                    <w:tr2bl w:val="nil"/>
                  </w:tcBorders>
                  <w:vAlign w:val="center"/>
                </w:tcPr>
                <w:p w14:paraId="53248A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生产车</w:t>
                  </w:r>
                  <w:r>
                    <w:rPr>
                      <w:rFonts w:hint="default" w:ascii="Times New Roman" w:hAnsi="Times New Roman" w:eastAsia="宋体" w:cs="Times New Roman"/>
                      <w:color w:val="auto"/>
                      <w:spacing w:val="1"/>
                      <w:sz w:val="21"/>
                      <w:szCs w:val="21"/>
                      <w:highlight w:val="none"/>
                    </w:rPr>
                    <w:t>间门窗</w:t>
                  </w:r>
                  <w:r>
                    <w:rPr>
                      <w:rFonts w:hint="default" w:ascii="Times New Roman" w:hAnsi="Times New Roman" w:eastAsia="宋体" w:cs="Times New Roman"/>
                      <w:color w:val="auto"/>
                      <w:spacing w:val="6"/>
                      <w:sz w:val="21"/>
                      <w:szCs w:val="21"/>
                      <w:highlight w:val="none"/>
                    </w:rPr>
                    <w:t>或通风</w:t>
                  </w:r>
                  <w:r>
                    <w:rPr>
                      <w:rFonts w:hint="default" w:ascii="Times New Roman" w:hAnsi="Times New Roman" w:eastAsia="宋体" w:cs="Times New Roman"/>
                      <w:color w:val="auto"/>
                      <w:spacing w:val="-4"/>
                      <w:sz w:val="21"/>
                      <w:szCs w:val="21"/>
                      <w:highlight w:val="none"/>
                    </w:rPr>
                    <w:t>口、其</w:t>
                  </w:r>
                  <w:r>
                    <w:rPr>
                      <w:rFonts w:hint="default" w:ascii="Times New Roman" w:hAnsi="Times New Roman" w:eastAsia="宋体" w:cs="Times New Roman"/>
                      <w:color w:val="auto"/>
                      <w:spacing w:val="6"/>
                      <w:sz w:val="21"/>
                      <w:szCs w:val="21"/>
                      <w:highlight w:val="none"/>
                    </w:rPr>
                    <w:t>他开口</w:t>
                  </w:r>
                  <w:r>
                    <w:rPr>
                      <w:rFonts w:hint="default" w:ascii="Times New Roman" w:hAnsi="Times New Roman" w:eastAsia="宋体" w:cs="Times New Roman"/>
                      <w:color w:val="auto"/>
                      <w:spacing w:val="-3"/>
                      <w:sz w:val="21"/>
                      <w:szCs w:val="21"/>
                      <w:highlight w:val="none"/>
                    </w:rPr>
                    <w:t>（孔）</w:t>
                  </w:r>
                  <w:r>
                    <w:rPr>
                      <w:rFonts w:hint="default" w:ascii="Times New Roman" w:hAnsi="Times New Roman" w:eastAsia="宋体" w:cs="Times New Roman"/>
                      <w:color w:val="auto"/>
                      <w:spacing w:val="-15"/>
                      <w:sz w:val="21"/>
                      <w:szCs w:val="21"/>
                      <w:highlight w:val="none"/>
                    </w:rPr>
                    <w:t>外</w:t>
                  </w:r>
                  <w:r>
                    <w:rPr>
                      <w:rFonts w:hint="default" w:ascii="Times New Roman" w:hAnsi="Times New Roman" w:eastAsia="Times New Roman" w:cs="Times New Roman"/>
                      <w:color w:val="auto"/>
                      <w:spacing w:val="-15"/>
                      <w:sz w:val="21"/>
                      <w:szCs w:val="21"/>
                      <w:highlight w:val="none"/>
                    </w:rPr>
                    <w:t>1m</w:t>
                  </w:r>
                  <w:r>
                    <w:rPr>
                      <w:rFonts w:hint="default" w:ascii="Times New Roman" w:hAnsi="Times New Roman" w:eastAsia="宋体" w:cs="Times New Roman"/>
                      <w:color w:val="auto"/>
                      <w:spacing w:val="-15"/>
                      <w:sz w:val="21"/>
                      <w:szCs w:val="21"/>
                      <w:highlight w:val="none"/>
                    </w:rPr>
                    <w:t>，</w:t>
                  </w:r>
                  <w:r>
                    <w:rPr>
                      <w:rFonts w:hint="default" w:ascii="Times New Roman" w:hAnsi="Times New Roman" w:eastAsia="宋体" w:cs="Times New Roman"/>
                      <w:color w:val="auto"/>
                      <w:spacing w:val="11"/>
                      <w:sz w:val="21"/>
                      <w:szCs w:val="21"/>
                      <w:highlight w:val="none"/>
                    </w:rPr>
                    <w:t>取</w:t>
                  </w:r>
                  <w:r>
                    <w:rPr>
                      <w:rFonts w:hint="default" w:ascii="Times New Roman" w:hAnsi="Times New Roman" w:eastAsia="Times New Roman" w:cs="Times New Roman"/>
                      <w:color w:val="auto"/>
                      <w:spacing w:val="11"/>
                      <w:sz w:val="21"/>
                      <w:szCs w:val="21"/>
                      <w:highlight w:val="none"/>
                    </w:rPr>
                    <w:t>4</w:t>
                  </w:r>
                  <w:r>
                    <w:rPr>
                      <w:rFonts w:hint="default" w:ascii="Times New Roman" w:hAnsi="Times New Roman" w:eastAsia="宋体" w:cs="Times New Roman"/>
                      <w:color w:val="auto"/>
                      <w:spacing w:val="11"/>
                      <w:sz w:val="21"/>
                      <w:szCs w:val="21"/>
                      <w:highlight w:val="none"/>
                    </w:rPr>
                    <w:t>个</w:t>
                  </w:r>
                  <w:r>
                    <w:rPr>
                      <w:rFonts w:hint="default" w:ascii="Times New Roman" w:hAnsi="Times New Roman" w:eastAsia="宋体" w:cs="Times New Roman"/>
                      <w:color w:val="auto"/>
                      <w:sz w:val="21"/>
                      <w:szCs w:val="21"/>
                      <w:highlight w:val="none"/>
                    </w:rPr>
                    <w:t>点</w:t>
                  </w:r>
                </w:p>
              </w:tc>
              <w:tc>
                <w:tcPr>
                  <w:tcW w:w="670" w:type="dxa"/>
                  <w:tcBorders>
                    <w:tl2br w:val="nil"/>
                    <w:tr2bl w:val="nil"/>
                  </w:tcBorders>
                  <w:vAlign w:val="center"/>
                </w:tcPr>
                <w:p w14:paraId="798B31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r>
                    <w:rPr>
                      <w:rFonts w:hint="default" w:ascii="Times New Roman" w:hAnsi="Times New Roman" w:eastAsia="宋体" w:cs="Times New Roman"/>
                      <w:color w:val="auto"/>
                      <w:sz w:val="21"/>
                      <w:szCs w:val="21"/>
                      <w:highlight w:val="none"/>
                    </w:rPr>
                    <w:t>次</w:t>
                  </w:r>
                  <w:r>
                    <w:rPr>
                      <w:rFonts w:hint="default" w:ascii="Times New Roman" w:hAnsi="Times New Roman" w:eastAsia="Times New Roman" w:cs="Times New Roman"/>
                      <w:color w:val="auto"/>
                      <w:spacing w:val="2"/>
                      <w:sz w:val="21"/>
                      <w:szCs w:val="21"/>
                      <w:highlight w:val="none"/>
                    </w:rPr>
                    <w:t>/</w:t>
                  </w:r>
                  <w:r>
                    <w:rPr>
                      <w:rFonts w:hint="default" w:ascii="Times New Roman" w:hAnsi="Times New Roman" w:eastAsia="宋体" w:cs="Times New Roman"/>
                      <w:color w:val="auto"/>
                      <w:sz w:val="21"/>
                      <w:szCs w:val="21"/>
                      <w:highlight w:val="none"/>
                    </w:rPr>
                    <w:t>年</w:t>
                  </w:r>
                </w:p>
              </w:tc>
              <w:tc>
                <w:tcPr>
                  <w:tcW w:w="578" w:type="dxa"/>
                  <w:vMerge w:val="continue"/>
                  <w:tcBorders>
                    <w:tl2br w:val="nil"/>
                    <w:tr2bl w:val="nil"/>
                  </w:tcBorders>
                  <w:vAlign w:val="center"/>
                </w:tcPr>
                <w:p w14:paraId="45222E2F">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3030" w:type="dxa"/>
                  <w:tcBorders>
                    <w:tl2br w:val="nil"/>
                    <w:tr2bl w:val="nil"/>
                  </w:tcBorders>
                  <w:vAlign w:val="center"/>
                </w:tcPr>
                <w:p w14:paraId="68AF24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《挥发性有机物无组织控制排放</w:t>
                  </w:r>
                  <w:r>
                    <w:rPr>
                      <w:rFonts w:hint="default" w:ascii="Times New Roman" w:hAnsi="Times New Roman" w:eastAsia="宋体" w:cs="Times New Roman"/>
                      <w:color w:val="auto"/>
                      <w:spacing w:val="6"/>
                      <w:sz w:val="21"/>
                      <w:szCs w:val="21"/>
                      <w:highlight w:val="none"/>
                    </w:rPr>
                    <w:t>标准》（</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6"/>
                      <w:sz w:val="21"/>
                      <w:szCs w:val="21"/>
                      <w:highlight w:val="none"/>
                    </w:rPr>
                    <w:t>37822-2019</w:t>
                  </w:r>
                  <w:r>
                    <w:rPr>
                      <w:rFonts w:hint="default" w:ascii="Times New Roman" w:hAnsi="Times New Roman" w:eastAsia="宋体" w:cs="Times New Roman"/>
                      <w:color w:val="auto"/>
                      <w:spacing w:val="6"/>
                      <w:sz w:val="21"/>
                      <w:szCs w:val="21"/>
                      <w:highlight w:val="none"/>
                    </w:rPr>
                    <w:t>）表</w:t>
                  </w:r>
                  <w:r>
                    <w:rPr>
                      <w:rFonts w:hint="default" w:ascii="Times New Roman" w:hAnsi="Times New Roman" w:eastAsia="Times New Roman" w:cs="Times New Roman"/>
                      <w:color w:val="auto"/>
                      <w:spacing w:val="6"/>
                      <w:sz w:val="21"/>
                      <w:szCs w:val="21"/>
                      <w:highlight w:val="none"/>
                    </w:rPr>
                    <w:t>A.1</w:t>
                  </w:r>
                  <w:r>
                    <w:rPr>
                      <w:rFonts w:hint="default" w:ascii="Times New Roman" w:hAnsi="Times New Roman" w:eastAsia="宋体" w:cs="Times New Roman"/>
                      <w:color w:val="auto"/>
                      <w:spacing w:val="5"/>
                      <w:sz w:val="21"/>
                      <w:szCs w:val="21"/>
                      <w:highlight w:val="none"/>
                    </w:rPr>
                    <w:t>中规定排放限值</w:t>
                  </w:r>
                </w:p>
              </w:tc>
            </w:tr>
            <w:tr w14:paraId="222E7D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43" w:type="dxa"/>
                  <w:vMerge w:val="continue"/>
                  <w:tcBorders>
                    <w:tl2br w:val="nil"/>
                    <w:tr2bl w:val="nil"/>
                  </w:tcBorders>
                  <w:vAlign w:val="center"/>
                </w:tcPr>
                <w:p w14:paraId="3F4CA450">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684" w:type="dxa"/>
                  <w:tcBorders>
                    <w:tl2br w:val="nil"/>
                    <w:tr2bl w:val="nil"/>
                  </w:tcBorders>
                  <w:vAlign w:val="center"/>
                </w:tcPr>
                <w:p w14:paraId="5320E5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无组织非</w:t>
                  </w:r>
                  <w:r>
                    <w:rPr>
                      <w:rFonts w:hint="default" w:ascii="Times New Roman" w:hAnsi="Times New Roman" w:eastAsia="宋体" w:cs="Times New Roman"/>
                      <w:color w:val="auto"/>
                      <w:spacing w:val="-9"/>
                      <w:sz w:val="21"/>
                      <w:szCs w:val="21"/>
                      <w:highlight w:val="none"/>
                    </w:rPr>
                    <w:t>甲烷</w:t>
                  </w:r>
                  <w:r>
                    <w:rPr>
                      <w:rFonts w:hint="default" w:ascii="Times New Roman" w:hAnsi="Times New Roman" w:eastAsia="宋体" w:cs="Times New Roman"/>
                      <w:color w:val="auto"/>
                      <w:spacing w:val="2"/>
                      <w:sz w:val="21"/>
                      <w:szCs w:val="21"/>
                      <w:highlight w:val="none"/>
                    </w:rPr>
                    <w:t>总烃</w:t>
                  </w:r>
                </w:p>
              </w:tc>
              <w:tc>
                <w:tcPr>
                  <w:tcW w:w="524" w:type="dxa"/>
                  <w:tcBorders>
                    <w:tl2br w:val="nil"/>
                    <w:tr2bl w:val="nil"/>
                  </w:tcBorders>
                  <w:vAlign w:val="center"/>
                </w:tcPr>
                <w:p w14:paraId="173001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厂界</w:t>
                  </w:r>
                </w:p>
              </w:tc>
              <w:tc>
                <w:tcPr>
                  <w:tcW w:w="524" w:type="dxa"/>
                  <w:tcBorders>
                    <w:tl2br w:val="nil"/>
                    <w:tr2bl w:val="nil"/>
                  </w:tcBorders>
                  <w:vAlign w:val="center"/>
                </w:tcPr>
                <w:p w14:paraId="0BDD1B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非</w:t>
                  </w:r>
                  <w:r>
                    <w:rPr>
                      <w:rFonts w:hint="default" w:ascii="Times New Roman" w:hAnsi="Times New Roman" w:eastAsia="宋体" w:cs="Times New Roman"/>
                      <w:color w:val="auto"/>
                      <w:spacing w:val="6"/>
                      <w:position w:val="1"/>
                      <w:sz w:val="21"/>
                      <w:szCs w:val="21"/>
                      <w:highlight w:val="none"/>
                    </w:rPr>
                    <w:t>甲</w:t>
                  </w:r>
                  <w:r>
                    <w:rPr>
                      <w:rFonts w:hint="default" w:ascii="Times New Roman" w:hAnsi="Times New Roman" w:eastAsia="宋体" w:cs="Times New Roman"/>
                      <w:color w:val="auto"/>
                      <w:spacing w:val="6"/>
                      <w:sz w:val="21"/>
                      <w:szCs w:val="21"/>
                      <w:highlight w:val="none"/>
                    </w:rPr>
                    <w:t>烷总烃</w:t>
                  </w:r>
                </w:p>
              </w:tc>
              <w:tc>
                <w:tcPr>
                  <w:tcW w:w="839" w:type="dxa"/>
                  <w:tcBorders>
                    <w:tl2br w:val="nil"/>
                    <w:tr2bl w:val="nil"/>
                  </w:tcBorders>
                  <w:vAlign w:val="center"/>
                </w:tcPr>
                <w:p w14:paraId="1D5FF2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厂界</w:t>
                  </w:r>
                  <w:r>
                    <w:rPr>
                      <w:rFonts w:hint="default" w:ascii="Times New Roman" w:hAnsi="Times New Roman" w:eastAsia="Times New Roman" w:cs="Times New Roman"/>
                      <w:color w:val="auto"/>
                      <w:spacing w:val="-3"/>
                      <w:sz w:val="21"/>
                      <w:szCs w:val="21"/>
                      <w:highlight w:val="none"/>
                    </w:rPr>
                    <w:t>10m</w:t>
                  </w:r>
                  <w:r>
                    <w:rPr>
                      <w:rFonts w:hint="default" w:ascii="Times New Roman" w:hAnsi="Times New Roman" w:eastAsia="宋体" w:cs="Times New Roman"/>
                      <w:color w:val="auto"/>
                      <w:spacing w:val="-3"/>
                      <w:sz w:val="21"/>
                      <w:szCs w:val="21"/>
                      <w:highlight w:val="none"/>
                    </w:rPr>
                    <w:t>范</w:t>
                  </w:r>
                  <w:r>
                    <w:rPr>
                      <w:rFonts w:hint="default" w:ascii="Times New Roman" w:hAnsi="Times New Roman" w:eastAsia="宋体" w:cs="Times New Roman"/>
                      <w:color w:val="auto"/>
                      <w:spacing w:val="-4"/>
                      <w:sz w:val="21"/>
                      <w:szCs w:val="21"/>
                      <w:highlight w:val="none"/>
                    </w:rPr>
                    <w:t>围内，</w:t>
                  </w:r>
                  <w:r>
                    <w:rPr>
                      <w:rFonts w:hint="default" w:ascii="Times New Roman" w:hAnsi="Times New Roman" w:eastAsia="宋体" w:cs="Times New Roman"/>
                      <w:color w:val="auto"/>
                      <w:spacing w:val="6"/>
                      <w:sz w:val="21"/>
                      <w:szCs w:val="21"/>
                      <w:highlight w:val="none"/>
                    </w:rPr>
                    <w:t>上风向</w:t>
                  </w:r>
                  <w:r>
                    <w:rPr>
                      <w:rFonts w:hint="default" w:ascii="Times New Roman" w:hAnsi="Times New Roman" w:eastAsia="Times New Roman" w:cs="Times New Roman"/>
                      <w:color w:val="auto"/>
                      <w:spacing w:val="-13"/>
                      <w:sz w:val="21"/>
                      <w:szCs w:val="21"/>
                      <w:highlight w:val="none"/>
                    </w:rPr>
                    <w:t>1</w:t>
                  </w:r>
                  <w:r>
                    <w:rPr>
                      <w:rFonts w:hint="default" w:ascii="Times New Roman" w:hAnsi="Times New Roman" w:eastAsia="宋体" w:cs="Times New Roman"/>
                      <w:color w:val="auto"/>
                      <w:spacing w:val="-13"/>
                      <w:sz w:val="21"/>
                      <w:szCs w:val="21"/>
                      <w:highlight w:val="none"/>
                    </w:rPr>
                    <w:t>个点，</w:t>
                  </w:r>
                  <w:r>
                    <w:rPr>
                      <w:rFonts w:hint="default" w:ascii="Times New Roman" w:hAnsi="Times New Roman" w:eastAsia="宋体" w:cs="Times New Roman"/>
                      <w:color w:val="auto"/>
                      <w:spacing w:val="4"/>
                      <w:sz w:val="21"/>
                      <w:szCs w:val="21"/>
                      <w:highlight w:val="none"/>
                    </w:rPr>
                    <w:t>下风向</w:t>
                  </w:r>
                  <w:r>
                    <w:rPr>
                      <w:rFonts w:hint="default" w:ascii="Times New Roman" w:hAnsi="Times New Roman" w:eastAsia="Times New Roman" w:cs="Times New Roman"/>
                      <w:color w:val="auto"/>
                      <w:spacing w:val="1"/>
                      <w:sz w:val="21"/>
                      <w:szCs w:val="21"/>
                      <w:highlight w:val="none"/>
                    </w:rPr>
                    <w:t>3</w:t>
                  </w:r>
                  <w:r>
                    <w:rPr>
                      <w:rFonts w:hint="default" w:ascii="Times New Roman" w:hAnsi="Times New Roman" w:eastAsia="宋体" w:cs="Times New Roman"/>
                      <w:color w:val="auto"/>
                      <w:spacing w:val="1"/>
                      <w:sz w:val="21"/>
                      <w:szCs w:val="21"/>
                      <w:highlight w:val="none"/>
                    </w:rPr>
                    <w:t>个点</w:t>
                  </w:r>
                </w:p>
              </w:tc>
              <w:tc>
                <w:tcPr>
                  <w:tcW w:w="670" w:type="dxa"/>
                  <w:tcBorders>
                    <w:tl2br w:val="nil"/>
                    <w:tr2bl w:val="nil"/>
                  </w:tcBorders>
                  <w:vAlign w:val="center"/>
                </w:tcPr>
                <w:p w14:paraId="1F9F70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r>
                    <w:rPr>
                      <w:rFonts w:hint="default" w:ascii="Times New Roman" w:hAnsi="Times New Roman" w:eastAsia="宋体" w:cs="Times New Roman"/>
                      <w:color w:val="auto"/>
                      <w:sz w:val="21"/>
                      <w:szCs w:val="21"/>
                      <w:highlight w:val="none"/>
                    </w:rPr>
                    <w:t>次</w:t>
                  </w:r>
                  <w:r>
                    <w:rPr>
                      <w:rFonts w:hint="default" w:ascii="Times New Roman" w:hAnsi="Times New Roman" w:eastAsia="Times New Roman" w:cs="Times New Roman"/>
                      <w:color w:val="auto"/>
                      <w:spacing w:val="2"/>
                      <w:sz w:val="21"/>
                      <w:szCs w:val="21"/>
                      <w:highlight w:val="none"/>
                    </w:rPr>
                    <w:t>/</w:t>
                  </w:r>
                  <w:r>
                    <w:rPr>
                      <w:rFonts w:hint="default" w:ascii="Times New Roman" w:hAnsi="Times New Roman" w:eastAsia="宋体" w:cs="Times New Roman"/>
                      <w:color w:val="auto"/>
                      <w:sz w:val="21"/>
                      <w:szCs w:val="21"/>
                      <w:highlight w:val="none"/>
                    </w:rPr>
                    <w:t>年</w:t>
                  </w:r>
                </w:p>
              </w:tc>
              <w:tc>
                <w:tcPr>
                  <w:tcW w:w="578" w:type="dxa"/>
                  <w:vMerge w:val="continue"/>
                  <w:tcBorders>
                    <w:tl2br w:val="nil"/>
                    <w:tr2bl w:val="nil"/>
                  </w:tcBorders>
                  <w:vAlign w:val="center"/>
                </w:tcPr>
                <w:p w14:paraId="74A06E55">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3030" w:type="dxa"/>
                  <w:tcBorders>
                    <w:tl2br w:val="nil"/>
                    <w:tr2bl w:val="nil"/>
                  </w:tcBorders>
                  <w:vAlign w:val="center"/>
                </w:tcPr>
                <w:p w14:paraId="71BF4F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rPr>
                    <w:t>《合成树脂工业污染物排放标准》</w:t>
                  </w:r>
                  <w:r>
                    <w:rPr>
                      <w:rFonts w:hint="default" w:ascii="Times New Roman" w:hAnsi="Times New Roman" w:eastAsia="宋体" w:cs="Times New Roman"/>
                      <w:color w:val="auto"/>
                      <w:spacing w:val="4"/>
                      <w:sz w:val="21"/>
                      <w:szCs w:val="21"/>
                      <w:highlight w:val="none"/>
                    </w:rPr>
                    <w:t>（</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4"/>
                      <w:sz w:val="21"/>
                      <w:szCs w:val="21"/>
                      <w:highlight w:val="none"/>
                    </w:rPr>
                    <w:t>31572-2015</w:t>
                  </w:r>
                  <w:r>
                    <w:rPr>
                      <w:rFonts w:hint="default" w:ascii="Times New Roman" w:hAnsi="Times New Roman" w:eastAsia="宋体" w:cs="Times New Roman"/>
                      <w:color w:val="auto"/>
                      <w:spacing w:val="4"/>
                      <w:sz w:val="21"/>
                      <w:szCs w:val="21"/>
                      <w:highlight w:val="none"/>
                    </w:rPr>
                    <w:t>，含</w:t>
                  </w:r>
                  <w:r>
                    <w:rPr>
                      <w:rFonts w:hint="default" w:ascii="Times New Roman" w:hAnsi="Times New Roman" w:eastAsia="Times New Roman" w:cs="Times New Roman"/>
                      <w:color w:val="auto"/>
                      <w:spacing w:val="4"/>
                      <w:sz w:val="21"/>
                      <w:szCs w:val="21"/>
                      <w:highlight w:val="none"/>
                    </w:rPr>
                    <w:t>2024</w:t>
                  </w:r>
                  <w:r>
                    <w:rPr>
                      <w:rFonts w:hint="default" w:ascii="Times New Roman" w:hAnsi="Times New Roman" w:eastAsia="宋体" w:cs="Times New Roman"/>
                      <w:color w:val="auto"/>
                      <w:spacing w:val="4"/>
                      <w:sz w:val="21"/>
                      <w:szCs w:val="21"/>
                      <w:highlight w:val="none"/>
                    </w:rPr>
                    <w:t>年修改</w:t>
                  </w:r>
                  <w:r>
                    <w:rPr>
                      <w:rFonts w:hint="default" w:ascii="Times New Roman" w:hAnsi="Times New Roman" w:eastAsia="宋体" w:cs="Times New Roman"/>
                      <w:color w:val="auto"/>
                      <w:spacing w:val="3"/>
                      <w:sz w:val="21"/>
                      <w:szCs w:val="21"/>
                      <w:highlight w:val="none"/>
                    </w:rPr>
                    <w:t>单）中表</w:t>
                  </w:r>
                  <w:r>
                    <w:rPr>
                      <w:rFonts w:hint="default" w:ascii="Times New Roman" w:hAnsi="Times New Roman" w:eastAsia="Times New Roman" w:cs="Times New Roman"/>
                      <w:color w:val="auto"/>
                      <w:spacing w:val="3"/>
                      <w:sz w:val="21"/>
                      <w:szCs w:val="21"/>
                      <w:highlight w:val="none"/>
                    </w:rPr>
                    <w:t>9</w:t>
                  </w:r>
                  <w:r>
                    <w:rPr>
                      <w:rFonts w:hint="default" w:ascii="Times New Roman" w:hAnsi="Times New Roman" w:eastAsia="宋体" w:cs="Times New Roman"/>
                      <w:color w:val="auto"/>
                      <w:spacing w:val="3"/>
                      <w:sz w:val="21"/>
                      <w:szCs w:val="21"/>
                      <w:highlight w:val="none"/>
                    </w:rPr>
                    <w:t>企业边界大气污染物浓</w:t>
                  </w:r>
                  <w:r>
                    <w:rPr>
                      <w:rFonts w:hint="default" w:ascii="Times New Roman" w:hAnsi="Times New Roman" w:eastAsia="宋体" w:cs="Times New Roman"/>
                      <w:color w:val="auto"/>
                      <w:spacing w:val="8"/>
                      <w:sz w:val="21"/>
                      <w:szCs w:val="21"/>
                      <w:highlight w:val="none"/>
                    </w:rPr>
                    <w:t>度限值要求</w:t>
                  </w:r>
                </w:p>
              </w:tc>
            </w:tr>
            <w:tr w14:paraId="20D3A9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43" w:type="dxa"/>
                  <w:tcBorders>
                    <w:tl2br w:val="nil"/>
                    <w:tr2bl w:val="nil"/>
                  </w:tcBorders>
                  <w:vAlign w:val="center"/>
                </w:tcPr>
                <w:p w14:paraId="136E20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噪声</w:t>
                  </w:r>
                </w:p>
              </w:tc>
              <w:tc>
                <w:tcPr>
                  <w:tcW w:w="684" w:type="dxa"/>
                  <w:tcBorders>
                    <w:tl2br w:val="nil"/>
                    <w:tr2bl w:val="nil"/>
                  </w:tcBorders>
                  <w:vAlign w:val="center"/>
                </w:tcPr>
                <w:p w14:paraId="39F5BA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厂界</w:t>
                  </w:r>
                </w:p>
              </w:tc>
              <w:tc>
                <w:tcPr>
                  <w:tcW w:w="524" w:type="dxa"/>
                  <w:tcBorders>
                    <w:tl2br w:val="nil"/>
                    <w:tr2bl w:val="nil"/>
                  </w:tcBorders>
                  <w:vAlign w:val="center"/>
                </w:tcPr>
                <w:p w14:paraId="728DA1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厂界</w:t>
                  </w:r>
                </w:p>
              </w:tc>
              <w:tc>
                <w:tcPr>
                  <w:tcW w:w="524" w:type="dxa"/>
                  <w:tcBorders>
                    <w:tl2br w:val="nil"/>
                    <w:tr2bl w:val="nil"/>
                  </w:tcBorders>
                  <w:vAlign w:val="center"/>
                </w:tcPr>
                <w:p w14:paraId="592052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噪声</w:t>
                  </w:r>
                </w:p>
              </w:tc>
              <w:tc>
                <w:tcPr>
                  <w:tcW w:w="839" w:type="dxa"/>
                  <w:tcBorders>
                    <w:tl2br w:val="nil"/>
                    <w:tr2bl w:val="nil"/>
                  </w:tcBorders>
                  <w:vAlign w:val="center"/>
                </w:tcPr>
                <w:p w14:paraId="25A834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厂界</w:t>
                  </w:r>
                </w:p>
              </w:tc>
              <w:tc>
                <w:tcPr>
                  <w:tcW w:w="670" w:type="dxa"/>
                  <w:tcBorders>
                    <w:tl2br w:val="nil"/>
                    <w:tr2bl w:val="nil"/>
                  </w:tcBorders>
                  <w:vAlign w:val="center"/>
                </w:tcPr>
                <w:p w14:paraId="574BA9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Times New Roman" w:cs="Times New Roman"/>
                      <w:color w:val="auto"/>
                      <w:sz w:val="21"/>
                      <w:szCs w:val="21"/>
                      <w:highlight w:val="none"/>
                    </w:rPr>
                    <w:t>1</w:t>
                  </w:r>
                  <w:r>
                    <w:rPr>
                      <w:rFonts w:hint="default" w:ascii="Times New Roman" w:hAnsi="Times New Roman" w:eastAsia="宋体" w:cs="Times New Roman"/>
                      <w:color w:val="auto"/>
                      <w:sz w:val="21"/>
                      <w:szCs w:val="21"/>
                      <w:highlight w:val="none"/>
                    </w:rPr>
                    <w:t>次</w:t>
                  </w:r>
                  <w:r>
                    <w:rPr>
                      <w:rFonts w:hint="default" w:ascii="Times New Roman" w:hAnsi="Times New Roman" w:eastAsia="Times New Roman" w:cs="Times New Roman"/>
                      <w:color w:val="auto"/>
                      <w:spacing w:val="2"/>
                      <w:sz w:val="21"/>
                      <w:szCs w:val="21"/>
                      <w:highlight w:val="none"/>
                    </w:rPr>
                    <w:t>/</w:t>
                  </w:r>
                  <w:r>
                    <w:rPr>
                      <w:rFonts w:hint="default" w:ascii="Times New Roman" w:hAnsi="Times New Roman" w:eastAsia="宋体" w:cs="Times New Roman"/>
                      <w:color w:val="auto"/>
                      <w:sz w:val="21"/>
                      <w:szCs w:val="21"/>
                      <w:highlight w:val="none"/>
                    </w:rPr>
                    <w:t>季</w:t>
                  </w:r>
                  <w:r>
                    <w:rPr>
                      <w:rFonts w:hint="default" w:ascii="Times New Roman" w:hAnsi="Times New Roman" w:eastAsia="宋体" w:cs="Times New Roman"/>
                      <w:color w:val="auto"/>
                      <w:spacing w:val="1"/>
                      <w:sz w:val="21"/>
                      <w:szCs w:val="21"/>
                      <w:highlight w:val="none"/>
                    </w:rPr>
                    <w:t>度</w:t>
                  </w:r>
                </w:p>
              </w:tc>
              <w:tc>
                <w:tcPr>
                  <w:tcW w:w="578" w:type="dxa"/>
                  <w:vMerge w:val="continue"/>
                  <w:tcBorders>
                    <w:tl2br w:val="nil"/>
                    <w:tr2bl w:val="nil"/>
                  </w:tcBorders>
                  <w:vAlign w:val="center"/>
                </w:tcPr>
                <w:p w14:paraId="436EAD2D">
                  <w:pPr>
                    <w:pStyle w:val="6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color w:val="auto"/>
                      <w:sz w:val="21"/>
                      <w:szCs w:val="21"/>
                      <w:highlight w:val="none"/>
                    </w:rPr>
                  </w:pPr>
                </w:p>
              </w:tc>
              <w:tc>
                <w:tcPr>
                  <w:tcW w:w="3030" w:type="dxa"/>
                  <w:tcBorders>
                    <w:tl2br w:val="nil"/>
                    <w:tr2bl w:val="nil"/>
                  </w:tcBorders>
                  <w:vAlign w:val="center"/>
                </w:tcPr>
                <w:p w14:paraId="788290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sz w:val="21"/>
                      <w:szCs w:val="21"/>
                      <w:highlight w:val="none"/>
                    </w:rPr>
                    <w:t>厂界噪声</w:t>
                  </w:r>
                  <w:r>
                    <w:rPr>
                      <w:rFonts w:hint="default" w:ascii="Times New Roman" w:hAnsi="Times New Roman" w:cs="Times New Roman"/>
                      <w:color w:val="auto"/>
                      <w:spacing w:val="5"/>
                      <w:sz w:val="21"/>
                      <w:szCs w:val="21"/>
                      <w:highlight w:val="none"/>
                      <w:lang w:eastAsia="zh-CN"/>
                    </w:rPr>
                    <w:t>达到</w:t>
                  </w:r>
                  <w:r>
                    <w:rPr>
                      <w:rFonts w:hint="default" w:ascii="Times New Roman" w:hAnsi="Times New Roman" w:eastAsia="宋体" w:cs="Times New Roman"/>
                      <w:color w:val="auto"/>
                      <w:spacing w:val="5"/>
                      <w:sz w:val="21"/>
                      <w:szCs w:val="21"/>
                      <w:highlight w:val="none"/>
                    </w:rPr>
                    <w:t>《工业企业厂界环境噪</w:t>
                  </w:r>
                  <w:r>
                    <w:rPr>
                      <w:rFonts w:hint="default" w:ascii="Times New Roman" w:hAnsi="Times New Roman" w:eastAsia="宋体" w:cs="Times New Roman"/>
                      <w:color w:val="auto"/>
                      <w:spacing w:val="2"/>
                      <w:sz w:val="21"/>
                      <w:szCs w:val="21"/>
                      <w:highlight w:val="none"/>
                    </w:rPr>
                    <w:t>声排放标准》（</w:t>
                  </w:r>
                  <w:r>
                    <w:rPr>
                      <w:rFonts w:hint="default" w:ascii="Times New Roman" w:hAnsi="Times New Roman" w:eastAsia="Times New Roman" w:cs="Times New Roman"/>
                      <w:color w:val="auto"/>
                      <w:sz w:val="21"/>
                      <w:szCs w:val="21"/>
                      <w:highlight w:val="none"/>
                    </w:rPr>
                    <w:t>GB</w:t>
                  </w:r>
                  <w:r>
                    <w:rPr>
                      <w:rFonts w:hint="default" w:ascii="Times New Roman" w:hAnsi="Times New Roman" w:eastAsia="Times New Roman" w:cs="Times New Roman"/>
                      <w:color w:val="auto"/>
                      <w:spacing w:val="2"/>
                      <w:sz w:val="21"/>
                      <w:szCs w:val="21"/>
                      <w:highlight w:val="none"/>
                    </w:rPr>
                    <w:t>12348-2008</w:t>
                  </w:r>
                  <w:r>
                    <w:rPr>
                      <w:rFonts w:hint="default" w:ascii="Times New Roman" w:hAnsi="Times New Roman" w:eastAsia="宋体" w:cs="Times New Roman"/>
                      <w:color w:val="auto"/>
                      <w:spacing w:val="2"/>
                      <w:sz w:val="21"/>
                      <w:szCs w:val="21"/>
                      <w:highlight w:val="none"/>
                    </w:rPr>
                    <w:t>）中</w:t>
                  </w:r>
                  <w:r>
                    <w:rPr>
                      <w:rFonts w:hint="default" w:ascii="Times New Roman" w:hAnsi="Times New Roman" w:eastAsia="宋体" w:cs="Times New Roman"/>
                      <w:color w:val="auto"/>
                      <w:sz w:val="21"/>
                      <w:szCs w:val="21"/>
                      <w:highlight w:val="none"/>
                    </w:rPr>
                    <w:t>的</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类标准</w:t>
                  </w:r>
                </w:p>
              </w:tc>
            </w:tr>
          </w:tbl>
          <w:p w14:paraId="67B43F9B">
            <w:pPr>
              <w:keepNext w:val="0"/>
              <w:keepLines w:val="0"/>
              <w:pageBreakBefore w:val="0"/>
              <w:widowControl/>
              <w:kinsoku w:val="0"/>
              <w:wordWrap/>
              <w:overflowPunct/>
              <w:topLinePunct w:val="0"/>
              <w:autoSpaceDE w:val="0"/>
              <w:autoSpaceDN w:val="0"/>
              <w:bidi w:val="0"/>
              <w:snapToGrid w:val="0"/>
              <w:spacing w:line="360" w:lineRule="auto"/>
              <w:ind w:left="0" w:right="0" w:firstLine="502" w:firstLineChars="200"/>
              <w:textAlignment w:val="baseline"/>
              <w:rPr>
                <w:rFonts w:hint="default" w:ascii="Times New Roman" w:hAnsi="Times New Roman" w:eastAsia="宋体" w:cs="Times New Roman"/>
                <w:b/>
                <w:bCs/>
                <w:color w:val="auto"/>
                <w:spacing w:val="5"/>
                <w:sz w:val="24"/>
                <w:szCs w:val="24"/>
                <w:highlight w:val="none"/>
              </w:rPr>
            </w:pPr>
          </w:p>
          <w:p w14:paraId="6009E055">
            <w:pPr>
              <w:pStyle w:val="52"/>
              <w:numPr>
                <w:ilvl w:val="0"/>
                <w:numId w:val="0"/>
              </w:numPr>
              <w:adjustRightInd/>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lang w:val="en-US" w:eastAsia="zh-CN"/>
              </w:rPr>
              <w:t>环保投资</w:t>
            </w:r>
          </w:p>
          <w:p w14:paraId="034F8181">
            <w:pPr>
              <w:pStyle w:val="52"/>
              <w:numPr>
                <w:ilvl w:val="0"/>
                <w:numId w:val="0"/>
              </w:numPr>
              <w:adjustRightInd/>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本项目总投资为</w:t>
            </w:r>
            <w:r>
              <w:rPr>
                <w:rFonts w:hint="default" w:ascii="Times New Roman" w:hAnsi="Times New Roman" w:cs="Times New Roman"/>
                <w:color w:val="auto"/>
                <w:sz w:val="24"/>
                <w:szCs w:val="24"/>
                <w:highlight w:val="none"/>
                <w:lang w:val="en-US" w:eastAsia="zh-CN"/>
              </w:rPr>
              <w:t>1350</w:t>
            </w:r>
            <w:r>
              <w:rPr>
                <w:rFonts w:hint="default" w:ascii="Times New Roman" w:hAnsi="Times New Roman" w:eastAsia="宋体" w:cs="Times New Roman"/>
                <w:color w:val="auto"/>
                <w:sz w:val="24"/>
                <w:szCs w:val="24"/>
                <w:highlight w:val="none"/>
              </w:rPr>
              <w:t>万元</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其中环保投资</w:t>
            </w:r>
            <w:r>
              <w:rPr>
                <w:rFonts w:hint="default" w:ascii="Times New Roman" w:hAnsi="Times New Roman" w:cs="Times New Roman"/>
                <w:color w:val="auto"/>
                <w:sz w:val="24"/>
                <w:szCs w:val="24"/>
                <w:highlight w:val="none"/>
                <w:lang w:val="en-US" w:eastAsia="zh-CN"/>
              </w:rPr>
              <w:t>27</w:t>
            </w:r>
            <w:r>
              <w:rPr>
                <w:rFonts w:hint="default" w:ascii="Times New Roman" w:hAnsi="Times New Roman" w:eastAsia="宋体" w:cs="Times New Roman"/>
                <w:color w:val="auto"/>
                <w:sz w:val="24"/>
                <w:szCs w:val="24"/>
                <w:highlight w:val="none"/>
              </w:rPr>
              <w:t>万元</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占总投资的</w:t>
            </w:r>
            <w:r>
              <w:rPr>
                <w:rFonts w:hint="default" w:ascii="Times New Roman" w:hAnsi="Times New Roman" w:cs="Times New Roman"/>
                <w:color w:val="auto"/>
                <w:sz w:val="24"/>
                <w:szCs w:val="24"/>
                <w:highlight w:val="none"/>
                <w:lang w:val="en-US" w:eastAsia="zh-CN"/>
              </w:rPr>
              <w:t>5.4</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详见表</w:t>
            </w:r>
            <w:r>
              <w:rPr>
                <w:rFonts w:hint="default" w:ascii="Times New Roman" w:hAnsi="Times New Roman" w:cs="Times New Roman"/>
                <w:color w:val="auto"/>
                <w:sz w:val="24"/>
                <w:szCs w:val="24"/>
                <w:highlight w:val="none"/>
                <w:lang w:val="en-US" w:eastAsia="zh-CN"/>
              </w:rPr>
              <w:t>4-12</w:t>
            </w:r>
            <w:r>
              <w:rPr>
                <w:rFonts w:hint="default" w:ascii="Times New Roman" w:hAnsi="Times New Roman" w:eastAsia="宋体" w:cs="Times New Roman"/>
                <w:color w:val="auto"/>
                <w:sz w:val="24"/>
                <w:szCs w:val="24"/>
                <w:highlight w:val="none"/>
              </w:rPr>
              <w:t>。</w:t>
            </w:r>
          </w:p>
          <w:p w14:paraId="1A94660F">
            <w:pPr>
              <w:jc w:val="center"/>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表</w:t>
            </w:r>
            <w:r>
              <w:rPr>
                <w:rFonts w:hint="default" w:ascii="Times New Roman" w:hAnsi="Times New Roman" w:eastAsia="黑体" w:cs="Times New Roman"/>
                <w:b w:val="0"/>
                <w:bCs/>
                <w:color w:val="auto"/>
                <w:sz w:val="24"/>
                <w:szCs w:val="24"/>
                <w:highlight w:val="none"/>
                <w:lang w:val="en-US" w:eastAsia="zh-CN"/>
              </w:rPr>
              <w:t>4-16</w:t>
            </w:r>
            <w:r>
              <w:rPr>
                <w:rFonts w:hint="default" w:ascii="Times New Roman" w:hAnsi="Times New Roman" w:eastAsia="黑体" w:cs="Times New Roman"/>
                <w:b w:val="0"/>
                <w:bCs/>
                <w:color w:val="auto"/>
                <w:sz w:val="24"/>
                <w:szCs w:val="24"/>
                <w:highlight w:val="none"/>
              </w:rPr>
              <w:t>项目环保投资估算表</w:t>
            </w:r>
          </w:p>
          <w:tbl>
            <w:tblPr>
              <w:tblStyle w:val="24"/>
              <w:tblW w:w="494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73"/>
              <w:gridCol w:w="1663"/>
              <w:gridCol w:w="3781"/>
              <w:gridCol w:w="1365"/>
            </w:tblGrid>
            <w:tr w14:paraId="2A8083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23" w:hRule="atLeast"/>
                <w:jc w:val="center"/>
              </w:trPr>
              <w:tc>
                <w:tcPr>
                  <w:tcW w:w="573" w:type="dxa"/>
                  <w:tcBorders>
                    <w:tl2br w:val="nil"/>
                    <w:tr2bl w:val="nil"/>
                  </w:tcBorders>
                  <w:noWrap w:val="0"/>
                  <w:vAlign w:val="center"/>
                </w:tcPr>
                <w:p w14:paraId="66273B79">
                  <w:pPr>
                    <w:adjustRightInd w:val="0"/>
                    <w:snapToGrid w:val="0"/>
                    <w:ind w:left="-84" w:leftChars="-40" w:right="-84" w:rightChars="-4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序号</w:t>
                  </w:r>
                </w:p>
              </w:tc>
              <w:tc>
                <w:tcPr>
                  <w:tcW w:w="1663" w:type="dxa"/>
                  <w:tcBorders>
                    <w:tl2br w:val="nil"/>
                    <w:tr2bl w:val="nil"/>
                  </w:tcBorders>
                  <w:noWrap w:val="0"/>
                  <w:vAlign w:val="center"/>
                </w:tcPr>
                <w:p w14:paraId="0BFD94A9">
                  <w:pPr>
                    <w:adjustRightInd w:val="0"/>
                    <w:snapToGrid w:val="0"/>
                    <w:ind w:left="-84" w:leftChars="-40" w:right="-84" w:rightChars="-4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类别</w:t>
                  </w:r>
                </w:p>
              </w:tc>
              <w:tc>
                <w:tcPr>
                  <w:tcW w:w="3781" w:type="dxa"/>
                  <w:tcBorders>
                    <w:tl2br w:val="nil"/>
                    <w:tr2bl w:val="nil"/>
                  </w:tcBorders>
                  <w:noWrap w:val="0"/>
                  <w:vAlign w:val="center"/>
                </w:tcPr>
                <w:p w14:paraId="18FADBAE">
                  <w:pPr>
                    <w:adjustRightInd w:val="0"/>
                    <w:snapToGrid w:val="0"/>
                    <w:ind w:left="-42" w:leftChars="-20" w:right="-42" w:rightChars="-2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主要环保措施</w:t>
                  </w:r>
                </w:p>
              </w:tc>
              <w:tc>
                <w:tcPr>
                  <w:tcW w:w="1365" w:type="dxa"/>
                  <w:tcBorders>
                    <w:tl2br w:val="nil"/>
                    <w:tr2bl w:val="nil"/>
                  </w:tcBorders>
                  <w:noWrap w:val="0"/>
                  <w:vAlign w:val="center"/>
                </w:tcPr>
                <w:p w14:paraId="33A17FAE">
                  <w:pPr>
                    <w:adjustRightInd w:val="0"/>
                    <w:snapToGrid w:val="0"/>
                    <w:ind w:left="-84" w:leftChars="-40" w:right="-84" w:rightChars="-40"/>
                    <w:jc w:val="center"/>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投资估算(万元)</w:t>
                  </w:r>
                </w:p>
              </w:tc>
            </w:tr>
            <w:tr w14:paraId="25724E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2C659D6F">
                  <w:pPr>
                    <w:adjustRightInd w:val="0"/>
                    <w:snapToGrid w:val="0"/>
                    <w:ind w:left="-84" w:leftChars="-40" w:right="-84" w:rightChars="-4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p>
              </w:tc>
              <w:tc>
                <w:tcPr>
                  <w:tcW w:w="1663" w:type="dxa"/>
                  <w:vMerge w:val="restart"/>
                  <w:tcBorders>
                    <w:tl2br w:val="nil"/>
                    <w:tr2bl w:val="nil"/>
                  </w:tcBorders>
                  <w:noWrap w:val="0"/>
                  <w:vAlign w:val="center"/>
                </w:tcPr>
                <w:p w14:paraId="107126EC">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废气</w:t>
                  </w:r>
                </w:p>
              </w:tc>
              <w:tc>
                <w:tcPr>
                  <w:tcW w:w="3781" w:type="dxa"/>
                  <w:tcBorders>
                    <w:tl2br w:val="nil"/>
                    <w:tr2bl w:val="nil"/>
                  </w:tcBorders>
                  <w:noWrap w:val="0"/>
                  <w:vAlign w:val="center"/>
                </w:tcPr>
                <w:p w14:paraId="3ED12272">
                  <w:pPr>
                    <w:adjustRightInd w:val="0"/>
                    <w:snapToGrid w:val="0"/>
                    <w:ind w:left="-42" w:leftChars="-20" w:right="-42" w:rightChars="-2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活性炭吸附脱附+催化燃烧装置</w:t>
                  </w:r>
                </w:p>
              </w:tc>
              <w:tc>
                <w:tcPr>
                  <w:tcW w:w="1365" w:type="dxa"/>
                  <w:tcBorders>
                    <w:tl2br w:val="nil"/>
                    <w:tr2bl w:val="nil"/>
                  </w:tcBorders>
                  <w:noWrap w:val="0"/>
                  <w:vAlign w:val="center"/>
                </w:tcPr>
                <w:p w14:paraId="5321B7CE">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16</w:t>
                  </w:r>
                </w:p>
              </w:tc>
            </w:tr>
            <w:tr w14:paraId="52A35F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3119C976">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1663" w:type="dxa"/>
                  <w:vMerge w:val="continue"/>
                  <w:tcBorders>
                    <w:tl2br w:val="nil"/>
                    <w:tr2bl w:val="nil"/>
                  </w:tcBorders>
                  <w:noWrap w:val="0"/>
                  <w:vAlign w:val="center"/>
                </w:tcPr>
                <w:p w14:paraId="38C2E2EF">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p>
              </w:tc>
              <w:tc>
                <w:tcPr>
                  <w:tcW w:w="3781" w:type="dxa"/>
                  <w:tcBorders>
                    <w:tl2br w:val="nil"/>
                    <w:tr2bl w:val="nil"/>
                  </w:tcBorders>
                  <w:noWrap w:val="0"/>
                  <w:vAlign w:val="center"/>
                </w:tcPr>
                <w:p w14:paraId="6577097E">
                  <w:pPr>
                    <w:adjustRightInd w:val="0"/>
                    <w:snapToGrid w:val="0"/>
                    <w:ind w:left="-42" w:leftChars="-20" w:right="-42" w:rightChars="-2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加强厂区排风</w:t>
                  </w:r>
                </w:p>
              </w:tc>
              <w:tc>
                <w:tcPr>
                  <w:tcW w:w="1365" w:type="dxa"/>
                  <w:tcBorders>
                    <w:tl2br w:val="nil"/>
                    <w:tr2bl w:val="nil"/>
                  </w:tcBorders>
                  <w:noWrap w:val="0"/>
                  <w:vAlign w:val="center"/>
                </w:tcPr>
                <w:p w14:paraId="0046A01B">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r>
            <w:tr w14:paraId="61E27F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52A13D2E">
                  <w:pPr>
                    <w:adjustRightInd w:val="0"/>
                    <w:snapToGrid w:val="0"/>
                    <w:ind w:left="-84" w:leftChars="-40" w:right="-84" w:rightChars="-4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w:t>
                  </w:r>
                </w:p>
              </w:tc>
              <w:tc>
                <w:tcPr>
                  <w:tcW w:w="1663" w:type="dxa"/>
                  <w:tcBorders>
                    <w:tl2br w:val="nil"/>
                    <w:tr2bl w:val="nil"/>
                  </w:tcBorders>
                  <w:noWrap w:val="0"/>
                  <w:vAlign w:val="center"/>
                </w:tcPr>
                <w:p w14:paraId="3F219774">
                  <w:pPr>
                    <w:adjustRightInd w:val="0"/>
                    <w:snapToGrid w:val="0"/>
                    <w:ind w:left="-84" w:leftChars="-40" w:right="-84" w:rightChars="-4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3781" w:type="dxa"/>
                  <w:tcBorders>
                    <w:tl2br w:val="nil"/>
                    <w:tr2bl w:val="nil"/>
                  </w:tcBorders>
                  <w:noWrap w:val="0"/>
                  <w:vAlign w:val="center"/>
                </w:tcPr>
                <w:p w14:paraId="38EF4D38">
                  <w:pPr>
                    <w:widowControl/>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隔声、基础减振</w:t>
                  </w:r>
                  <w:r>
                    <w:rPr>
                      <w:rFonts w:hint="default" w:ascii="Times New Roman" w:hAnsi="Times New Roman" w:cs="Times New Roman"/>
                      <w:color w:val="auto"/>
                      <w:szCs w:val="21"/>
                      <w:highlight w:val="none"/>
                      <w:lang w:eastAsia="zh-CN"/>
                    </w:rPr>
                    <w:t>，消声</w:t>
                  </w:r>
                  <w:r>
                    <w:rPr>
                      <w:rFonts w:hint="default" w:ascii="Times New Roman" w:hAnsi="Times New Roman" w:cs="Times New Roman"/>
                      <w:color w:val="auto"/>
                      <w:szCs w:val="21"/>
                      <w:highlight w:val="none"/>
                    </w:rPr>
                    <w:t>等</w:t>
                  </w:r>
                </w:p>
              </w:tc>
              <w:tc>
                <w:tcPr>
                  <w:tcW w:w="1365" w:type="dxa"/>
                  <w:tcBorders>
                    <w:tl2br w:val="nil"/>
                    <w:tr2bl w:val="nil"/>
                  </w:tcBorders>
                  <w:noWrap w:val="0"/>
                  <w:vAlign w:val="center"/>
                </w:tcPr>
                <w:p w14:paraId="3F6D69DA">
                  <w:pPr>
                    <w:adjustRightInd w:val="0"/>
                    <w:snapToGrid w:val="0"/>
                    <w:ind w:left="-84" w:leftChars="-40" w:right="-84" w:rightChars="-4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w:t>
                  </w:r>
                </w:p>
              </w:tc>
            </w:tr>
            <w:tr w14:paraId="1DF118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5A0E6F67">
                  <w:pPr>
                    <w:adjustRightInd w:val="0"/>
                    <w:snapToGrid w:val="0"/>
                    <w:ind w:left="-84" w:leftChars="-40" w:right="-84" w:rightChars="-4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4</w:t>
                  </w:r>
                </w:p>
              </w:tc>
              <w:tc>
                <w:tcPr>
                  <w:tcW w:w="1663" w:type="dxa"/>
                  <w:tcBorders>
                    <w:tl2br w:val="nil"/>
                    <w:tr2bl w:val="nil"/>
                  </w:tcBorders>
                  <w:noWrap w:val="0"/>
                  <w:vAlign w:val="center"/>
                </w:tcPr>
                <w:p w14:paraId="2C676BB6">
                  <w:pPr>
                    <w:adjustRightInd w:val="0"/>
                    <w:snapToGrid w:val="0"/>
                    <w:ind w:left="-84" w:leftChars="-40" w:right="-84" w:rightChars="-4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废水</w:t>
                  </w:r>
                </w:p>
              </w:tc>
              <w:tc>
                <w:tcPr>
                  <w:tcW w:w="3781" w:type="dxa"/>
                  <w:tcBorders>
                    <w:tl2br w:val="nil"/>
                    <w:tr2bl w:val="nil"/>
                  </w:tcBorders>
                  <w:noWrap w:val="0"/>
                  <w:vAlign w:val="center"/>
                </w:tcPr>
                <w:p w14:paraId="1FCB2E6F">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循环水池（依托）</w:t>
                  </w:r>
                </w:p>
              </w:tc>
              <w:tc>
                <w:tcPr>
                  <w:tcW w:w="1365" w:type="dxa"/>
                  <w:tcBorders>
                    <w:tl2br w:val="nil"/>
                    <w:tr2bl w:val="nil"/>
                  </w:tcBorders>
                  <w:noWrap w:val="0"/>
                  <w:vAlign w:val="center"/>
                </w:tcPr>
                <w:p w14:paraId="75FF7619">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r>
            <w:tr w14:paraId="7A3C5B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1D2329BE">
                  <w:pPr>
                    <w:adjustRightInd w:val="0"/>
                    <w:snapToGrid w:val="0"/>
                    <w:ind w:left="-84" w:leftChars="-40" w:right="-84" w:rightChars="-4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5</w:t>
                  </w:r>
                </w:p>
              </w:tc>
              <w:tc>
                <w:tcPr>
                  <w:tcW w:w="1663" w:type="dxa"/>
                  <w:vMerge w:val="restart"/>
                  <w:tcBorders>
                    <w:tl2br w:val="nil"/>
                    <w:tr2bl w:val="nil"/>
                  </w:tcBorders>
                  <w:noWrap w:val="0"/>
                  <w:vAlign w:val="center"/>
                </w:tcPr>
                <w:p w14:paraId="0005E2FD">
                  <w:pPr>
                    <w:adjustRightInd w:val="0"/>
                    <w:snapToGrid w:val="0"/>
                    <w:ind w:left="-84" w:leftChars="-40" w:right="-84" w:rightChars="-4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固废</w:t>
                  </w:r>
                </w:p>
              </w:tc>
              <w:tc>
                <w:tcPr>
                  <w:tcW w:w="3781" w:type="dxa"/>
                  <w:tcBorders>
                    <w:tl2br w:val="nil"/>
                    <w:tr2bl w:val="nil"/>
                  </w:tcBorders>
                  <w:noWrap w:val="0"/>
                  <w:vAlign w:val="center"/>
                </w:tcPr>
                <w:p w14:paraId="44D32251">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一般工业固体废物贮存区（依托）</w:t>
                  </w:r>
                </w:p>
              </w:tc>
              <w:tc>
                <w:tcPr>
                  <w:tcW w:w="1365" w:type="dxa"/>
                  <w:tcBorders>
                    <w:tl2br w:val="nil"/>
                    <w:tr2bl w:val="nil"/>
                  </w:tcBorders>
                  <w:noWrap w:val="0"/>
                  <w:vAlign w:val="center"/>
                </w:tcPr>
                <w:p w14:paraId="0599D227">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r>
            <w:tr w14:paraId="5C1ACB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0CCD85CD">
                  <w:pPr>
                    <w:adjustRightInd w:val="0"/>
                    <w:snapToGrid w:val="0"/>
                    <w:ind w:left="-84" w:leftChars="-40" w:right="-84" w:rightChars="-4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6</w:t>
                  </w:r>
                </w:p>
              </w:tc>
              <w:tc>
                <w:tcPr>
                  <w:tcW w:w="1663" w:type="dxa"/>
                  <w:vMerge w:val="continue"/>
                  <w:tcBorders>
                    <w:tl2br w:val="nil"/>
                    <w:tr2bl w:val="nil"/>
                  </w:tcBorders>
                  <w:noWrap w:val="0"/>
                  <w:vAlign w:val="center"/>
                </w:tcPr>
                <w:p w14:paraId="08418E70">
                  <w:pPr>
                    <w:adjustRightInd w:val="0"/>
                    <w:snapToGrid w:val="0"/>
                    <w:ind w:left="-84" w:leftChars="-40" w:right="-84" w:rightChars="-40"/>
                    <w:jc w:val="center"/>
                    <w:rPr>
                      <w:rFonts w:hint="default" w:ascii="Times New Roman" w:hAnsi="Times New Roman" w:cs="Times New Roman"/>
                      <w:color w:val="auto"/>
                      <w:szCs w:val="21"/>
                      <w:highlight w:val="none"/>
                    </w:rPr>
                  </w:pPr>
                </w:p>
              </w:tc>
              <w:tc>
                <w:tcPr>
                  <w:tcW w:w="3781" w:type="dxa"/>
                  <w:tcBorders>
                    <w:tl2br w:val="nil"/>
                    <w:tr2bl w:val="nil"/>
                  </w:tcBorders>
                  <w:noWrap w:val="0"/>
                  <w:vAlign w:val="center"/>
                </w:tcPr>
                <w:p w14:paraId="351A6177">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危废间（整改）</w:t>
                  </w:r>
                </w:p>
              </w:tc>
              <w:tc>
                <w:tcPr>
                  <w:tcW w:w="1365" w:type="dxa"/>
                  <w:tcBorders>
                    <w:tl2br w:val="nil"/>
                    <w:tr2bl w:val="nil"/>
                  </w:tcBorders>
                  <w:noWrap w:val="0"/>
                  <w:vAlign w:val="center"/>
                </w:tcPr>
                <w:p w14:paraId="0DFB72B6">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r>
            <w:tr w14:paraId="64E68C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73" w:type="dxa"/>
                  <w:tcBorders>
                    <w:tl2br w:val="nil"/>
                    <w:tr2bl w:val="nil"/>
                  </w:tcBorders>
                  <w:noWrap w:val="0"/>
                  <w:vAlign w:val="center"/>
                </w:tcPr>
                <w:p w14:paraId="728FA7D6">
                  <w:pPr>
                    <w:adjustRightInd w:val="0"/>
                    <w:snapToGrid w:val="0"/>
                    <w:ind w:left="-84" w:leftChars="-40" w:right="-84" w:rightChars="-4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7</w:t>
                  </w:r>
                </w:p>
              </w:tc>
              <w:tc>
                <w:tcPr>
                  <w:tcW w:w="1663" w:type="dxa"/>
                  <w:vMerge w:val="continue"/>
                  <w:tcBorders>
                    <w:tl2br w:val="nil"/>
                    <w:tr2bl w:val="nil"/>
                  </w:tcBorders>
                  <w:noWrap w:val="0"/>
                  <w:vAlign w:val="center"/>
                </w:tcPr>
                <w:p w14:paraId="65F40D95">
                  <w:pPr>
                    <w:adjustRightInd w:val="0"/>
                    <w:snapToGrid w:val="0"/>
                    <w:ind w:left="-84" w:leftChars="-40" w:right="-84" w:rightChars="-40"/>
                    <w:jc w:val="center"/>
                    <w:rPr>
                      <w:rFonts w:hint="default" w:ascii="Times New Roman" w:hAnsi="Times New Roman" w:cs="Times New Roman"/>
                      <w:color w:val="auto"/>
                      <w:szCs w:val="21"/>
                      <w:highlight w:val="none"/>
                    </w:rPr>
                  </w:pPr>
                </w:p>
              </w:tc>
              <w:tc>
                <w:tcPr>
                  <w:tcW w:w="3781" w:type="dxa"/>
                  <w:tcBorders>
                    <w:tl2br w:val="nil"/>
                    <w:tr2bl w:val="nil"/>
                  </w:tcBorders>
                  <w:noWrap w:val="0"/>
                  <w:vAlign w:val="center"/>
                </w:tcPr>
                <w:p w14:paraId="26D41673">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危险废物委托处置</w:t>
                  </w:r>
                </w:p>
              </w:tc>
              <w:tc>
                <w:tcPr>
                  <w:tcW w:w="1365" w:type="dxa"/>
                  <w:tcBorders>
                    <w:tl2br w:val="nil"/>
                    <w:tr2bl w:val="nil"/>
                  </w:tcBorders>
                  <w:noWrap w:val="0"/>
                  <w:vAlign w:val="center"/>
                </w:tcPr>
                <w:p w14:paraId="10F17090">
                  <w:pPr>
                    <w:adjustRightInd w:val="0"/>
                    <w:snapToGrid w:val="0"/>
                    <w:ind w:left="-84" w:leftChars="-40" w:right="-84" w:rightChars="-4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r>
            <w:tr w14:paraId="32F6E0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36" w:type="dxa"/>
                  <w:gridSpan w:val="2"/>
                  <w:tcBorders>
                    <w:tl2br w:val="nil"/>
                    <w:tr2bl w:val="nil"/>
                  </w:tcBorders>
                  <w:noWrap w:val="0"/>
                  <w:vAlign w:val="center"/>
                </w:tcPr>
                <w:p w14:paraId="6551BC4E">
                  <w:pPr>
                    <w:adjustRightInd w:val="0"/>
                    <w:snapToGrid w:val="0"/>
                    <w:ind w:left="-84" w:leftChars="-40" w:right="-84" w:rightChars="-4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总计</w:t>
                  </w:r>
                </w:p>
              </w:tc>
              <w:tc>
                <w:tcPr>
                  <w:tcW w:w="3781" w:type="dxa"/>
                  <w:tcBorders>
                    <w:tl2br w:val="nil"/>
                    <w:tr2bl w:val="nil"/>
                  </w:tcBorders>
                  <w:noWrap w:val="0"/>
                  <w:vAlign w:val="center"/>
                </w:tcPr>
                <w:p w14:paraId="10A5F311">
                  <w:pPr>
                    <w:adjustRightInd w:val="0"/>
                    <w:snapToGrid w:val="0"/>
                    <w:ind w:left="-42" w:leftChars="-20" w:right="-42" w:rightChars="-20"/>
                    <w:rPr>
                      <w:rFonts w:hint="default" w:ascii="Times New Roman" w:hAnsi="Times New Roman" w:cs="Times New Roman"/>
                      <w:color w:val="auto"/>
                      <w:szCs w:val="21"/>
                      <w:highlight w:val="none"/>
                    </w:rPr>
                  </w:pPr>
                </w:p>
              </w:tc>
              <w:tc>
                <w:tcPr>
                  <w:tcW w:w="1365" w:type="dxa"/>
                  <w:tcBorders>
                    <w:tl2br w:val="nil"/>
                    <w:tr2bl w:val="nil"/>
                  </w:tcBorders>
                  <w:noWrap w:val="0"/>
                  <w:vAlign w:val="center"/>
                </w:tcPr>
                <w:p w14:paraId="1C4E551B">
                  <w:pPr>
                    <w:adjustRightInd w:val="0"/>
                    <w:snapToGrid w:val="0"/>
                    <w:ind w:left="-84" w:leftChars="-40" w:right="-84" w:rightChars="-4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27</w:t>
                  </w:r>
                </w:p>
              </w:tc>
            </w:tr>
          </w:tbl>
          <w:p w14:paraId="02222296">
            <w:pPr>
              <w:spacing w:line="360" w:lineRule="auto"/>
              <w:rPr>
                <w:rFonts w:hint="default" w:ascii="Times New Roman" w:hAnsi="Times New Roman" w:cs="Times New Roman"/>
                <w:b/>
                <w:bCs/>
                <w:i w:val="0"/>
                <w:color w:val="auto"/>
                <w:sz w:val="30"/>
                <w:szCs w:val="30"/>
                <w:highlight w:val="none"/>
              </w:rPr>
            </w:pPr>
            <w:bookmarkStart w:id="5" w:name="_Toc1653"/>
            <w:bookmarkStart w:id="6" w:name="_Toc534186612"/>
            <w:bookmarkStart w:id="7" w:name="_Toc451368270"/>
            <w:bookmarkStart w:id="8" w:name="_Toc534186527"/>
            <w:bookmarkStart w:id="9" w:name="_Toc426976992"/>
            <w:bookmarkStart w:id="10" w:name="_Toc366138669"/>
            <w:r>
              <w:rPr>
                <w:rFonts w:hint="default" w:ascii="Times New Roman" w:hAnsi="Times New Roman" w:cs="Times New Roman"/>
                <w:b/>
                <w:bCs/>
                <w:i w:val="0"/>
                <w:snapToGrid w:val="0"/>
                <w:color w:val="auto"/>
                <w:kern w:val="2"/>
                <w:sz w:val="24"/>
                <w:szCs w:val="24"/>
                <w:highlight w:val="none"/>
                <w:lang w:val="en-US" w:eastAsia="zh-CN" w:bidi="ar-SA"/>
              </w:rPr>
              <w:t>9.</w:t>
            </w:r>
            <w:r>
              <w:rPr>
                <w:rFonts w:hint="default" w:ascii="Times New Roman" w:hAnsi="Times New Roman" w:eastAsia="宋体" w:cs="Times New Roman"/>
                <w:b/>
                <w:bCs/>
                <w:i w:val="0"/>
                <w:snapToGrid w:val="0"/>
                <w:color w:val="auto"/>
                <w:kern w:val="2"/>
                <w:sz w:val="24"/>
                <w:szCs w:val="24"/>
                <w:highlight w:val="none"/>
                <w:lang w:val="en-US" w:eastAsia="zh-CN" w:bidi="ar-SA"/>
              </w:rPr>
              <w:t>环境保护竣工验收内容</w:t>
            </w:r>
            <w:bookmarkEnd w:id="5"/>
            <w:bookmarkEnd w:id="6"/>
            <w:bookmarkEnd w:id="7"/>
            <w:bookmarkEnd w:id="8"/>
            <w:bookmarkEnd w:id="9"/>
            <w:bookmarkEnd w:id="10"/>
          </w:p>
          <w:p w14:paraId="5677A803">
            <w:pPr>
              <w:ind w:firstLine="480" w:firstLineChars="200"/>
              <w:rPr>
                <w:rFonts w:hint="default" w:ascii="Times New Roman" w:hAnsi="Times New Roman" w:eastAsia="宋体" w:cs="Times New Roman"/>
                <w:color w:val="auto"/>
                <w:sz w:val="24"/>
                <w:szCs w:val="32"/>
                <w:highlight w:val="none"/>
                <w:lang w:eastAsia="zh-CN"/>
              </w:rPr>
            </w:pPr>
            <w:r>
              <w:rPr>
                <w:rFonts w:hint="default" w:ascii="Times New Roman" w:hAnsi="Times New Roman" w:cs="Times New Roman"/>
                <w:color w:val="auto"/>
                <w:sz w:val="24"/>
                <w:szCs w:val="32"/>
                <w:highlight w:val="none"/>
              </w:rPr>
              <w:t>该项目环境保护</w:t>
            </w:r>
            <w:r>
              <w:rPr>
                <w:rFonts w:hint="default" w:ascii="Times New Roman" w:hAnsi="Times New Roman" w:cs="Times New Roman"/>
                <w:color w:val="auto"/>
                <w:sz w:val="24"/>
                <w:szCs w:val="32"/>
                <w:highlight w:val="none"/>
                <w:lang w:val="en-US" w:eastAsia="zh-CN"/>
              </w:rPr>
              <w:t>竣工</w:t>
            </w:r>
            <w:r>
              <w:rPr>
                <w:rFonts w:hint="default" w:ascii="Times New Roman" w:hAnsi="Times New Roman" w:cs="Times New Roman"/>
                <w:color w:val="auto"/>
                <w:sz w:val="24"/>
                <w:szCs w:val="32"/>
                <w:highlight w:val="none"/>
              </w:rPr>
              <w:t>验收内容见表</w:t>
            </w:r>
            <w:bookmarkStart w:id="11" w:name="_Toc220227623"/>
            <w:r>
              <w:rPr>
                <w:rFonts w:hint="default" w:ascii="Times New Roman" w:hAnsi="Times New Roman" w:cs="Times New Roman"/>
                <w:color w:val="auto"/>
                <w:sz w:val="24"/>
                <w:szCs w:val="32"/>
                <w:highlight w:val="none"/>
                <w:lang w:val="en-US" w:eastAsia="zh-CN"/>
              </w:rPr>
              <w:t>4-1</w:t>
            </w:r>
            <w:r>
              <w:rPr>
                <w:rFonts w:hint="eastAsia" w:ascii="Times New Roman" w:hAnsi="Times New Roman" w:cs="Times New Roman"/>
                <w:color w:val="auto"/>
                <w:sz w:val="24"/>
                <w:szCs w:val="32"/>
                <w:highlight w:val="none"/>
                <w:lang w:val="en-US" w:eastAsia="zh-CN"/>
              </w:rPr>
              <w:t>7</w:t>
            </w:r>
            <w:r>
              <w:rPr>
                <w:rFonts w:hint="default" w:ascii="Times New Roman" w:hAnsi="Times New Roman" w:cs="Times New Roman"/>
                <w:color w:val="auto"/>
                <w:sz w:val="24"/>
                <w:szCs w:val="32"/>
                <w:highlight w:val="none"/>
                <w:lang w:eastAsia="zh-CN"/>
              </w:rPr>
              <w:t>。</w:t>
            </w:r>
          </w:p>
          <w:p w14:paraId="53EE7DCD">
            <w:pPr>
              <w:spacing w:before="120" w:beforeLines="50" w:line="240" w:lineRule="auto"/>
              <w:jc w:val="center"/>
              <w:rPr>
                <w:rFonts w:hint="default" w:ascii="Times New Roman" w:hAnsi="Times New Roman" w:eastAsia="黑体" w:cs="Times New Roman"/>
                <w:b w:val="0"/>
                <w:bCs/>
                <w:color w:val="auto"/>
                <w:sz w:val="24"/>
                <w:szCs w:val="32"/>
                <w:highlight w:val="none"/>
              </w:rPr>
            </w:pPr>
            <w:r>
              <w:rPr>
                <w:rFonts w:hint="default" w:ascii="Times New Roman" w:hAnsi="Times New Roman" w:eastAsia="黑体" w:cs="Times New Roman"/>
                <w:b w:val="0"/>
                <w:bCs/>
                <w:color w:val="auto"/>
                <w:sz w:val="24"/>
                <w:szCs w:val="32"/>
                <w:highlight w:val="none"/>
              </w:rPr>
              <w:t>表</w:t>
            </w:r>
            <w:r>
              <w:rPr>
                <w:rFonts w:hint="default" w:ascii="Times New Roman" w:hAnsi="Times New Roman" w:eastAsia="黑体" w:cs="Times New Roman"/>
                <w:b w:val="0"/>
                <w:bCs/>
                <w:color w:val="auto"/>
                <w:sz w:val="24"/>
                <w:szCs w:val="32"/>
                <w:highlight w:val="none"/>
                <w:lang w:val="en-US" w:eastAsia="zh-CN"/>
              </w:rPr>
              <w:t>4-1</w:t>
            </w:r>
            <w:r>
              <w:rPr>
                <w:rFonts w:hint="eastAsia" w:ascii="Times New Roman" w:hAnsi="Times New Roman" w:eastAsia="黑体" w:cs="Times New Roman"/>
                <w:b w:val="0"/>
                <w:bCs/>
                <w:color w:val="auto"/>
                <w:sz w:val="24"/>
                <w:szCs w:val="32"/>
                <w:highlight w:val="none"/>
                <w:lang w:val="en-US" w:eastAsia="zh-CN"/>
              </w:rPr>
              <w:t xml:space="preserve">7   </w:t>
            </w:r>
            <w:r>
              <w:rPr>
                <w:rFonts w:hint="default" w:ascii="Times New Roman" w:hAnsi="Times New Roman" w:eastAsia="黑体" w:cs="Times New Roman"/>
                <w:b w:val="0"/>
                <w:bCs/>
                <w:color w:val="auto"/>
                <w:sz w:val="24"/>
                <w:szCs w:val="32"/>
                <w:highlight w:val="none"/>
              </w:rPr>
              <w:t>建设项目</w:t>
            </w:r>
            <w:r>
              <w:rPr>
                <w:rFonts w:hint="default" w:ascii="Times New Roman" w:hAnsi="Times New Roman" w:eastAsia="黑体" w:cs="Times New Roman"/>
                <w:b w:val="0"/>
                <w:bCs/>
                <w:color w:val="auto"/>
                <w:sz w:val="24"/>
                <w:szCs w:val="32"/>
                <w:highlight w:val="none"/>
                <w:lang w:val="en-US" w:eastAsia="zh-CN"/>
              </w:rPr>
              <w:t>竣工</w:t>
            </w:r>
            <w:r>
              <w:rPr>
                <w:rFonts w:hint="default" w:ascii="Times New Roman" w:hAnsi="Times New Roman" w:eastAsia="黑体" w:cs="Times New Roman"/>
                <w:b w:val="0"/>
                <w:bCs/>
                <w:color w:val="auto"/>
                <w:sz w:val="24"/>
                <w:szCs w:val="32"/>
                <w:highlight w:val="none"/>
              </w:rPr>
              <w:t>验收内容</w:t>
            </w:r>
            <w:bookmarkEnd w:id="11"/>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017"/>
              <w:gridCol w:w="1168"/>
              <w:gridCol w:w="1064"/>
              <w:gridCol w:w="1543"/>
              <w:gridCol w:w="2067"/>
            </w:tblGrid>
            <w:tr w14:paraId="773B7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bottom w:val="single" w:color="auto" w:sz="12" w:space="0"/>
                  </w:tcBorders>
                  <w:noWrap w:val="0"/>
                  <w:tcMar>
                    <w:left w:w="0" w:type="dxa"/>
                    <w:right w:w="0" w:type="dxa"/>
                  </w:tcMar>
                  <w:vAlign w:val="center"/>
                </w:tcPr>
                <w:p w14:paraId="6A8268C0">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682" w:type="pct"/>
                  <w:tcBorders>
                    <w:bottom w:val="single" w:color="auto" w:sz="12" w:space="0"/>
                  </w:tcBorders>
                  <w:noWrap w:val="0"/>
                  <w:vAlign w:val="center"/>
                </w:tcPr>
                <w:p w14:paraId="4DECAC2C">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783" w:type="pct"/>
                  <w:tcBorders>
                    <w:bottom w:val="single" w:color="auto" w:sz="12" w:space="0"/>
                  </w:tcBorders>
                  <w:noWrap w:val="0"/>
                  <w:vAlign w:val="center"/>
                </w:tcPr>
                <w:p w14:paraId="3800E497">
                  <w:pPr>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排放形式</w:t>
                  </w:r>
                </w:p>
              </w:tc>
              <w:tc>
                <w:tcPr>
                  <w:tcW w:w="713" w:type="pct"/>
                  <w:tcBorders>
                    <w:bottom w:val="single" w:color="auto" w:sz="12" w:space="0"/>
                  </w:tcBorders>
                  <w:noWrap w:val="0"/>
                  <w:vAlign w:val="center"/>
                </w:tcPr>
                <w:p w14:paraId="61AD42BF">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1034" w:type="pct"/>
                  <w:tcBorders>
                    <w:bottom w:val="single" w:color="auto" w:sz="12" w:space="0"/>
                  </w:tcBorders>
                  <w:noWrap w:val="0"/>
                  <w:vAlign w:val="center"/>
                </w:tcPr>
                <w:p w14:paraId="1316BB69">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环保措施</w:t>
                  </w:r>
                </w:p>
              </w:tc>
              <w:tc>
                <w:tcPr>
                  <w:tcW w:w="1386" w:type="pct"/>
                  <w:tcBorders>
                    <w:bottom w:val="single" w:color="auto" w:sz="12" w:space="0"/>
                  </w:tcBorders>
                  <w:noWrap w:val="0"/>
                  <w:tcMar>
                    <w:left w:w="0" w:type="dxa"/>
                    <w:right w:w="0" w:type="dxa"/>
                  </w:tcMar>
                  <w:vAlign w:val="center"/>
                </w:tcPr>
                <w:p w14:paraId="4F2A22BD">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竣工验收标准</w:t>
                  </w:r>
                </w:p>
              </w:tc>
            </w:tr>
            <w:tr w14:paraId="25F61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Merge w:val="restart"/>
                  <w:tcBorders>
                    <w:top w:val="single" w:color="auto" w:sz="12" w:space="0"/>
                    <w:tl2br w:val="nil"/>
                    <w:tr2bl w:val="nil"/>
                  </w:tcBorders>
                  <w:noWrap w:val="0"/>
                  <w:tcMar>
                    <w:left w:w="0" w:type="dxa"/>
                    <w:right w:w="0" w:type="dxa"/>
                  </w:tcMar>
                  <w:vAlign w:val="center"/>
                </w:tcPr>
                <w:p w14:paraId="62B01E51">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682" w:type="pct"/>
                  <w:vMerge w:val="restart"/>
                  <w:tcBorders>
                    <w:top w:val="single" w:color="auto" w:sz="12" w:space="0"/>
                    <w:tl2br w:val="nil"/>
                    <w:tr2bl w:val="nil"/>
                  </w:tcBorders>
                  <w:noWrap w:val="0"/>
                  <w:vAlign w:val="center"/>
                </w:tcPr>
                <w:p w14:paraId="55B5D6BC">
                  <w:pPr>
                    <w:ind w:right="23"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Cs w:val="21"/>
                      <w:highlight w:val="none"/>
                      <w:lang w:eastAsia="zh-CN"/>
                    </w:rPr>
                    <w:t>VOCs（以非甲烷总烃计）</w:t>
                  </w:r>
                  <w:r>
                    <w:rPr>
                      <w:rFonts w:hint="default" w:ascii="Times New Roman" w:hAnsi="Times New Roman" w:eastAsia="宋体" w:cs="Times New Roman"/>
                      <w:bCs/>
                      <w:color w:val="auto"/>
                      <w:szCs w:val="21"/>
                      <w:highlight w:val="none"/>
                      <w:lang w:val="en-US" w:eastAsia="zh-CN"/>
                    </w:rPr>
                    <w:t>DA00</w:t>
                  </w:r>
                  <w:r>
                    <w:rPr>
                      <w:rFonts w:hint="default" w:ascii="Times New Roman" w:hAnsi="Times New Roman" w:cs="Times New Roman"/>
                      <w:bCs/>
                      <w:color w:val="auto"/>
                      <w:szCs w:val="21"/>
                      <w:highlight w:val="none"/>
                      <w:lang w:val="en-US" w:eastAsia="zh-CN"/>
                    </w:rPr>
                    <w:t>3</w:t>
                  </w:r>
                </w:p>
              </w:tc>
              <w:tc>
                <w:tcPr>
                  <w:tcW w:w="783" w:type="pct"/>
                  <w:tcBorders>
                    <w:top w:val="single" w:color="auto" w:sz="12" w:space="0"/>
                    <w:tl2br w:val="nil"/>
                    <w:tr2bl w:val="nil"/>
                  </w:tcBorders>
                  <w:noWrap w:val="0"/>
                  <w:vAlign w:val="center"/>
                </w:tcPr>
                <w:p w14:paraId="4B93B08F">
                  <w:pPr>
                    <w:ind w:right="23" w:right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713" w:type="pct"/>
                  <w:vMerge w:val="restart"/>
                  <w:tcBorders>
                    <w:top w:val="single" w:color="auto" w:sz="12" w:space="0"/>
                    <w:tl2br w:val="nil"/>
                    <w:tr2bl w:val="nil"/>
                  </w:tcBorders>
                  <w:noWrap w:val="0"/>
                  <w:vAlign w:val="center"/>
                </w:tcPr>
                <w:p w14:paraId="4CBBD9F7">
                  <w:pPr>
                    <w:ind w:right="23"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034" w:type="pct"/>
                  <w:tcBorders>
                    <w:top w:val="single" w:color="auto" w:sz="12" w:space="0"/>
                    <w:tl2br w:val="nil"/>
                    <w:tr2bl w:val="nil"/>
                  </w:tcBorders>
                  <w:noWrap w:val="0"/>
                  <w:vAlign w:val="center"/>
                </w:tcPr>
                <w:p w14:paraId="7B377179">
                  <w:pPr>
                    <w:ind w:right="23"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集气罩</w:t>
                  </w:r>
                  <w:r>
                    <w:rPr>
                      <w:rFonts w:hint="default" w:ascii="Times New Roman" w:hAnsi="Times New Roman" w:eastAsia="宋体" w:cs="Times New Roman"/>
                      <w:b w:val="0"/>
                      <w:bCs w:val="0"/>
                      <w:color w:val="auto"/>
                      <w:sz w:val="21"/>
                      <w:szCs w:val="21"/>
                      <w:highlight w:val="none"/>
                      <w:vertAlign w:val="baseline"/>
                      <w:lang w:val="en-US" w:eastAsia="zh-CN"/>
                    </w:rPr>
                    <w:t>+</w:t>
                  </w:r>
                  <w:r>
                    <w:rPr>
                      <w:rFonts w:hint="default" w:ascii="Times New Roman" w:hAnsi="Times New Roman" w:cs="Times New Roman"/>
                      <w:b w:val="0"/>
                      <w:bCs w:val="0"/>
                      <w:color w:val="auto"/>
                      <w:sz w:val="21"/>
                      <w:szCs w:val="21"/>
                      <w:highlight w:val="none"/>
                      <w:vertAlign w:val="baseline"/>
                      <w:lang w:val="en-US" w:eastAsia="zh-CN"/>
                    </w:rPr>
                    <w:t>活性炭吸附脱附+催化燃烧装置</w:t>
                  </w:r>
                  <w:r>
                    <w:rPr>
                      <w:rFonts w:hint="default" w:ascii="Times New Roman" w:hAnsi="Times New Roman" w:eastAsia="宋体" w:cs="Times New Roman"/>
                      <w:b w:val="0"/>
                      <w:bCs w:val="0"/>
                      <w:color w:val="auto"/>
                      <w:sz w:val="21"/>
                      <w:szCs w:val="21"/>
                      <w:highlight w:val="none"/>
                      <w:vertAlign w:val="baseline"/>
                      <w:lang w:val="en-US" w:eastAsia="zh-CN"/>
                    </w:rPr>
                    <w:t>1套+15m高排气筒</w:t>
                  </w:r>
                </w:p>
              </w:tc>
              <w:tc>
                <w:tcPr>
                  <w:tcW w:w="1386" w:type="pct"/>
                  <w:tcBorders>
                    <w:top w:val="single" w:color="auto" w:sz="12" w:space="0"/>
                    <w:tl2br w:val="nil"/>
                    <w:tr2bl w:val="nil"/>
                  </w:tcBorders>
                  <w:noWrap w:val="0"/>
                  <w:tcMar>
                    <w:left w:w="0" w:type="dxa"/>
                    <w:right w:w="0" w:type="dxa"/>
                  </w:tcMar>
                  <w:vAlign w:val="center"/>
                </w:tcPr>
                <w:p w14:paraId="50CD2462">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bCs w:val="0"/>
                      <w:color w:val="auto"/>
                      <w:sz w:val="21"/>
                      <w:szCs w:val="21"/>
                      <w:highlight w:val="none"/>
                    </w:rPr>
                    <w:t>《</w:t>
                  </w:r>
                  <w:r>
                    <w:rPr>
                      <w:rFonts w:hint="default" w:ascii="Times New Roman" w:hAnsi="Times New Roman" w:eastAsia="宋体" w:cs="Times New Roman"/>
                      <w:bCs w:val="0"/>
                      <w:color w:val="auto"/>
                      <w:sz w:val="21"/>
                      <w:szCs w:val="21"/>
                      <w:highlight w:val="none"/>
                      <w:lang w:val="en-US" w:eastAsia="zh-CN"/>
                    </w:rPr>
                    <w:t>合成树脂工业污染物排放标准</w:t>
                  </w:r>
                  <w:r>
                    <w:rPr>
                      <w:rFonts w:hint="default" w:ascii="Times New Roman" w:hAnsi="Times New Roman" w:eastAsia="宋体" w:cs="Times New Roman"/>
                      <w:bCs w:val="0"/>
                      <w:color w:val="auto"/>
                      <w:sz w:val="21"/>
                      <w:szCs w:val="21"/>
                      <w:highlight w:val="none"/>
                    </w:rPr>
                    <w:t>》（GB</w:t>
                  </w:r>
                  <w:r>
                    <w:rPr>
                      <w:rFonts w:hint="default" w:ascii="Times New Roman" w:hAnsi="Times New Roman" w:eastAsia="宋体" w:cs="Times New Roman"/>
                      <w:bCs w:val="0"/>
                      <w:color w:val="auto"/>
                      <w:sz w:val="21"/>
                      <w:szCs w:val="21"/>
                      <w:highlight w:val="none"/>
                      <w:lang w:val="en-US" w:eastAsia="zh-CN"/>
                    </w:rPr>
                    <w:t>31572-2015</w:t>
                  </w:r>
                  <w:r>
                    <w:rPr>
                      <w:rFonts w:hint="default" w:ascii="Times New Roman" w:hAnsi="Times New Roman" w:eastAsia="宋体" w:cs="Times New Roman"/>
                      <w:bCs w:val="0"/>
                      <w:color w:val="auto"/>
                      <w:sz w:val="21"/>
                      <w:szCs w:val="21"/>
                      <w:highlight w:val="none"/>
                    </w:rPr>
                    <w:t>）标准要求</w:t>
                  </w:r>
                </w:p>
              </w:tc>
            </w:tr>
            <w:tr w14:paraId="2DCFF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Merge w:val="continue"/>
                  <w:tcBorders>
                    <w:tl2br w:val="nil"/>
                    <w:tr2bl w:val="nil"/>
                  </w:tcBorders>
                  <w:noWrap w:val="0"/>
                  <w:tcMar>
                    <w:left w:w="0" w:type="dxa"/>
                    <w:right w:w="0" w:type="dxa"/>
                  </w:tcMar>
                  <w:vAlign w:val="center"/>
                </w:tcPr>
                <w:p w14:paraId="14A13D11">
                  <w:pPr>
                    <w:adjustRightInd w:val="0"/>
                    <w:snapToGrid w:val="0"/>
                    <w:spacing w:line="240" w:lineRule="auto"/>
                    <w:jc w:val="center"/>
                    <w:rPr>
                      <w:rFonts w:hint="default" w:ascii="Times New Roman" w:hAnsi="Times New Roman" w:cs="Times New Roman"/>
                      <w:color w:val="auto"/>
                      <w:sz w:val="21"/>
                      <w:szCs w:val="21"/>
                      <w:highlight w:val="none"/>
                    </w:rPr>
                  </w:pPr>
                </w:p>
              </w:tc>
              <w:tc>
                <w:tcPr>
                  <w:tcW w:w="682" w:type="pct"/>
                  <w:vMerge w:val="continue"/>
                  <w:tcBorders>
                    <w:tl2br w:val="nil"/>
                    <w:tr2bl w:val="nil"/>
                  </w:tcBorders>
                  <w:noWrap w:val="0"/>
                  <w:vAlign w:val="center"/>
                </w:tcPr>
                <w:p w14:paraId="259B6450">
                  <w:pPr>
                    <w:ind w:right="23" w:rightChars="0"/>
                    <w:jc w:val="center"/>
                    <w:rPr>
                      <w:rFonts w:hint="default" w:ascii="Times New Roman" w:hAnsi="Times New Roman" w:eastAsia="宋体" w:cs="Times New Roman"/>
                      <w:bCs/>
                      <w:color w:val="auto"/>
                      <w:szCs w:val="21"/>
                      <w:highlight w:val="none"/>
                      <w:lang w:val="en-US" w:eastAsia="zh-CN"/>
                    </w:rPr>
                  </w:pPr>
                </w:p>
              </w:tc>
              <w:tc>
                <w:tcPr>
                  <w:tcW w:w="783" w:type="pct"/>
                  <w:tcBorders>
                    <w:tl2br w:val="nil"/>
                    <w:tr2bl w:val="nil"/>
                  </w:tcBorders>
                  <w:noWrap w:val="0"/>
                  <w:vAlign w:val="center"/>
                </w:tcPr>
                <w:p w14:paraId="24313EAF">
                  <w:pPr>
                    <w:ind w:right="23" w:right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无组织</w:t>
                  </w:r>
                </w:p>
              </w:tc>
              <w:tc>
                <w:tcPr>
                  <w:tcW w:w="713" w:type="pct"/>
                  <w:vMerge w:val="continue"/>
                  <w:tcBorders>
                    <w:tl2br w:val="nil"/>
                    <w:tr2bl w:val="nil"/>
                  </w:tcBorders>
                  <w:noWrap w:val="0"/>
                  <w:vAlign w:val="center"/>
                </w:tcPr>
                <w:p w14:paraId="2F7DE385">
                  <w:pPr>
                    <w:ind w:right="23" w:rightChars="0"/>
                    <w:jc w:val="center"/>
                    <w:rPr>
                      <w:rFonts w:hint="default" w:ascii="Times New Roman" w:hAnsi="Times New Roman" w:eastAsia="宋体" w:cs="Times New Roman"/>
                      <w:bCs/>
                      <w:color w:val="auto"/>
                      <w:sz w:val="21"/>
                      <w:szCs w:val="21"/>
                      <w:highlight w:val="none"/>
                      <w:lang w:val="en-US" w:eastAsia="zh-CN"/>
                    </w:rPr>
                  </w:pPr>
                </w:p>
              </w:tc>
              <w:tc>
                <w:tcPr>
                  <w:tcW w:w="1034" w:type="pct"/>
                  <w:tcBorders>
                    <w:tl2br w:val="nil"/>
                    <w:tr2bl w:val="nil"/>
                  </w:tcBorders>
                  <w:noWrap w:val="0"/>
                  <w:vAlign w:val="center"/>
                </w:tcPr>
                <w:p w14:paraId="6344A463">
                  <w:pPr>
                    <w:ind w:right="23" w:rightChars="0"/>
                    <w:jc w:val="center"/>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加强通风</w:t>
                  </w:r>
                </w:p>
              </w:tc>
              <w:tc>
                <w:tcPr>
                  <w:tcW w:w="1386" w:type="pct"/>
                  <w:tcBorders>
                    <w:tl2br w:val="nil"/>
                    <w:tr2bl w:val="nil"/>
                  </w:tcBorders>
                  <w:noWrap w:val="0"/>
                  <w:tcMar>
                    <w:left w:w="0" w:type="dxa"/>
                    <w:right w:w="0" w:type="dxa"/>
                  </w:tcMar>
                  <w:vAlign w:val="center"/>
                </w:tcPr>
                <w:p w14:paraId="4F447FBF">
                  <w:pPr>
                    <w:adjustRightInd w:val="0"/>
                    <w:snapToGrid w:val="0"/>
                    <w:spacing w:line="240" w:lineRule="auto"/>
                    <w:jc w:val="center"/>
                    <w:rPr>
                      <w:rFonts w:hint="default" w:ascii="Times New Roman" w:hAnsi="Times New Roman" w:eastAsia="宋体" w:cs="Times New Roman"/>
                      <w:bCs w:val="0"/>
                      <w:color w:val="auto"/>
                      <w:sz w:val="21"/>
                      <w:szCs w:val="21"/>
                      <w:highlight w:val="none"/>
                    </w:rPr>
                  </w:pPr>
                  <w:r>
                    <w:rPr>
                      <w:rFonts w:hint="default" w:ascii="Times New Roman" w:hAnsi="Times New Roman" w:eastAsia="宋体" w:cs="Times New Roman"/>
                      <w:bCs w:val="0"/>
                      <w:color w:val="auto"/>
                      <w:sz w:val="21"/>
                      <w:szCs w:val="21"/>
                      <w:highlight w:val="none"/>
                    </w:rPr>
                    <w:t>《</w:t>
                  </w:r>
                  <w:r>
                    <w:rPr>
                      <w:rFonts w:hint="default" w:ascii="Times New Roman" w:hAnsi="Times New Roman" w:eastAsia="宋体" w:cs="Times New Roman"/>
                      <w:bCs w:val="0"/>
                      <w:color w:val="auto"/>
                      <w:sz w:val="21"/>
                      <w:szCs w:val="21"/>
                      <w:highlight w:val="none"/>
                      <w:lang w:val="en-US" w:eastAsia="zh-CN"/>
                    </w:rPr>
                    <w:t>合成树脂工业污染物排放标准</w:t>
                  </w:r>
                  <w:r>
                    <w:rPr>
                      <w:rFonts w:hint="default" w:ascii="Times New Roman" w:hAnsi="Times New Roman" w:eastAsia="宋体" w:cs="Times New Roman"/>
                      <w:bCs w:val="0"/>
                      <w:color w:val="auto"/>
                      <w:sz w:val="21"/>
                      <w:szCs w:val="21"/>
                      <w:highlight w:val="none"/>
                    </w:rPr>
                    <w:t>》（GB</w:t>
                  </w:r>
                  <w:r>
                    <w:rPr>
                      <w:rFonts w:hint="default" w:ascii="Times New Roman" w:hAnsi="Times New Roman" w:eastAsia="宋体" w:cs="Times New Roman"/>
                      <w:bCs w:val="0"/>
                      <w:color w:val="auto"/>
                      <w:sz w:val="21"/>
                      <w:szCs w:val="21"/>
                      <w:highlight w:val="none"/>
                      <w:lang w:val="en-US" w:eastAsia="zh-CN"/>
                    </w:rPr>
                    <w:t>31572-2015</w:t>
                  </w:r>
                  <w:r>
                    <w:rPr>
                      <w:rFonts w:hint="default" w:ascii="Times New Roman" w:hAnsi="Times New Roman" w:eastAsia="宋体" w:cs="Times New Roman"/>
                      <w:bCs w:val="0"/>
                      <w:color w:val="auto"/>
                      <w:sz w:val="21"/>
                      <w:szCs w:val="21"/>
                      <w:highlight w:val="none"/>
                    </w:rPr>
                    <w:t>）标准要求</w:t>
                  </w:r>
                  <w:r>
                    <w:rPr>
                      <w:rFonts w:hint="default" w:ascii="Times New Roman" w:hAnsi="Times New Roman" w:eastAsia="宋体" w:cs="Times New Roman"/>
                      <w:bCs w:val="0"/>
                      <w:color w:val="auto"/>
                      <w:sz w:val="21"/>
                      <w:szCs w:val="21"/>
                      <w:highlight w:val="none"/>
                      <w:lang w:val="en-US" w:eastAsia="zh-CN"/>
                    </w:rPr>
                    <w:t>与《挥发性有机物无组织排放控制标准》（GB37822-2019）中厂房外</w:t>
                  </w:r>
                  <w:r>
                    <w:rPr>
                      <w:rFonts w:hint="default" w:ascii="Times New Roman" w:hAnsi="Times New Roman" w:cs="Times New Roman"/>
                      <w:bCs w:val="0"/>
                      <w:color w:val="auto"/>
                      <w:sz w:val="21"/>
                      <w:szCs w:val="21"/>
                      <w:highlight w:val="none"/>
                      <w:lang w:val="en-US" w:eastAsia="zh-CN"/>
                    </w:rPr>
                    <w:t>VOCs（以非甲烷总烃计）</w:t>
                  </w:r>
                  <w:r>
                    <w:rPr>
                      <w:rFonts w:hint="default" w:ascii="Times New Roman" w:hAnsi="Times New Roman" w:eastAsia="宋体" w:cs="Times New Roman"/>
                      <w:bCs w:val="0"/>
                      <w:color w:val="auto"/>
                      <w:sz w:val="21"/>
                      <w:szCs w:val="21"/>
                      <w:highlight w:val="none"/>
                      <w:lang w:val="en-US" w:eastAsia="zh-CN"/>
                    </w:rPr>
                    <w:t>无组织排放限值监控点处1h平均浓度值6mg/m³的要求</w:t>
                  </w:r>
                </w:p>
              </w:tc>
            </w:tr>
            <w:tr w14:paraId="12D777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399" w:type="pct"/>
                  <w:vMerge w:val="restart"/>
                  <w:tcBorders>
                    <w:tl2br w:val="nil"/>
                    <w:tr2bl w:val="nil"/>
                  </w:tcBorders>
                  <w:noWrap w:val="0"/>
                  <w:tcMar>
                    <w:left w:w="0" w:type="dxa"/>
                    <w:right w:w="0" w:type="dxa"/>
                  </w:tcMar>
                  <w:vAlign w:val="center"/>
                </w:tcPr>
                <w:p w14:paraId="3564A4B9">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固体废物</w:t>
                  </w:r>
                </w:p>
              </w:tc>
              <w:tc>
                <w:tcPr>
                  <w:tcW w:w="1465" w:type="pct"/>
                  <w:gridSpan w:val="2"/>
                  <w:tcBorders>
                    <w:tl2br w:val="nil"/>
                    <w:tr2bl w:val="nil"/>
                  </w:tcBorders>
                  <w:noWrap w:val="0"/>
                  <w:vAlign w:val="center"/>
                </w:tcPr>
                <w:p w14:paraId="52FE1532">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sz w:val="21"/>
                      <w:szCs w:val="21"/>
                      <w:highlight w:val="none"/>
                      <w:lang w:val="en-US" w:eastAsia="zh-CN"/>
                    </w:rPr>
                    <w:t>生产</w:t>
                  </w:r>
                  <w:r>
                    <w:rPr>
                      <w:rFonts w:hint="default" w:ascii="Times New Roman" w:hAnsi="Times New Roman" w:cs="Times New Roman"/>
                      <w:color w:val="auto"/>
                      <w:sz w:val="21"/>
                      <w:szCs w:val="21"/>
                      <w:highlight w:val="none"/>
                    </w:rPr>
                    <w:t>车间</w:t>
                  </w:r>
                </w:p>
              </w:tc>
              <w:tc>
                <w:tcPr>
                  <w:tcW w:w="713" w:type="pct"/>
                  <w:tcBorders>
                    <w:tl2br w:val="nil"/>
                    <w:tr2bl w:val="nil"/>
                  </w:tcBorders>
                  <w:noWrap w:val="0"/>
                  <w:vAlign w:val="center"/>
                </w:tcPr>
                <w:p w14:paraId="73D3F06A">
                  <w:pPr>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不合格品及边角料</w:t>
                  </w:r>
                </w:p>
              </w:tc>
              <w:tc>
                <w:tcPr>
                  <w:tcW w:w="1034" w:type="pct"/>
                  <w:tcBorders>
                    <w:tl2br w:val="nil"/>
                    <w:tr2bl w:val="nil"/>
                  </w:tcBorders>
                  <w:noWrap w:val="0"/>
                  <w:vAlign w:val="center"/>
                </w:tcPr>
                <w:p w14:paraId="4705811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0"/>
                      <w:szCs w:val="21"/>
                      <w:highlight w:val="none"/>
                    </w:rPr>
                    <w:t>收集后</w:t>
                  </w:r>
                  <w:r>
                    <w:rPr>
                      <w:rFonts w:hint="default" w:ascii="Times New Roman" w:hAnsi="Times New Roman" w:cs="Times New Roman"/>
                      <w:color w:val="auto"/>
                      <w:kern w:val="0"/>
                      <w:szCs w:val="21"/>
                      <w:highlight w:val="none"/>
                      <w:lang w:val="en-US" w:eastAsia="zh-CN"/>
                    </w:rPr>
                    <w:t>回收利用</w:t>
                  </w:r>
                </w:p>
              </w:tc>
              <w:tc>
                <w:tcPr>
                  <w:tcW w:w="1386" w:type="pct"/>
                  <w:tcBorders>
                    <w:tl2br w:val="nil"/>
                    <w:tr2bl w:val="nil"/>
                  </w:tcBorders>
                  <w:noWrap w:val="0"/>
                  <w:tcMar>
                    <w:left w:w="0" w:type="dxa"/>
                    <w:right w:w="0" w:type="dxa"/>
                  </w:tcMar>
                  <w:vAlign w:val="center"/>
                </w:tcPr>
                <w:p w14:paraId="411A6E2D">
                  <w:pPr>
                    <w:adjustRightInd w:val="0"/>
                    <w:snapToGrid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一般固废</w:t>
                  </w:r>
                </w:p>
              </w:tc>
            </w:tr>
            <w:tr w14:paraId="18A81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99" w:type="pct"/>
                  <w:vMerge w:val="continue"/>
                  <w:tcBorders>
                    <w:tl2br w:val="nil"/>
                    <w:tr2bl w:val="nil"/>
                  </w:tcBorders>
                  <w:noWrap w:val="0"/>
                  <w:tcMar>
                    <w:left w:w="0" w:type="dxa"/>
                    <w:right w:w="0" w:type="dxa"/>
                  </w:tcMar>
                  <w:vAlign w:val="center"/>
                </w:tcPr>
                <w:p w14:paraId="4D1D7249">
                  <w:pPr>
                    <w:adjustRightInd w:val="0"/>
                    <w:snapToGrid w:val="0"/>
                    <w:spacing w:line="240" w:lineRule="auto"/>
                    <w:jc w:val="center"/>
                    <w:rPr>
                      <w:rFonts w:hint="default" w:ascii="Times New Roman" w:hAnsi="Times New Roman" w:cs="Times New Roman"/>
                      <w:color w:val="auto"/>
                      <w:sz w:val="21"/>
                      <w:szCs w:val="21"/>
                      <w:highlight w:val="none"/>
                    </w:rPr>
                  </w:pPr>
                </w:p>
              </w:tc>
              <w:tc>
                <w:tcPr>
                  <w:tcW w:w="1465" w:type="pct"/>
                  <w:gridSpan w:val="2"/>
                  <w:vMerge w:val="restart"/>
                  <w:tcBorders>
                    <w:tl2br w:val="nil"/>
                    <w:tr2bl w:val="nil"/>
                  </w:tcBorders>
                  <w:noWrap w:val="0"/>
                  <w:vAlign w:val="center"/>
                </w:tcPr>
                <w:p w14:paraId="0AEB8889">
                  <w:pPr>
                    <w:pStyle w:val="37"/>
                    <w:spacing w:before="24" w:after="24" w:line="240" w:lineRule="auto"/>
                    <w:ind w:left="420" w:leftChars="0" w:hanging="420" w:hangingChars="200"/>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 w:val="21"/>
                      <w:szCs w:val="21"/>
                      <w:highlight w:val="none"/>
                      <w:lang w:val="en-US" w:eastAsia="zh-CN"/>
                    </w:rPr>
                    <w:t>危险废物</w:t>
                  </w:r>
                </w:p>
              </w:tc>
              <w:tc>
                <w:tcPr>
                  <w:tcW w:w="713" w:type="pct"/>
                  <w:tcBorders>
                    <w:tl2br w:val="nil"/>
                    <w:tr2bl w:val="nil"/>
                  </w:tcBorders>
                  <w:noWrap w:val="0"/>
                  <w:vAlign w:val="center"/>
                </w:tcPr>
                <w:p w14:paraId="05F139D8">
                  <w:pPr>
                    <w:pStyle w:val="37"/>
                    <w:spacing w:before="24" w:after="24" w:line="240" w:lineRule="auto"/>
                    <w:ind w:left="420" w:leftChars="0" w:hanging="420" w:hangingChars="200"/>
                    <w:rPr>
                      <w:rFonts w:hint="default" w:ascii="Times New Roman" w:hAnsi="Times New Roman" w:cs="Times New Roman"/>
                      <w:bCs/>
                      <w:color w:val="auto"/>
                      <w:kern w:val="0"/>
                      <w:sz w:val="21"/>
                      <w:szCs w:val="21"/>
                      <w:highlight w:val="none"/>
                      <w:lang w:val="en-US" w:eastAsia="zh-CN" w:bidi="ar-SA"/>
                    </w:rPr>
                  </w:pPr>
                  <w:r>
                    <w:rPr>
                      <w:rFonts w:hint="default" w:ascii="Times New Roman" w:hAnsi="Times New Roman" w:cs="Times New Roman"/>
                      <w:color w:val="auto"/>
                      <w:szCs w:val="21"/>
                      <w:highlight w:val="none"/>
                      <w:lang w:eastAsia="zh-CN"/>
                    </w:rPr>
                    <w:t>废机油</w:t>
                  </w:r>
                </w:p>
              </w:tc>
              <w:tc>
                <w:tcPr>
                  <w:tcW w:w="1034" w:type="pct"/>
                  <w:vMerge w:val="restart"/>
                  <w:tcBorders>
                    <w:tl2br w:val="nil"/>
                    <w:tr2bl w:val="nil"/>
                  </w:tcBorders>
                  <w:noWrap w:val="0"/>
                  <w:vAlign w:val="center"/>
                </w:tcPr>
                <w:p w14:paraId="6ADB21AE">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有资质的单位回收处理</w:t>
                  </w:r>
                </w:p>
              </w:tc>
              <w:tc>
                <w:tcPr>
                  <w:tcW w:w="1386" w:type="pct"/>
                  <w:vMerge w:val="restart"/>
                  <w:tcBorders>
                    <w:tl2br w:val="nil"/>
                    <w:tr2bl w:val="nil"/>
                  </w:tcBorders>
                  <w:noWrap w:val="0"/>
                  <w:tcMar>
                    <w:left w:w="0" w:type="dxa"/>
                    <w:right w:w="0" w:type="dxa"/>
                  </w:tcMar>
                  <w:vAlign w:val="center"/>
                </w:tcPr>
                <w:p w14:paraId="179E6FB4">
                  <w:pPr>
                    <w:pStyle w:val="31"/>
                    <w:keepNext w:val="0"/>
                    <w:keepLines w:val="0"/>
                    <w:pageBreakBefore w:val="0"/>
                    <w:widowControl w:val="0"/>
                    <w:numPr>
                      <w:ilvl w:val="0"/>
                      <w:numId w:val="0"/>
                    </w:numPr>
                    <w:kinsoku/>
                    <w:wordWrap/>
                    <w:overflowPunct/>
                    <w:topLinePunct w:val="0"/>
                    <w:autoSpaceDE w:val="0"/>
                    <w:autoSpaceDN w:val="0"/>
                    <w:bidi w:val="0"/>
                    <w:adjustRightInd w:val="0"/>
                    <w:snapToGrid/>
                    <w:ind w:left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危险废物</w:t>
                  </w:r>
                </w:p>
              </w:tc>
            </w:tr>
            <w:tr w14:paraId="7F1577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Merge w:val="continue"/>
                  <w:tcBorders>
                    <w:tl2br w:val="nil"/>
                    <w:tr2bl w:val="nil"/>
                  </w:tcBorders>
                  <w:noWrap w:val="0"/>
                  <w:tcMar>
                    <w:left w:w="0" w:type="dxa"/>
                    <w:right w:w="0" w:type="dxa"/>
                  </w:tcMar>
                  <w:vAlign w:val="center"/>
                </w:tcPr>
                <w:p w14:paraId="3ABFCB69">
                  <w:pPr>
                    <w:adjustRightInd w:val="0"/>
                    <w:snapToGrid w:val="0"/>
                    <w:spacing w:line="240" w:lineRule="auto"/>
                    <w:jc w:val="center"/>
                    <w:rPr>
                      <w:rFonts w:hint="default" w:ascii="Times New Roman" w:hAnsi="Times New Roman" w:cs="Times New Roman"/>
                      <w:color w:val="auto"/>
                      <w:sz w:val="21"/>
                      <w:szCs w:val="21"/>
                      <w:highlight w:val="none"/>
                    </w:rPr>
                  </w:pPr>
                </w:p>
              </w:tc>
              <w:tc>
                <w:tcPr>
                  <w:tcW w:w="1465" w:type="pct"/>
                  <w:gridSpan w:val="2"/>
                  <w:vMerge w:val="continue"/>
                  <w:tcBorders>
                    <w:tl2br w:val="nil"/>
                    <w:tr2bl w:val="nil"/>
                  </w:tcBorders>
                  <w:noWrap w:val="0"/>
                  <w:vAlign w:val="center"/>
                </w:tcPr>
                <w:p w14:paraId="5FA92E0A">
                  <w:pPr>
                    <w:pStyle w:val="37"/>
                    <w:spacing w:before="24" w:after="24" w:line="240" w:lineRule="auto"/>
                    <w:ind w:left="420" w:leftChars="0" w:hanging="420" w:hangingChars="200"/>
                    <w:rPr>
                      <w:rFonts w:hint="default" w:ascii="Times New Roman" w:hAnsi="Times New Roman" w:cs="Times New Roman"/>
                      <w:color w:val="auto"/>
                      <w:highlight w:val="none"/>
                      <w:lang w:val="en-US" w:eastAsia="zh-CN"/>
                    </w:rPr>
                  </w:pPr>
                </w:p>
              </w:tc>
              <w:tc>
                <w:tcPr>
                  <w:tcW w:w="713" w:type="pct"/>
                  <w:tcBorders>
                    <w:tl2br w:val="nil"/>
                    <w:tr2bl w:val="nil"/>
                  </w:tcBorders>
                  <w:noWrap w:val="0"/>
                  <w:vAlign w:val="center"/>
                </w:tcPr>
                <w:p w14:paraId="3FBF93FE">
                  <w:pPr>
                    <w:pStyle w:val="37"/>
                    <w:spacing w:before="24" w:after="24" w:line="240" w:lineRule="auto"/>
                    <w:ind w:left="420" w:leftChars="0" w:hanging="420" w:hangingChars="200"/>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highlight w:val="none"/>
                      <w:lang w:val="en-US" w:eastAsia="zh-CN"/>
                    </w:rPr>
                    <w:t>废活性炭</w:t>
                  </w:r>
                </w:p>
              </w:tc>
              <w:tc>
                <w:tcPr>
                  <w:tcW w:w="1034" w:type="pct"/>
                  <w:vMerge w:val="continue"/>
                  <w:tcBorders>
                    <w:tl2br w:val="nil"/>
                    <w:tr2bl w:val="nil"/>
                  </w:tcBorders>
                  <w:noWrap w:val="0"/>
                  <w:vAlign w:val="center"/>
                </w:tcPr>
                <w:p w14:paraId="5C821832">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p>
              </w:tc>
              <w:tc>
                <w:tcPr>
                  <w:tcW w:w="1386" w:type="pct"/>
                  <w:vMerge w:val="continue"/>
                  <w:tcBorders>
                    <w:tl2br w:val="nil"/>
                    <w:tr2bl w:val="nil"/>
                  </w:tcBorders>
                  <w:noWrap w:val="0"/>
                  <w:tcMar>
                    <w:left w:w="0" w:type="dxa"/>
                    <w:right w:w="0" w:type="dxa"/>
                  </w:tcMar>
                  <w:vAlign w:val="center"/>
                </w:tcPr>
                <w:p w14:paraId="28557991">
                  <w:pPr>
                    <w:pStyle w:val="31"/>
                    <w:numPr>
                      <w:ilvl w:val="0"/>
                      <w:numId w:val="0"/>
                    </w:numPr>
                    <w:ind w:leftChars="200"/>
                    <w:rPr>
                      <w:rFonts w:hint="default" w:ascii="Times New Roman" w:hAnsi="Times New Roman" w:cs="Times New Roman"/>
                      <w:color w:val="auto"/>
                      <w:sz w:val="21"/>
                      <w:szCs w:val="21"/>
                      <w:highlight w:val="none"/>
                    </w:rPr>
                  </w:pPr>
                </w:p>
              </w:tc>
            </w:tr>
            <w:tr w14:paraId="7552E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l2br w:val="nil"/>
                    <w:tr2bl w:val="nil"/>
                  </w:tcBorders>
                  <w:noWrap w:val="0"/>
                  <w:tcMar>
                    <w:left w:w="0" w:type="dxa"/>
                    <w:right w:w="0" w:type="dxa"/>
                  </w:tcMar>
                  <w:vAlign w:val="center"/>
                </w:tcPr>
                <w:p w14:paraId="1B5DF66B">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465" w:type="pct"/>
                  <w:gridSpan w:val="2"/>
                  <w:tcBorders>
                    <w:tl2br w:val="nil"/>
                    <w:tr2bl w:val="nil"/>
                  </w:tcBorders>
                  <w:noWrap w:val="0"/>
                  <w:vAlign w:val="center"/>
                </w:tcPr>
                <w:p w14:paraId="62BFE249">
                  <w:pPr>
                    <w:tabs>
                      <w:tab w:val="left" w:pos="567"/>
                    </w:tabs>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配套设施</w:t>
                  </w:r>
                </w:p>
              </w:tc>
              <w:tc>
                <w:tcPr>
                  <w:tcW w:w="713" w:type="pct"/>
                  <w:tcBorders>
                    <w:tl2br w:val="nil"/>
                    <w:tr2bl w:val="nil"/>
                  </w:tcBorders>
                  <w:noWrap w:val="0"/>
                  <w:vAlign w:val="center"/>
                </w:tcPr>
                <w:p w14:paraId="1C75CDF5">
                  <w:pPr>
                    <w:tabs>
                      <w:tab w:val="left" w:pos="567"/>
                    </w:tabs>
                    <w:adjustRightInd w:val="0"/>
                    <w:snapToGrid w:val="0"/>
                    <w:spacing w:line="240" w:lineRule="auto"/>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生产设备</w:t>
                  </w:r>
                </w:p>
              </w:tc>
              <w:tc>
                <w:tcPr>
                  <w:tcW w:w="1034" w:type="pct"/>
                  <w:tcBorders>
                    <w:tl2br w:val="nil"/>
                    <w:tr2bl w:val="nil"/>
                  </w:tcBorders>
                  <w:noWrap w:val="0"/>
                  <w:vAlign w:val="center"/>
                </w:tcPr>
                <w:p w14:paraId="1EDD4A29">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减振、定期维修等</w:t>
                  </w:r>
                </w:p>
              </w:tc>
              <w:tc>
                <w:tcPr>
                  <w:tcW w:w="1386" w:type="pct"/>
                  <w:tcBorders>
                    <w:tl2br w:val="nil"/>
                    <w:tr2bl w:val="nil"/>
                  </w:tcBorders>
                  <w:noWrap w:val="0"/>
                  <w:tcMar>
                    <w:left w:w="0" w:type="dxa"/>
                    <w:right w:w="0" w:type="dxa"/>
                  </w:tcMar>
                  <w:vAlign w:val="center"/>
                </w:tcPr>
                <w:p w14:paraId="3ABF2CF3">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《工业企业厂界环境噪声排放标准》（GB12348-2008）中</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类标准</w:t>
                  </w:r>
                </w:p>
              </w:tc>
            </w:tr>
          </w:tbl>
          <w:p w14:paraId="72F2BB03">
            <w:pPr>
              <w:spacing w:before="120" w:beforeLines="50" w:line="240" w:lineRule="auto"/>
              <w:jc w:val="both"/>
              <w:rPr>
                <w:rFonts w:hint="default" w:ascii="Times New Roman" w:hAnsi="Times New Roman" w:eastAsia="黑体" w:cs="Times New Roman"/>
                <w:b w:val="0"/>
                <w:bCs/>
                <w:color w:val="auto"/>
                <w:sz w:val="24"/>
                <w:szCs w:val="32"/>
                <w:highlight w:val="none"/>
                <w:lang w:val="en-US" w:eastAsia="zh-CN"/>
              </w:rPr>
            </w:pPr>
            <w:r>
              <w:rPr>
                <w:rFonts w:hint="default" w:ascii="Times New Roman" w:hAnsi="Times New Roman" w:cs="Times New Roman"/>
                <w:b/>
                <w:bCs/>
                <w:i w:val="0"/>
                <w:snapToGrid w:val="0"/>
                <w:color w:val="auto"/>
                <w:kern w:val="2"/>
                <w:sz w:val="24"/>
                <w:szCs w:val="24"/>
                <w:highlight w:val="none"/>
                <w:lang w:val="en-US" w:eastAsia="zh-CN" w:bidi="ar-SA"/>
              </w:rPr>
              <w:t>10.</w:t>
            </w:r>
            <w:r>
              <w:rPr>
                <w:rFonts w:hint="default" w:ascii="Times New Roman" w:hAnsi="Times New Roman" w:eastAsia="宋体" w:cs="Times New Roman"/>
                <w:b/>
                <w:bCs/>
                <w:i w:val="0"/>
                <w:snapToGrid w:val="0"/>
                <w:color w:val="auto"/>
                <w:kern w:val="2"/>
                <w:sz w:val="24"/>
                <w:szCs w:val="24"/>
                <w:highlight w:val="none"/>
                <w:lang w:val="en-US" w:eastAsia="zh-CN" w:bidi="ar-SA"/>
              </w:rPr>
              <w:t>三本账</w:t>
            </w:r>
          </w:p>
          <w:p w14:paraId="06DCE66F">
            <w:pPr>
              <w:keepNext w:val="0"/>
              <w:keepLines w:val="0"/>
              <w:pageBreakBefore w:val="0"/>
              <w:widowControl/>
              <w:kinsoku w:val="0"/>
              <w:wordWrap/>
              <w:overflowPunct/>
              <w:topLinePunct w:val="0"/>
              <w:autoSpaceDE w:val="0"/>
              <w:autoSpaceDN w:val="0"/>
              <w:bidi w:val="0"/>
              <w:snapToGrid w:val="0"/>
              <w:spacing w:line="360" w:lineRule="auto"/>
              <w:ind w:left="0" w:right="0" w:firstLine="476" w:firstLineChars="200"/>
              <w:textAlignment w:val="baseline"/>
              <w:rPr>
                <w:rFonts w:hint="default"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lang w:val="en-US" w:eastAsia="zh-CN"/>
              </w:rPr>
              <w:t>根据现有项目竣工环境保护验收及排污许可证对现有项目及本次扩建项目进行“三本账”核算，结果如下：</w:t>
            </w:r>
          </w:p>
          <w:p w14:paraId="517E4F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bCs/>
                <w:color w:val="auto"/>
                <w:sz w:val="24"/>
                <w:szCs w:val="32"/>
                <w:highlight w:val="none"/>
                <w:lang w:val="en-US" w:eastAsia="zh-CN"/>
              </w:rPr>
            </w:pPr>
            <w:r>
              <w:rPr>
                <w:rFonts w:hint="default" w:ascii="Times New Roman" w:hAnsi="Times New Roman" w:eastAsia="黑体" w:cs="Times New Roman"/>
                <w:b w:val="0"/>
                <w:bCs/>
                <w:color w:val="auto"/>
                <w:sz w:val="24"/>
                <w:szCs w:val="32"/>
                <w:highlight w:val="none"/>
                <w:lang w:val="en-US" w:eastAsia="zh-CN"/>
              </w:rPr>
              <w:t>表4-1</w:t>
            </w:r>
            <w:r>
              <w:rPr>
                <w:rFonts w:hint="eastAsia" w:ascii="Times New Roman" w:hAnsi="Times New Roman" w:eastAsia="黑体" w:cs="Times New Roman"/>
                <w:b w:val="0"/>
                <w:bCs/>
                <w:color w:val="auto"/>
                <w:sz w:val="24"/>
                <w:szCs w:val="32"/>
                <w:highlight w:val="none"/>
                <w:lang w:val="en-US" w:eastAsia="zh-CN"/>
              </w:rPr>
              <w:t>8</w:t>
            </w:r>
            <w:r>
              <w:rPr>
                <w:rFonts w:hint="default" w:ascii="Times New Roman" w:hAnsi="Times New Roman" w:eastAsia="黑体" w:cs="Times New Roman"/>
                <w:b w:val="0"/>
                <w:bCs/>
                <w:color w:val="auto"/>
                <w:sz w:val="24"/>
                <w:szCs w:val="32"/>
                <w:highlight w:val="none"/>
                <w:lang w:val="en-US" w:eastAsia="zh-CN"/>
              </w:rPr>
              <w:t xml:space="preserve">   三本账一览表</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295"/>
              <w:gridCol w:w="1232"/>
              <w:gridCol w:w="1264"/>
              <w:gridCol w:w="1024"/>
              <w:gridCol w:w="1007"/>
              <w:gridCol w:w="801"/>
            </w:tblGrid>
            <w:tr w14:paraId="6D704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tcBorders>
                    <w:tl2br w:val="nil"/>
                    <w:tr2bl w:val="nil"/>
                  </w:tcBorders>
                  <w:noWrap w:val="0"/>
                  <w:vAlign w:val="center"/>
                </w:tcPr>
                <w:p w14:paraId="6E7BD896">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zh-CN"/>
                    </w:rPr>
                  </w:pPr>
                  <w:r>
                    <w:rPr>
                      <w:rFonts w:hint="default" w:ascii="Times New Roman" w:hAnsi="Times New Roman" w:eastAsia="宋体" w:cs="Times New Roman"/>
                      <w:b/>
                      <w:bCs w:val="0"/>
                      <w:color w:val="auto"/>
                      <w:sz w:val="21"/>
                      <w:szCs w:val="21"/>
                      <w:highlight w:val="none"/>
                      <w:lang w:val="zh-CN"/>
                    </w:rPr>
                    <w:t>类别</w:t>
                  </w:r>
                </w:p>
              </w:tc>
              <w:tc>
                <w:tcPr>
                  <w:tcW w:w="868" w:type="pct"/>
                  <w:tcBorders>
                    <w:tl2br w:val="nil"/>
                    <w:tr2bl w:val="nil"/>
                  </w:tcBorders>
                  <w:noWrap w:val="0"/>
                  <w:vAlign w:val="center"/>
                </w:tcPr>
                <w:p w14:paraId="15ADEB32">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zh-CN"/>
                    </w:rPr>
                  </w:pPr>
                  <w:r>
                    <w:rPr>
                      <w:rFonts w:hint="default" w:ascii="Times New Roman" w:hAnsi="Times New Roman" w:eastAsia="宋体" w:cs="Times New Roman"/>
                      <w:b/>
                      <w:bCs w:val="0"/>
                      <w:color w:val="auto"/>
                      <w:sz w:val="21"/>
                      <w:szCs w:val="21"/>
                      <w:highlight w:val="none"/>
                      <w:lang w:val="zh-CN"/>
                    </w:rPr>
                    <w:t>污染物</w:t>
                  </w:r>
                </w:p>
              </w:tc>
              <w:tc>
                <w:tcPr>
                  <w:tcW w:w="826" w:type="pct"/>
                  <w:tcBorders>
                    <w:tl2br w:val="nil"/>
                    <w:tr2bl w:val="nil"/>
                  </w:tcBorders>
                  <w:noWrap w:val="0"/>
                  <w:vAlign w:val="center"/>
                </w:tcPr>
                <w:p w14:paraId="4D906E3C">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现有工程排放量</w:t>
                  </w:r>
                </w:p>
              </w:tc>
              <w:tc>
                <w:tcPr>
                  <w:tcW w:w="847" w:type="pct"/>
                  <w:tcBorders>
                    <w:tl2br w:val="nil"/>
                    <w:tr2bl w:val="nil"/>
                  </w:tcBorders>
                  <w:noWrap w:val="0"/>
                  <w:vAlign w:val="center"/>
                </w:tcPr>
                <w:p w14:paraId="6270A154">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zh-CN"/>
                    </w:rPr>
                  </w:pPr>
                  <w:r>
                    <w:rPr>
                      <w:rFonts w:hint="default" w:ascii="Times New Roman" w:hAnsi="Times New Roman" w:eastAsia="宋体" w:cs="Times New Roman"/>
                      <w:b/>
                      <w:bCs w:val="0"/>
                      <w:color w:val="auto"/>
                      <w:sz w:val="21"/>
                      <w:szCs w:val="21"/>
                      <w:highlight w:val="none"/>
                      <w:lang w:val="en-US" w:eastAsia="zh-CN"/>
                    </w:rPr>
                    <w:t>拟建工程排放量</w:t>
                  </w:r>
                </w:p>
              </w:tc>
              <w:tc>
                <w:tcPr>
                  <w:tcW w:w="686" w:type="pct"/>
                  <w:tcBorders>
                    <w:tl2br w:val="nil"/>
                    <w:tr2bl w:val="nil"/>
                  </w:tcBorders>
                  <w:noWrap w:val="0"/>
                  <w:vAlign w:val="center"/>
                </w:tcPr>
                <w:p w14:paraId="333DFD9A">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zh-CN"/>
                    </w:rPr>
                  </w:pPr>
                  <w:r>
                    <w:rPr>
                      <w:rFonts w:hint="default" w:ascii="Times New Roman" w:hAnsi="Times New Roman" w:eastAsia="宋体" w:cs="Times New Roman"/>
                      <w:b/>
                      <w:bCs/>
                      <w:color w:val="auto"/>
                      <w:sz w:val="21"/>
                      <w:szCs w:val="21"/>
                      <w:highlight w:val="none"/>
                    </w:rPr>
                    <w:t>全厂排放量</w:t>
                  </w:r>
                </w:p>
              </w:tc>
              <w:tc>
                <w:tcPr>
                  <w:tcW w:w="675" w:type="pct"/>
                  <w:tcBorders>
                    <w:tl2br w:val="nil"/>
                    <w:tr2bl w:val="nil"/>
                  </w:tcBorders>
                  <w:noWrap w:val="0"/>
                  <w:vAlign w:val="center"/>
                </w:tcPr>
                <w:p w14:paraId="5772B42F">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以新带老消减量</w:t>
                  </w:r>
                </w:p>
              </w:tc>
              <w:tc>
                <w:tcPr>
                  <w:tcW w:w="537" w:type="pct"/>
                  <w:tcBorders>
                    <w:tl2br w:val="nil"/>
                    <w:tr2bl w:val="nil"/>
                  </w:tcBorders>
                  <w:noWrap w:val="0"/>
                  <w:vAlign w:val="center"/>
                </w:tcPr>
                <w:p w14:paraId="59A714E4">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b/>
                      <w:bCs w:val="0"/>
                      <w:color w:val="auto"/>
                      <w:sz w:val="21"/>
                      <w:szCs w:val="21"/>
                      <w:highlight w:val="none"/>
                      <w:lang w:val="zh-CN"/>
                    </w:rPr>
                  </w:pPr>
                  <w:r>
                    <w:rPr>
                      <w:rFonts w:hint="default" w:ascii="Times New Roman" w:hAnsi="Times New Roman" w:eastAsia="宋体" w:cs="Times New Roman"/>
                      <w:b/>
                      <w:bCs w:val="0"/>
                      <w:color w:val="auto"/>
                      <w:sz w:val="21"/>
                      <w:szCs w:val="21"/>
                      <w:highlight w:val="none"/>
                      <w:lang w:val="en-US" w:eastAsia="zh-CN"/>
                    </w:rPr>
                    <w:t>增减</w:t>
                  </w:r>
                  <w:r>
                    <w:rPr>
                      <w:rFonts w:hint="default" w:ascii="Times New Roman" w:hAnsi="Times New Roman" w:eastAsia="宋体" w:cs="Times New Roman"/>
                      <w:b/>
                      <w:bCs w:val="0"/>
                      <w:color w:val="auto"/>
                      <w:sz w:val="21"/>
                      <w:szCs w:val="21"/>
                      <w:highlight w:val="none"/>
                      <w:lang w:val="zh-CN"/>
                    </w:rPr>
                    <w:t>量</w:t>
                  </w:r>
                </w:p>
              </w:tc>
            </w:tr>
            <w:tr w14:paraId="3E337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restart"/>
                  <w:tcBorders>
                    <w:tl2br w:val="nil"/>
                    <w:tr2bl w:val="nil"/>
                  </w:tcBorders>
                  <w:noWrap w:val="0"/>
                  <w:vAlign w:val="center"/>
                </w:tcPr>
                <w:p w14:paraId="670E3351">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rPr>
                    <w:t>废水污染物</w:t>
                  </w:r>
                </w:p>
              </w:tc>
              <w:tc>
                <w:tcPr>
                  <w:tcW w:w="868" w:type="pct"/>
                  <w:tcBorders>
                    <w:tl2br w:val="nil"/>
                    <w:tr2bl w:val="nil"/>
                  </w:tcBorders>
                  <w:noWrap w:val="0"/>
                  <w:vAlign w:val="center"/>
                </w:tcPr>
                <w:p w14:paraId="14D82548">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rPr>
                    <w:t>废水量</w:t>
                  </w:r>
                </w:p>
              </w:tc>
              <w:tc>
                <w:tcPr>
                  <w:tcW w:w="826" w:type="pct"/>
                  <w:tcBorders>
                    <w:tl2br w:val="nil"/>
                    <w:tr2bl w:val="nil"/>
                  </w:tcBorders>
                  <w:noWrap w:val="0"/>
                  <w:vAlign w:val="center"/>
                </w:tcPr>
                <w:p w14:paraId="021661D8">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342</w:t>
                  </w:r>
                </w:p>
              </w:tc>
              <w:tc>
                <w:tcPr>
                  <w:tcW w:w="847" w:type="pct"/>
                  <w:tcBorders>
                    <w:tl2br w:val="nil"/>
                    <w:tr2bl w:val="nil"/>
                  </w:tcBorders>
                  <w:noWrap w:val="0"/>
                  <w:vAlign w:val="center"/>
                </w:tcPr>
                <w:p w14:paraId="0C20967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86" w:type="pct"/>
                  <w:tcBorders>
                    <w:tl2br w:val="nil"/>
                    <w:tr2bl w:val="nil"/>
                  </w:tcBorders>
                  <w:noWrap w:val="0"/>
                  <w:vAlign w:val="center"/>
                </w:tcPr>
                <w:p w14:paraId="4D83AB0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342</w:t>
                  </w:r>
                </w:p>
              </w:tc>
              <w:tc>
                <w:tcPr>
                  <w:tcW w:w="675" w:type="pct"/>
                  <w:tcBorders>
                    <w:tl2br w:val="nil"/>
                    <w:tr2bl w:val="nil"/>
                  </w:tcBorders>
                  <w:noWrap w:val="0"/>
                  <w:vAlign w:val="center"/>
                </w:tcPr>
                <w:p w14:paraId="7B06EFDF">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7A8590A5">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r>
            <w:tr w14:paraId="052307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5D445BBA">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12EC8B42">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SS</w:t>
                  </w:r>
                </w:p>
              </w:tc>
              <w:tc>
                <w:tcPr>
                  <w:tcW w:w="826" w:type="pct"/>
                  <w:tcBorders>
                    <w:tl2br w:val="nil"/>
                    <w:tr2bl w:val="nil"/>
                  </w:tcBorders>
                  <w:noWrap w:val="0"/>
                  <w:vAlign w:val="center"/>
                </w:tcPr>
                <w:p w14:paraId="65F100C2">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0.0684</w:t>
                  </w:r>
                </w:p>
              </w:tc>
              <w:tc>
                <w:tcPr>
                  <w:tcW w:w="847" w:type="pct"/>
                  <w:tcBorders>
                    <w:tl2br w:val="nil"/>
                    <w:tr2bl w:val="nil"/>
                  </w:tcBorders>
                  <w:noWrap w:val="0"/>
                  <w:vAlign w:val="center"/>
                </w:tcPr>
                <w:p w14:paraId="62AC2794">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86" w:type="pct"/>
                  <w:tcBorders>
                    <w:tl2br w:val="nil"/>
                    <w:tr2bl w:val="nil"/>
                  </w:tcBorders>
                  <w:noWrap w:val="0"/>
                  <w:vAlign w:val="center"/>
                </w:tcPr>
                <w:p w14:paraId="676E727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0.0684</w:t>
                  </w:r>
                </w:p>
              </w:tc>
              <w:tc>
                <w:tcPr>
                  <w:tcW w:w="675" w:type="pct"/>
                  <w:tcBorders>
                    <w:tl2br w:val="nil"/>
                    <w:tr2bl w:val="nil"/>
                  </w:tcBorders>
                  <w:noWrap w:val="0"/>
                  <w:vAlign w:val="center"/>
                </w:tcPr>
                <w:p w14:paraId="624C481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10393C0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bidi="ar-SA"/>
                    </w:rPr>
                  </w:pPr>
                  <w:r>
                    <w:rPr>
                      <w:rFonts w:hint="default" w:ascii="Times New Roman" w:hAnsi="Times New Roman" w:cs="Times New Roman"/>
                      <w:bCs/>
                      <w:snapToGrid w:val="0"/>
                      <w:color w:val="auto"/>
                      <w:sz w:val="21"/>
                      <w:szCs w:val="21"/>
                      <w:highlight w:val="none"/>
                      <w:lang w:val="en-US" w:eastAsia="zh-CN" w:bidi="ar-SA"/>
                    </w:rPr>
                    <w:t>0</w:t>
                  </w:r>
                </w:p>
              </w:tc>
            </w:tr>
            <w:tr w14:paraId="5C6B52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603C7243">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22FCA4A6">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COD</w:t>
                  </w:r>
                </w:p>
              </w:tc>
              <w:tc>
                <w:tcPr>
                  <w:tcW w:w="826" w:type="pct"/>
                  <w:tcBorders>
                    <w:tl2br w:val="nil"/>
                    <w:tr2bl w:val="nil"/>
                  </w:tcBorders>
                  <w:noWrap w:val="0"/>
                  <w:vAlign w:val="center"/>
                </w:tcPr>
                <w:p w14:paraId="2566C322">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0.1368</w:t>
                  </w:r>
                </w:p>
              </w:tc>
              <w:tc>
                <w:tcPr>
                  <w:tcW w:w="847" w:type="pct"/>
                  <w:tcBorders>
                    <w:tl2br w:val="nil"/>
                    <w:tr2bl w:val="nil"/>
                  </w:tcBorders>
                  <w:noWrap w:val="0"/>
                  <w:vAlign w:val="center"/>
                </w:tcPr>
                <w:p w14:paraId="226B6FF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86" w:type="pct"/>
                  <w:tcBorders>
                    <w:tl2br w:val="nil"/>
                    <w:tr2bl w:val="nil"/>
                  </w:tcBorders>
                  <w:noWrap w:val="0"/>
                  <w:vAlign w:val="center"/>
                </w:tcPr>
                <w:p w14:paraId="15351C0C">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0.1368</w:t>
                  </w:r>
                </w:p>
              </w:tc>
              <w:tc>
                <w:tcPr>
                  <w:tcW w:w="675" w:type="pct"/>
                  <w:tcBorders>
                    <w:tl2br w:val="nil"/>
                    <w:tr2bl w:val="nil"/>
                  </w:tcBorders>
                  <w:noWrap w:val="0"/>
                  <w:vAlign w:val="center"/>
                </w:tcPr>
                <w:p w14:paraId="46127400">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12C708E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bidi="ar-SA"/>
                    </w:rPr>
                  </w:pPr>
                  <w:r>
                    <w:rPr>
                      <w:rFonts w:hint="default" w:ascii="Times New Roman" w:hAnsi="Times New Roman" w:cs="Times New Roman"/>
                      <w:bCs/>
                      <w:snapToGrid w:val="0"/>
                      <w:color w:val="auto"/>
                      <w:sz w:val="21"/>
                      <w:szCs w:val="21"/>
                      <w:highlight w:val="none"/>
                      <w:lang w:val="en-US" w:eastAsia="zh-CN" w:bidi="ar-SA"/>
                    </w:rPr>
                    <w:t>0</w:t>
                  </w:r>
                </w:p>
              </w:tc>
            </w:tr>
            <w:tr w14:paraId="4F09B7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59B47A51">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04F348C5">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BOD</w:t>
                  </w:r>
                </w:p>
              </w:tc>
              <w:tc>
                <w:tcPr>
                  <w:tcW w:w="826" w:type="pct"/>
                  <w:tcBorders>
                    <w:tl2br w:val="nil"/>
                    <w:tr2bl w:val="nil"/>
                  </w:tcBorders>
                  <w:noWrap w:val="0"/>
                  <w:vAlign w:val="center"/>
                </w:tcPr>
                <w:p w14:paraId="17486FE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0.0855</w:t>
                  </w:r>
                </w:p>
              </w:tc>
              <w:tc>
                <w:tcPr>
                  <w:tcW w:w="847" w:type="pct"/>
                  <w:tcBorders>
                    <w:tl2br w:val="nil"/>
                    <w:tr2bl w:val="nil"/>
                  </w:tcBorders>
                  <w:noWrap w:val="0"/>
                  <w:vAlign w:val="center"/>
                </w:tcPr>
                <w:p w14:paraId="345D74A8">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86" w:type="pct"/>
                  <w:tcBorders>
                    <w:tl2br w:val="nil"/>
                    <w:tr2bl w:val="nil"/>
                  </w:tcBorders>
                  <w:noWrap w:val="0"/>
                  <w:vAlign w:val="center"/>
                </w:tcPr>
                <w:p w14:paraId="5AF0BB26">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0.0855</w:t>
                  </w:r>
                </w:p>
              </w:tc>
              <w:tc>
                <w:tcPr>
                  <w:tcW w:w="675" w:type="pct"/>
                  <w:tcBorders>
                    <w:tl2br w:val="nil"/>
                    <w:tr2bl w:val="nil"/>
                  </w:tcBorders>
                  <w:noWrap w:val="0"/>
                  <w:vAlign w:val="center"/>
                </w:tcPr>
                <w:p w14:paraId="72A3A528">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0BEC5D9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bidi="ar-SA"/>
                    </w:rPr>
                  </w:pPr>
                  <w:r>
                    <w:rPr>
                      <w:rFonts w:hint="default" w:ascii="Times New Roman" w:hAnsi="Times New Roman" w:cs="Times New Roman"/>
                      <w:bCs/>
                      <w:snapToGrid w:val="0"/>
                      <w:color w:val="auto"/>
                      <w:sz w:val="21"/>
                      <w:szCs w:val="21"/>
                      <w:highlight w:val="none"/>
                      <w:lang w:val="en-US" w:eastAsia="zh-CN" w:bidi="ar-SA"/>
                    </w:rPr>
                    <w:t>0</w:t>
                  </w:r>
                </w:p>
              </w:tc>
            </w:tr>
            <w:tr w14:paraId="71C9D4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72CC3A79">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7ADD4747">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rPr>
                    <w:t>氨氮</w:t>
                  </w:r>
                </w:p>
              </w:tc>
              <w:tc>
                <w:tcPr>
                  <w:tcW w:w="826" w:type="pct"/>
                  <w:tcBorders>
                    <w:tl2br w:val="nil"/>
                    <w:tr2bl w:val="nil"/>
                  </w:tcBorders>
                  <w:noWrap w:val="0"/>
                  <w:vAlign w:val="center"/>
                </w:tcPr>
                <w:p w14:paraId="6C0288B5">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0.01026</w:t>
                  </w:r>
                </w:p>
              </w:tc>
              <w:tc>
                <w:tcPr>
                  <w:tcW w:w="847" w:type="pct"/>
                  <w:tcBorders>
                    <w:tl2br w:val="nil"/>
                    <w:tr2bl w:val="nil"/>
                  </w:tcBorders>
                  <w:noWrap w:val="0"/>
                  <w:vAlign w:val="center"/>
                </w:tcPr>
                <w:p w14:paraId="15D6065A">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686" w:type="pct"/>
                  <w:tcBorders>
                    <w:tl2br w:val="nil"/>
                    <w:tr2bl w:val="nil"/>
                  </w:tcBorders>
                  <w:noWrap w:val="0"/>
                  <w:vAlign w:val="center"/>
                </w:tcPr>
                <w:p w14:paraId="699C835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0.01026</w:t>
                  </w:r>
                </w:p>
              </w:tc>
              <w:tc>
                <w:tcPr>
                  <w:tcW w:w="675" w:type="pct"/>
                  <w:tcBorders>
                    <w:tl2br w:val="nil"/>
                    <w:tr2bl w:val="nil"/>
                  </w:tcBorders>
                  <w:noWrap w:val="0"/>
                  <w:vAlign w:val="center"/>
                </w:tcPr>
                <w:p w14:paraId="016470E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014DEC0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bidi="ar-SA"/>
                    </w:rPr>
                  </w:pPr>
                  <w:r>
                    <w:rPr>
                      <w:rFonts w:hint="default" w:ascii="Times New Roman" w:hAnsi="Times New Roman" w:cs="Times New Roman"/>
                      <w:bCs/>
                      <w:snapToGrid w:val="0"/>
                      <w:color w:val="auto"/>
                      <w:sz w:val="21"/>
                      <w:szCs w:val="21"/>
                      <w:highlight w:val="none"/>
                      <w:lang w:val="en-US" w:eastAsia="zh-CN" w:bidi="ar-SA"/>
                    </w:rPr>
                    <w:t>0</w:t>
                  </w:r>
                </w:p>
              </w:tc>
            </w:tr>
            <w:tr w14:paraId="50B2B1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tcBorders>
                    <w:tl2br w:val="nil"/>
                    <w:tr2bl w:val="nil"/>
                  </w:tcBorders>
                  <w:noWrap w:val="0"/>
                  <w:vAlign w:val="center"/>
                </w:tcPr>
                <w:p w14:paraId="3CA30358">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rPr>
                    <w:t>废气污染物</w:t>
                  </w:r>
                </w:p>
              </w:tc>
              <w:tc>
                <w:tcPr>
                  <w:tcW w:w="868" w:type="pct"/>
                  <w:tcBorders>
                    <w:tl2br w:val="nil"/>
                    <w:tr2bl w:val="nil"/>
                  </w:tcBorders>
                  <w:noWrap w:val="0"/>
                  <w:vAlign w:val="center"/>
                </w:tcPr>
                <w:p w14:paraId="25ABF8D0">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826" w:type="pct"/>
                  <w:tcBorders>
                    <w:tl2br w:val="nil"/>
                    <w:tr2bl w:val="nil"/>
                  </w:tcBorders>
                  <w:noWrap w:val="0"/>
                  <w:vAlign w:val="center"/>
                </w:tcPr>
                <w:p w14:paraId="7CDAE208">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1.251</w:t>
                  </w:r>
                </w:p>
              </w:tc>
              <w:tc>
                <w:tcPr>
                  <w:tcW w:w="847" w:type="pct"/>
                  <w:tcBorders>
                    <w:tl2br w:val="nil"/>
                    <w:tr2bl w:val="nil"/>
                  </w:tcBorders>
                  <w:noWrap w:val="0"/>
                  <w:vAlign w:val="center"/>
                </w:tcPr>
                <w:p w14:paraId="0C22140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2.025</w:t>
                  </w:r>
                </w:p>
              </w:tc>
              <w:tc>
                <w:tcPr>
                  <w:tcW w:w="686" w:type="pct"/>
                  <w:tcBorders>
                    <w:tl2br w:val="nil"/>
                    <w:tr2bl w:val="nil"/>
                  </w:tcBorders>
                  <w:noWrap w:val="0"/>
                  <w:vAlign w:val="center"/>
                </w:tcPr>
                <w:p w14:paraId="7DE77D6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2.025</w:t>
                  </w:r>
                </w:p>
              </w:tc>
              <w:tc>
                <w:tcPr>
                  <w:tcW w:w="675" w:type="pct"/>
                  <w:tcBorders>
                    <w:tl2br w:val="nil"/>
                    <w:tr2bl w:val="nil"/>
                  </w:tcBorders>
                  <w:noWrap w:val="0"/>
                  <w:vAlign w:val="center"/>
                </w:tcPr>
                <w:p w14:paraId="4B2DB266">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1.251</w:t>
                  </w:r>
                </w:p>
              </w:tc>
              <w:tc>
                <w:tcPr>
                  <w:tcW w:w="537" w:type="pct"/>
                  <w:tcBorders>
                    <w:tl2br w:val="nil"/>
                    <w:tr2bl w:val="nil"/>
                  </w:tcBorders>
                  <w:noWrap w:val="0"/>
                  <w:vAlign w:val="center"/>
                </w:tcPr>
                <w:p w14:paraId="1C9BA02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+2.11</w:t>
                  </w:r>
                </w:p>
              </w:tc>
            </w:tr>
            <w:tr w14:paraId="022416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restart"/>
                  <w:tcBorders>
                    <w:tl2br w:val="nil"/>
                    <w:tr2bl w:val="nil"/>
                  </w:tcBorders>
                  <w:noWrap w:val="0"/>
                  <w:vAlign w:val="center"/>
                </w:tcPr>
                <w:p w14:paraId="3B771EFF">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rPr>
                    <w:t>固废</w:t>
                  </w:r>
                </w:p>
              </w:tc>
              <w:tc>
                <w:tcPr>
                  <w:tcW w:w="868" w:type="pct"/>
                  <w:tcBorders>
                    <w:tl2br w:val="nil"/>
                    <w:tr2bl w:val="nil"/>
                  </w:tcBorders>
                  <w:noWrap w:val="0"/>
                  <w:vAlign w:val="center"/>
                </w:tcPr>
                <w:p w14:paraId="6E02D50A">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废铁屑</w:t>
                  </w:r>
                </w:p>
              </w:tc>
              <w:tc>
                <w:tcPr>
                  <w:tcW w:w="826" w:type="pct"/>
                  <w:tcBorders>
                    <w:tl2br w:val="nil"/>
                    <w:tr2bl w:val="nil"/>
                  </w:tcBorders>
                  <w:noWrap w:val="0"/>
                  <w:vAlign w:val="center"/>
                </w:tcPr>
                <w:p w14:paraId="1B87A1B0">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w:t>
                  </w:r>
                </w:p>
              </w:tc>
              <w:tc>
                <w:tcPr>
                  <w:tcW w:w="847" w:type="pct"/>
                  <w:tcBorders>
                    <w:tl2br w:val="nil"/>
                    <w:tr2bl w:val="nil"/>
                  </w:tcBorders>
                  <w:noWrap w:val="0"/>
                  <w:vAlign w:val="center"/>
                </w:tcPr>
                <w:p w14:paraId="0886AA81">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686" w:type="pct"/>
                  <w:tcBorders>
                    <w:tl2br w:val="nil"/>
                    <w:tr2bl w:val="nil"/>
                  </w:tcBorders>
                  <w:noWrap w:val="0"/>
                  <w:vAlign w:val="center"/>
                </w:tcPr>
                <w:p w14:paraId="3C8DFEA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w:t>
                  </w:r>
                </w:p>
              </w:tc>
              <w:tc>
                <w:tcPr>
                  <w:tcW w:w="675" w:type="pct"/>
                  <w:tcBorders>
                    <w:tl2br w:val="nil"/>
                    <w:tr2bl w:val="nil"/>
                  </w:tcBorders>
                  <w:noWrap w:val="0"/>
                  <w:vAlign w:val="center"/>
                </w:tcPr>
                <w:p w14:paraId="034EE54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7A6C38B3">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49508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35A0E67F">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2AFC797D">
                  <w:pPr>
                    <w:pStyle w:val="37"/>
                    <w:keepNext w:val="0"/>
                    <w:keepLines w:val="0"/>
                    <w:pageBreakBefore w:val="0"/>
                    <w:widowControl w:val="0"/>
                    <w:kinsoku/>
                    <w:wordWrap/>
                    <w:overflowPunct/>
                    <w:topLinePunct w:val="0"/>
                    <w:bidi w:val="0"/>
                    <w:spacing w:beforeLines="0" w:afterLines="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石块和非塑料物质</w:t>
                  </w:r>
                </w:p>
              </w:tc>
              <w:tc>
                <w:tcPr>
                  <w:tcW w:w="826" w:type="pct"/>
                  <w:tcBorders>
                    <w:tl2br w:val="nil"/>
                    <w:tr2bl w:val="nil"/>
                  </w:tcBorders>
                  <w:noWrap w:val="0"/>
                  <w:vAlign w:val="center"/>
                </w:tcPr>
                <w:p w14:paraId="48475D2A">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6.891</w:t>
                  </w:r>
                </w:p>
              </w:tc>
              <w:tc>
                <w:tcPr>
                  <w:tcW w:w="847" w:type="pct"/>
                  <w:tcBorders>
                    <w:tl2br w:val="nil"/>
                    <w:tr2bl w:val="nil"/>
                  </w:tcBorders>
                  <w:noWrap w:val="0"/>
                  <w:vAlign w:val="center"/>
                </w:tcPr>
                <w:p w14:paraId="5EEEAB26">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686" w:type="pct"/>
                  <w:tcBorders>
                    <w:tl2br w:val="nil"/>
                    <w:tr2bl w:val="nil"/>
                  </w:tcBorders>
                  <w:noWrap w:val="0"/>
                  <w:vAlign w:val="center"/>
                </w:tcPr>
                <w:p w14:paraId="4B04F758">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6.891</w:t>
                  </w:r>
                </w:p>
              </w:tc>
              <w:tc>
                <w:tcPr>
                  <w:tcW w:w="675" w:type="pct"/>
                  <w:tcBorders>
                    <w:tl2br w:val="nil"/>
                    <w:tr2bl w:val="nil"/>
                  </w:tcBorders>
                  <w:noWrap w:val="0"/>
                  <w:vAlign w:val="center"/>
                </w:tcPr>
                <w:p w14:paraId="4C64ED9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7E768011">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634A21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62D6965E">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0F1800CA">
                  <w:pPr>
                    <w:pStyle w:val="37"/>
                    <w:keepNext w:val="0"/>
                    <w:keepLines w:val="0"/>
                    <w:pageBreakBefore w:val="0"/>
                    <w:widowControl w:val="0"/>
                    <w:kinsoku/>
                    <w:wordWrap/>
                    <w:overflowPunct/>
                    <w:topLinePunct w:val="0"/>
                    <w:bidi w:val="0"/>
                    <w:spacing w:beforeLines="0" w:afterLines="0"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826" w:type="pct"/>
                  <w:tcBorders>
                    <w:tl2br w:val="nil"/>
                    <w:tr2bl w:val="nil"/>
                  </w:tcBorders>
                  <w:noWrap w:val="0"/>
                  <w:vAlign w:val="center"/>
                </w:tcPr>
                <w:p w14:paraId="1F8D2B75">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5.25</w:t>
                  </w:r>
                </w:p>
              </w:tc>
              <w:tc>
                <w:tcPr>
                  <w:tcW w:w="847" w:type="pct"/>
                  <w:tcBorders>
                    <w:tl2br w:val="nil"/>
                    <w:tr2bl w:val="nil"/>
                  </w:tcBorders>
                  <w:noWrap w:val="0"/>
                  <w:vAlign w:val="center"/>
                </w:tcPr>
                <w:p w14:paraId="216CC305">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686" w:type="pct"/>
                  <w:tcBorders>
                    <w:tl2br w:val="nil"/>
                    <w:tr2bl w:val="nil"/>
                  </w:tcBorders>
                  <w:noWrap w:val="0"/>
                  <w:vAlign w:val="center"/>
                </w:tcPr>
                <w:p w14:paraId="41B5361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5.25</w:t>
                  </w:r>
                </w:p>
              </w:tc>
              <w:tc>
                <w:tcPr>
                  <w:tcW w:w="675" w:type="pct"/>
                  <w:tcBorders>
                    <w:tl2br w:val="nil"/>
                    <w:tr2bl w:val="nil"/>
                  </w:tcBorders>
                  <w:noWrap w:val="0"/>
                  <w:vAlign w:val="center"/>
                </w:tcPr>
                <w:p w14:paraId="6ABFB369">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6EEFCB1F">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16850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70D9377B">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6721F711">
                  <w:pPr>
                    <w:pStyle w:val="37"/>
                    <w:keepNext w:val="0"/>
                    <w:keepLines w:val="0"/>
                    <w:pageBreakBefore w:val="0"/>
                    <w:widowControl w:val="0"/>
                    <w:kinsoku/>
                    <w:wordWrap/>
                    <w:overflowPunct/>
                    <w:topLinePunct w:val="0"/>
                    <w:bidi w:val="0"/>
                    <w:spacing w:beforeLines="0" w:afterLines="0"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沉淀池污泥</w:t>
                  </w:r>
                </w:p>
              </w:tc>
              <w:tc>
                <w:tcPr>
                  <w:tcW w:w="826" w:type="pct"/>
                  <w:tcBorders>
                    <w:tl2br w:val="nil"/>
                    <w:tr2bl w:val="nil"/>
                  </w:tcBorders>
                  <w:noWrap w:val="0"/>
                  <w:vAlign w:val="center"/>
                </w:tcPr>
                <w:p w14:paraId="314BFA74">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847" w:type="pct"/>
                  <w:tcBorders>
                    <w:tl2br w:val="nil"/>
                    <w:tr2bl w:val="nil"/>
                  </w:tcBorders>
                  <w:noWrap w:val="0"/>
                  <w:vAlign w:val="center"/>
                </w:tcPr>
                <w:p w14:paraId="6E5FDC58">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686" w:type="pct"/>
                  <w:tcBorders>
                    <w:tl2br w:val="nil"/>
                    <w:tr2bl w:val="nil"/>
                  </w:tcBorders>
                  <w:noWrap w:val="0"/>
                  <w:vAlign w:val="center"/>
                </w:tcPr>
                <w:p w14:paraId="6F33343C">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675" w:type="pct"/>
                  <w:tcBorders>
                    <w:tl2br w:val="nil"/>
                    <w:tr2bl w:val="nil"/>
                  </w:tcBorders>
                  <w:noWrap w:val="0"/>
                  <w:vAlign w:val="center"/>
                </w:tcPr>
                <w:p w14:paraId="1BB1AE7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4729B977">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64B3EC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4E1A86DE">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26A69370">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废弃活性炭</w:t>
                  </w:r>
                </w:p>
              </w:tc>
              <w:tc>
                <w:tcPr>
                  <w:tcW w:w="826" w:type="pct"/>
                  <w:tcBorders>
                    <w:tl2br w:val="nil"/>
                    <w:tr2bl w:val="nil"/>
                  </w:tcBorders>
                  <w:noWrap w:val="0"/>
                  <w:vAlign w:val="center"/>
                </w:tcPr>
                <w:p w14:paraId="5E58D65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w:t>
                  </w:r>
                </w:p>
              </w:tc>
              <w:tc>
                <w:tcPr>
                  <w:tcW w:w="847" w:type="pct"/>
                  <w:tcBorders>
                    <w:tl2br w:val="nil"/>
                    <w:tr2bl w:val="nil"/>
                  </w:tcBorders>
                  <w:noWrap w:val="0"/>
                  <w:vAlign w:val="center"/>
                </w:tcPr>
                <w:p w14:paraId="20BE94B4">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0.27</w:t>
                  </w:r>
                </w:p>
              </w:tc>
              <w:tc>
                <w:tcPr>
                  <w:tcW w:w="686" w:type="pct"/>
                  <w:tcBorders>
                    <w:tl2br w:val="nil"/>
                    <w:tr2bl w:val="nil"/>
                  </w:tcBorders>
                  <w:noWrap w:val="0"/>
                  <w:vAlign w:val="center"/>
                </w:tcPr>
                <w:p w14:paraId="74045E7A">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0.27</w:t>
                  </w:r>
                </w:p>
              </w:tc>
              <w:tc>
                <w:tcPr>
                  <w:tcW w:w="675" w:type="pct"/>
                  <w:tcBorders>
                    <w:tl2br w:val="nil"/>
                    <w:tr2bl w:val="nil"/>
                  </w:tcBorders>
                  <w:noWrap w:val="0"/>
                  <w:vAlign w:val="center"/>
                </w:tcPr>
                <w:p w14:paraId="4B38CFA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429C4068">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+0.27</w:t>
                  </w:r>
                </w:p>
              </w:tc>
            </w:tr>
            <w:tr w14:paraId="70747F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10AFE47E">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19CD2B53">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废</w:t>
                  </w:r>
                  <w:r>
                    <w:rPr>
                      <w:rFonts w:hint="default" w:ascii="Times New Roman" w:hAnsi="Times New Roman" w:cs="Times New Roman"/>
                      <w:color w:val="auto"/>
                      <w:sz w:val="21"/>
                      <w:szCs w:val="21"/>
                      <w:highlight w:val="none"/>
                      <w:lang w:val="en-US" w:eastAsia="zh-CN"/>
                    </w:rPr>
                    <w:t>机油</w:t>
                  </w:r>
                </w:p>
              </w:tc>
              <w:tc>
                <w:tcPr>
                  <w:tcW w:w="826" w:type="pct"/>
                  <w:tcBorders>
                    <w:tl2br w:val="nil"/>
                    <w:tr2bl w:val="nil"/>
                  </w:tcBorders>
                  <w:noWrap w:val="0"/>
                  <w:vAlign w:val="center"/>
                </w:tcPr>
                <w:p w14:paraId="2767D92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847" w:type="pct"/>
                  <w:tcBorders>
                    <w:tl2br w:val="nil"/>
                    <w:tr2bl w:val="nil"/>
                  </w:tcBorders>
                  <w:noWrap w:val="0"/>
                  <w:vAlign w:val="center"/>
                </w:tcPr>
                <w:p w14:paraId="6E28AE6A">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w:t>
                  </w:r>
                </w:p>
              </w:tc>
              <w:tc>
                <w:tcPr>
                  <w:tcW w:w="686" w:type="pct"/>
                  <w:tcBorders>
                    <w:tl2br w:val="nil"/>
                    <w:tr2bl w:val="nil"/>
                  </w:tcBorders>
                  <w:noWrap w:val="0"/>
                  <w:vAlign w:val="center"/>
                </w:tcPr>
                <w:p w14:paraId="00DCEF00">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0.05</w:t>
                  </w:r>
                </w:p>
              </w:tc>
              <w:tc>
                <w:tcPr>
                  <w:tcW w:w="675" w:type="pct"/>
                  <w:tcBorders>
                    <w:tl2br w:val="nil"/>
                    <w:tr2bl w:val="nil"/>
                  </w:tcBorders>
                  <w:noWrap w:val="0"/>
                  <w:vAlign w:val="center"/>
                </w:tcPr>
                <w:p w14:paraId="0E34D553">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537" w:type="pct"/>
                  <w:tcBorders>
                    <w:tl2br w:val="nil"/>
                    <w:tr2bl w:val="nil"/>
                  </w:tcBorders>
                  <w:noWrap w:val="0"/>
                  <w:vAlign w:val="center"/>
                </w:tcPr>
                <w:p w14:paraId="627BDAF4">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0.05</w:t>
                  </w:r>
                </w:p>
              </w:tc>
            </w:tr>
            <w:tr w14:paraId="577AE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6E988FF2">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3D8039E9">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废催化剂</w:t>
                  </w:r>
                </w:p>
              </w:tc>
              <w:tc>
                <w:tcPr>
                  <w:tcW w:w="826" w:type="pct"/>
                  <w:tcBorders>
                    <w:tl2br w:val="nil"/>
                    <w:tr2bl w:val="nil"/>
                  </w:tcBorders>
                  <w:noWrap w:val="0"/>
                  <w:vAlign w:val="center"/>
                </w:tcPr>
                <w:p w14:paraId="077A18A4">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847" w:type="pct"/>
                  <w:tcBorders>
                    <w:tl2br w:val="nil"/>
                    <w:tr2bl w:val="nil"/>
                  </w:tcBorders>
                  <w:noWrap w:val="0"/>
                  <w:vAlign w:val="center"/>
                </w:tcPr>
                <w:p w14:paraId="70E456E9">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0.25</w:t>
                  </w:r>
                </w:p>
              </w:tc>
              <w:tc>
                <w:tcPr>
                  <w:tcW w:w="686" w:type="pct"/>
                  <w:tcBorders>
                    <w:tl2br w:val="nil"/>
                    <w:tr2bl w:val="nil"/>
                  </w:tcBorders>
                  <w:noWrap w:val="0"/>
                  <w:vAlign w:val="center"/>
                </w:tcPr>
                <w:p w14:paraId="1DA1FAEC">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0.25</w:t>
                  </w:r>
                </w:p>
              </w:tc>
              <w:tc>
                <w:tcPr>
                  <w:tcW w:w="675" w:type="pct"/>
                  <w:tcBorders>
                    <w:tl2br w:val="nil"/>
                    <w:tr2bl w:val="nil"/>
                  </w:tcBorders>
                  <w:noWrap w:val="0"/>
                  <w:vAlign w:val="center"/>
                </w:tcPr>
                <w:p w14:paraId="14ED7861">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37" w:type="pct"/>
                  <w:tcBorders>
                    <w:tl2br w:val="nil"/>
                    <w:tr2bl w:val="nil"/>
                  </w:tcBorders>
                  <w:noWrap w:val="0"/>
                  <w:vAlign w:val="center"/>
                </w:tcPr>
                <w:p w14:paraId="5E33168C">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0.25</w:t>
                  </w:r>
                </w:p>
              </w:tc>
            </w:tr>
            <w:tr w14:paraId="434023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2C5EB395">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7E9D83D8">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不合格产品</w:t>
                  </w:r>
                </w:p>
              </w:tc>
              <w:tc>
                <w:tcPr>
                  <w:tcW w:w="826" w:type="pct"/>
                  <w:tcBorders>
                    <w:tl2br w:val="nil"/>
                    <w:tr2bl w:val="nil"/>
                  </w:tcBorders>
                  <w:noWrap w:val="0"/>
                  <w:vAlign w:val="center"/>
                </w:tcPr>
                <w:p w14:paraId="2CB7811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8.4</w:t>
                  </w:r>
                </w:p>
              </w:tc>
              <w:tc>
                <w:tcPr>
                  <w:tcW w:w="847" w:type="pct"/>
                  <w:tcBorders>
                    <w:tl2br w:val="nil"/>
                    <w:tr2bl w:val="nil"/>
                  </w:tcBorders>
                  <w:noWrap w:val="0"/>
                  <w:vAlign w:val="center"/>
                </w:tcPr>
                <w:p w14:paraId="2CA7ED58">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686" w:type="pct"/>
                  <w:tcBorders>
                    <w:tl2br w:val="nil"/>
                    <w:tr2bl w:val="nil"/>
                  </w:tcBorders>
                  <w:noWrap w:val="0"/>
                  <w:vAlign w:val="center"/>
                </w:tcPr>
                <w:p w14:paraId="10E78BAF">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13.4</w:t>
                  </w:r>
                </w:p>
              </w:tc>
              <w:tc>
                <w:tcPr>
                  <w:tcW w:w="675" w:type="pct"/>
                  <w:tcBorders>
                    <w:tl2br w:val="nil"/>
                    <w:tr2bl w:val="nil"/>
                  </w:tcBorders>
                  <w:noWrap w:val="0"/>
                  <w:vAlign w:val="center"/>
                </w:tcPr>
                <w:p w14:paraId="67ED061B">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37" w:type="pct"/>
                  <w:tcBorders>
                    <w:tl2br w:val="nil"/>
                    <w:tr2bl w:val="nil"/>
                  </w:tcBorders>
                  <w:noWrap w:val="0"/>
                  <w:vAlign w:val="center"/>
                </w:tcPr>
                <w:p w14:paraId="3D2A4046">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r>
            <w:tr w14:paraId="046D9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8" w:type="pct"/>
                  <w:vMerge w:val="continue"/>
                  <w:tcBorders>
                    <w:tl2br w:val="nil"/>
                    <w:tr2bl w:val="nil"/>
                  </w:tcBorders>
                  <w:noWrap w:val="0"/>
                  <w:vAlign w:val="center"/>
                </w:tcPr>
                <w:p w14:paraId="5C6C4D44">
                  <w:pPr>
                    <w:keepNext w:val="0"/>
                    <w:keepLines w:val="0"/>
                    <w:pageBreakBefore w:val="0"/>
                    <w:widowControl w:val="0"/>
                    <w:kinsoku/>
                    <w:wordWrap/>
                    <w:overflowPunct/>
                    <w:topLinePunct w:val="0"/>
                    <w:autoSpaceDE w:val="0"/>
                    <w:autoSpaceDN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zh-CN"/>
                    </w:rPr>
                  </w:pPr>
                </w:p>
              </w:tc>
              <w:tc>
                <w:tcPr>
                  <w:tcW w:w="868" w:type="pct"/>
                  <w:tcBorders>
                    <w:tl2br w:val="nil"/>
                    <w:tr2bl w:val="nil"/>
                  </w:tcBorders>
                  <w:noWrap w:val="0"/>
                  <w:vAlign w:val="center"/>
                </w:tcPr>
                <w:p w14:paraId="321576DB">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废包装袋</w:t>
                  </w:r>
                </w:p>
              </w:tc>
              <w:tc>
                <w:tcPr>
                  <w:tcW w:w="826" w:type="pct"/>
                  <w:tcBorders>
                    <w:tl2br w:val="nil"/>
                    <w:tr2bl w:val="nil"/>
                  </w:tcBorders>
                  <w:noWrap w:val="0"/>
                  <w:vAlign w:val="center"/>
                </w:tcPr>
                <w:p w14:paraId="6CBAA830">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847" w:type="pct"/>
                  <w:tcBorders>
                    <w:tl2br w:val="nil"/>
                    <w:tr2bl w:val="nil"/>
                  </w:tcBorders>
                  <w:noWrap w:val="0"/>
                  <w:vAlign w:val="center"/>
                </w:tcPr>
                <w:p w14:paraId="457C0F56">
                  <w:pPr>
                    <w:pStyle w:val="37"/>
                    <w:keepNext w:val="0"/>
                    <w:keepLines w:val="0"/>
                    <w:pageBreakBefore w:val="0"/>
                    <w:widowControl w:val="0"/>
                    <w:kinsoku/>
                    <w:wordWrap/>
                    <w:overflowPunct/>
                    <w:topLinePunct w:val="0"/>
                    <w:bidi w:val="0"/>
                    <w:spacing w:beforeLines="0" w:afterLines="0" w:line="240" w:lineRule="auto"/>
                    <w:ind w:lef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686" w:type="pct"/>
                  <w:tcBorders>
                    <w:tl2br w:val="nil"/>
                    <w:tr2bl w:val="nil"/>
                  </w:tcBorders>
                  <w:noWrap w:val="0"/>
                  <w:vAlign w:val="center"/>
                </w:tcPr>
                <w:p w14:paraId="41228396">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c>
                <w:tcPr>
                  <w:tcW w:w="675" w:type="pct"/>
                  <w:tcBorders>
                    <w:tl2br w:val="nil"/>
                    <w:tr2bl w:val="nil"/>
                  </w:tcBorders>
                  <w:noWrap w:val="0"/>
                  <w:vAlign w:val="center"/>
                </w:tcPr>
                <w:p w14:paraId="1FA5639D">
                  <w:pPr>
                    <w:keepNext w:val="0"/>
                    <w:keepLines w:val="0"/>
                    <w:pageBreakBefore w:val="0"/>
                    <w:widowControl w:val="0"/>
                    <w:kinsoku/>
                    <w:wordWrap/>
                    <w:overflowPunct/>
                    <w:topLinePunct w:val="0"/>
                    <w:bidi w:val="0"/>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537" w:type="pct"/>
                  <w:tcBorders>
                    <w:tl2br w:val="nil"/>
                    <w:tr2bl w:val="nil"/>
                  </w:tcBorders>
                  <w:noWrap w:val="0"/>
                  <w:vAlign w:val="center"/>
                </w:tcPr>
                <w:p w14:paraId="68829BAD">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r>
          </w:tbl>
          <w:p w14:paraId="14103C29">
            <w:pPr>
              <w:pStyle w:val="2"/>
              <w:rPr>
                <w:rFonts w:hint="default" w:ascii="Times New Roman" w:hAnsi="Times New Roman" w:eastAsia="宋体" w:cs="Times New Roman"/>
                <w:color w:val="auto"/>
                <w:sz w:val="24"/>
                <w:szCs w:val="24"/>
                <w:highlight w:val="none"/>
                <w:lang w:eastAsia="zh-CN"/>
              </w:rPr>
            </w:pPr>
          </w:p>
          <w:p w14:paraId="73F3F1F2">
            <w:pPr>
              <w:rPr>
                <w:rFonts w:hint="default" w:ascii="Times New Roman" w:hAnsi="Times New Roman" w:cs="Times New Roman"/>
                <w:color w:val="auto"/>
                <w:highlight w:val="none"/>
              </w:rPr>
            </w:pPr>
          </w:p>
          <w:p w14:paraId="1E59CFB2">
            <w:pPr>
              <w:pStyle w:val="2"/>
              <w:rPr>
                <w:rFonts w:hint="default" w:ascii="Times New Roman" w:hAnsi="Times New Roman" w:cs="Times New Roman"/>
                <w:color w:val="auto"/>
                <w:highlight w:val="none"/>
              </w:rPr>
            </w:pPr>
          </w:p>
          <w:p w14:paraId="1FC1112D">
            <w:pPr>
              <w:pStyle w:val="5"/>
              <w:rPr>
                <w:rFonts w:hint="default" w:ascii="Times New Roman" w:hAnsi="Times New Roman" w:cs="Times New Roman"/>
                <w:color w:val="auto"/>
                <w:highlight w:val="none"/>
              </w:rPr>
            </w:pPr>
          </w:p>
          <w:p w14:paraId="53B4B0C1">
            <w:pPr>
              <w:pStyle w:val="5"/>
              <w:rPr>
                <w:rFonts w:hint="default" w:ascii="Times New Roman" w:hAnsi="Times New Roman" w:cs="Times New Roman"/>
                <w:color w:val="auto"/>
                <w:highlight w:val="none"/>
              </w:rPr>
            </w:pPr>
          </w:p>
          <w:p w14:paraId="48625709">
            <w:pPr>
              <w:pStyle w:val="5"/>
              <w:rPr>
                <w:rFonts w:hint="default" w:ascii="Times New Roman" w:hAnsi="Times New Roman" w:cs="Times New Roman"/>
                <w:color w:val="auto"/>
                <w:highlight w:val="none"/>
              </w:rPr>
            </w:pPr>
          </w:p>
        </w:tc>
      </w:tr>
    </w:tbl>
    <w:p w14:paraId="2185A083">
      <w:pPr>
        <w:rPr>
          <w:rFonts w:hint="default" w:ascii="Times New Roman" w:hAnsi="Times New Roman" w:cs="Times New Roman"/>
          <w:color w:val="auto"/>
          <w:highlight w:val="none"/>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3DE84C0A">
      <w:pPr>
        <w:pStyle w:val="22"/>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12" w:name="_Hlk54167917"/>
      <w:r>
        <w:rPr>
          <w:rFonts w:hint="default" w:ascii="Times New Roman" w:hAnsi="Times New Roman" w:eastAsia="黑体" w:cs="Times New Roman"/>
          <w:snapToGrid w:val="0"/>
          <w:color w:val="auto"/>
          <w:sz w:val="30"/>
          <w:szCs w:val="30"/>
          <w:highlight w:val="none"/>
        </w:rPr>
        <w:t>环境保护措施监督检查清单</w:t>
      </w:r>
      <w:bookmarkEnd w:id="12"/>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584"/>
        <w:gridCol w:w="1516"/>
        <w:gridCol w:w="2167"/>
      </w:tblGrid>
      <w:tr w14:paraId="67D2D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tcBorders>
              <w:tl2br w:val="single" w:color="auto" w:sz="4" w:space="0"/>
            </w:tcBorders>
            <w:noWrap w:val="0"/>
            <w:vAlign w:val="top"/>
          </w:tcPr>
          <w:p w14:paraId="6A9A31E3">
            <w:pPr>
              <w:adjustRightInd w:val="0"/>
              <w:snapToGrid w:val="0"/>
              <w:ind w:firstLine="84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内容</w:t>
            </w:r>
          </w:p>
          <w:p w14:paraId="3C07E9B9">
            <w:pPr>
              <w:adjustRightInd w:val="0"/>
              <w:snapToGrid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要素</w:t>
            </w:r>
          </w:p>
        </w:tc>
        <w:tc>
          <w:tcPr>
            <w:tcW w:w="1755" w:type="dxa"/>
            <w:noWrap w:val="0"/>
            <w:vAlign w:val="center"/>
          </w:tcPr>
          <w:p w14:paraId="7AEE18D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排放口(编号、</w:t>
            </w:r>
          </w:p>
          <w:p w14:paraId="1429A19E">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名称)/污染源</w:t>
            </w:r>
          </w:p>
        </w:tc>
        <w:tc>
          <w:tcPr>
            <w:tcW w:w="1584" w:type="dxa"/>
            <w:noWrap w:val="0"/>
            <w:vAlign w:val="center"/>
          </w:tcPr>
          <w:p w14:paraId="34EEEB98">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污染物项目</w:t>
            </w:r>
          </w:p>
        </w:tc>
        <w:tc>
          <w:tcPr>
            <w:tcW w:w="1516" w:type="dxa"/>
            <w:noWrap w:val="0"/>
            <w:vAlign w:val="center"/>
          </w:tcPr>
          <w:p w14:paraId="4F2FD442">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环境保护措施</w:t>
            </w:r>
          </w:p>
        </w:tc>
        <w:tc>
          <w:tcPr>
            <w:tcW w:w="2167" w:type="dxa"/>
            <w:noWrap w:val="0"/>
            <w:vAlign w:val="center"/>
          </w:tcPr>
          <w:p w14:paraId="142DA36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执行标准</w:t>
            </w:r>
          </w:p>
        </w:tc>
      </w:tr>
      <w:tr w14:paraId="06793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1FB7BC36">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大气环境</w:t>
            </w:r>
          </w:p>
        </w:tc>
        <w:tc>
          <w:tcPr>
            <w:tcW w:w="1755" w:type="dxa"/>
            <w:noWrap w:val="0"/>
            <w:vAlign w:val="center"/>
          </w:tcPr>
          <w:p w14:paraId="15A88668">
            <w:pPr>
              <w:ind w:right="23" w:right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Cs/>
                <w:color w:val="auto"/>
                <w:sz w:val="24"/>
                <w:szCs w:val="24"/>
                <w:highlight w:val="none"/>
                <w:lang w:val="en-US" w:eastAsia="zh-CN"/>
              </w:rPr>
              <w:t>热熔和挤出工段中产生的</w:t>
            </w:r>
            <w:r>
              <w:rPr>
                <w:rFonts w:hint="default" w:ascii="Times New Roman" w:hAnsi="Times New Roman" w:cs="Times New Roman"/>
                <w:bCs/>
                <w:color w:val="auto"/>
                <w:sz w:val="24"/>
                <w:szCs w:val="24"/>
                <w:highlight w:val="none"/>
                <w:lang w:eastAsia="zh-CN"/>
              </w:rPr>
              <w:t>VOCs（以非甲烷总烃计）</w:t>
            </w:r>
            <w:r>
              <w:rPr>
                <w:rFonts w:hint="default" w:ascii="Times New Roman" w:hAnsi="Times New Roman" w:eastAsia="宋体" w:cs="Times New Roman"/>
                <w:bCs/>
                <w:color w:val="auto"/>
                <w:sz w:val="24"/>
                <w:szCs w:val="24"/>
                <w:highlight w:val="none"/>
                <w:lang w:val="en-US" w:eastAsia="zh-CN"/>
              </w:rPr>
              <w:t>DA001</w:t>
            </w:r>
          </w:p>
        </w:tc>
        <w:tc>
          <w:tcPr>
            <w:tcW w:w="1584" w:type="dxa"/>
            <w:noWrap w:val="0"/>
            <w:vAlign w:val="center"/>
          </w:tcPr>
          <w:p w14:paraId="732D0E4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非甲烷总烃</w:t>
            </w:r>
          </w:p>
        </w:tc>
        <w:tc>
          <w:tcPr>
            <w:tcW w:w="1516" w:type="dxa"/>
            <w:noWrap w:val="0"/>
            <w:vAlign w:val="center"/>
          </w:tcPr>
          <w:p w14:paraId="5BE1D494">
            <w:pPr>
              <w:ind w:right="23" w:rightChars="0"/>
              <w:jc w:val="center"/>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eastAsia="宋体" w:cs="Times New Roman"/>
                <w:bCs/>
                <w:color w:val="auto"/>
                <w:sz w:val="24"/>
                <w:szCs w:val="24"/>
                <w:highlight w:val="none"/>
                <w:lang w:val="en-US" w:eastAsia="zh-CN"/>
              </w:rPr>
              <w:t>集气罩+</w:t>
            </w:r>
            <w:r>
              <w:rPr>
                <w:rFonts w:hint="default" w:ascii="Times New Roman" w:hAnsi="Times New Roman" w:cs="Times New Roman"/>
                <w:bCs/>
                <w:color w:val="auto"/>
                <w:sz w:val="24"/>
                <w:szCs w:val="24"/>
                <w:highlight w:val="none"/>
                <w:lang w:val="en-US" w:eastAsia="zh-CN"/>
              </w:rPr>
              <w:t>催发燃烧装置</w:t>
            </w:r>
            <w:r>
              <w:rPr>
                <w:rFonts w:hint="default" w:ascii="Times New Roman" w:hAnsi="Times New Roman" w:eastAsia="宋体" w:cs="Times New Roman"/>
                <w:b w:val="0"/>
                <w:bCs w:val="0"/>
                <w:color w:val="auto"/>
                <w:sz w:val="24"/>
                <w:szCs w:val="24"/>
                <w:highlight w:val="none"/>
                <w:vertAlign w:val="baseline"/>
                <w:lang w:val="en-US" w:eastAsia="zh-CN"/>
              </w:rPr>
              <w:t>+1套+15m高排气筒</w:t>
            </w:r>
          </w:p>
        </w:tc>
        <w:tc>
          <w:tcPr>
            <w:tcW w:w="2167" w:type="dxa"/>
            <w:noWrap w:val="0"/>
            <w:vAlign w:val="center"/>
          </w:tcPr>
          <w:p w14:paraId="6D7963C2">
            <w:pPr>
              <w:pageBreakBefore w:val="0"/>
              <w:widowControl w:val="0"/>
              <w:kinsoku/>
              <w:wordWrap/>
              <w:overflowPunct/>
              <w:topLinePunct w:val="0"/>
              <w:autoSpaceDE/>
              <w:autoSpaceDN/>
              <w:bidi w:val="0"/>
              <w:spacing w:line="240" w:lineRule="auto"/>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bCs w:val="0"/>
                <w:color w:val="auto"/>
                <w:sz w:val="24"/>
                <w:szCs w:val="24"/>
                <w:highlight w:val="none"/>
              </w:rPr>
              <w:t>《</w:t>
            </w:r>
            <w:r>
              <w:rPr>
                <w:rFonts w:hint="default" w:ascii="Times New Roman" w:hAnsi="Times New Roman" w:eastAsia="宋体" w:cs="Times New Roman"/>
                <w:bCs w:val="0"/>
                <w:color w:val="auto"/>
                <w:sz w:val="24"/>
                <w:szCs w:val="24"/>
                <w:highlight w:val="none"/>
                <w:lang w:val="en-US" w:eastAsia="zh-CN"/>
              </w:rPr>
              <w:t>合成树脂工业污染物排放标准</w:t>
            </w:r>
            <w:r>
              <w:rPr>
                <w:rFonts w:hint="default" w:ascii="Times New Roman" w:hAnsi="Times New Roman" w:eastAsia="宋体" w:cs="Times New Roman"/>
                <w:bCs w:val="0"/>
                <w:color w:val="auto"/>
                <w:sz w:val="24"/>
                <w:szCs w:val="24"/>
                <w:highlight w:val="none"/>
              </w:rPr>
              <w:t>》（GB</w:t>
            </w:r>
            <w:r>
              <w:rPr>
                <w:rFonts w:hint="default" w:ascii="Times New Roman" w:hAnsi="Times New Roman" w:eastAsia="宋体" w:cs="Times New Roman"/>
                <w:bCs w:val="0"/>
                <w:color w:val="auto"/>
                <w:sz w:val="24"/>
                <w:szCs w:val="24"/>
                <w:highlight w:val="none"/>
                <w:lang w:val="en-US" w:eastAsia="zh-CN"/>
              </w:rPr>
              <w:t>31572-2015</w:t>
            </w:r>
            <w:r>
              <w:rPr>
                <w:rFonts w:hint="default" w:ascii="Times New Roman" w:hAnsi="Times New Roman" w:eastAsia="宋体" w:cs="Times New Roman"/>
                <w:bCs w:val="0"/>
                <w:color w:val="auto"/>
                <w:sz w:val="24"/>
                <w:szCs w:val="24"/>
                <w:highlight w:val="none"/>
              </w:rPr>
              <w:t>）标准要求</w:t>
            </w:r>
          </w:p>
        </w:tc>
      </w:tr>
      <w:tr w14:paraId="1BFE6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35A0C52D">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地表水环境</w:t>
            </w:r>
          </w:p>
        </w:tc>
        <w:tc>
          <w:tcPr>
            <w:tcW w:w="1755" w:type="dxa"/>
            <w:noWrap w:val="0"/>
            <w:vAlign w:val="center"/>
          </w:tcPr>
          <w:p w14:paraId="06D4DFA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c>
          <w:tcPr>
            <w:tcW w:w="1584" w:type="dxa"/>
            <w:noWrap w:val="0"/>
            <w:vAlign w:val="center"/>
          </w:tcPr>
          <w:p w14:paraId="17C65AA5">
            <w:pPr>
              <w:adjustRightInd w:val="0"/>
              <w:snapToGrid w:val="0"/>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cs="Times New Roman"/>
                <w:color w:val="auto"/>
                <w:sz w:val="24"/>
                <w:szCs w:val="24"/>
                <w:highlight w:val="none"/>
                <w:lang w:val="en-US" w:eastAsia="zh-CN"/>
              </w:rPr>
              <w:t>/</w:t>
            </w:r>
          </w:p>
        </w:tc>
        <w:tc>
          <w:tcPr>
            <w:tcW w:w="1516" w:type="dxa"/>
            <w:noWrap w:val="0"/>
            <w:vAlign w:val="center"/>
          </w:tcPr>
          <w:p w14:paraId="2DD0E602">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kern w:val="0"/>
                <w:sz w:val="24"/>
                <w:szCs w:val="24"/>
                <w:highlight w:val="none"/>
                <w:lang w:val="en-US" w:eastAsia="zh-CN"/>
              </w:rPr>
              <w:t>/</w:t>
            </w:r>
          </w:p>
        </w:tc>
        <w:tc>
          <w:tcPr>
            <w:tcW w:w="2167" w:type="dxa"/>
            <w:noWrap w:val="0"/>
            <w:vAlign w:val="center"/>
          </w:tcPr>
          <w:p w14:paraId="506E198B">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w:t>
            </w:r>
          </w:p>
        </w:tc>
      </w:tr>
      <w:tr w14:paraId="5FE39F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659316BF">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声环境</w:t>
            </w:r>
          </w:p>
        </w:tc>
        <w:tc>
          <w:tcPr>
            <w:tcW w:w="1755" w:type="dxa"/>
            <w:noWrap w:val="0"/>
            <w:vAlign w:val="center"/>
          </w:tcPr>
          <w:p w14:paraId="23D552F3">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生产区</w:t>
            </w:r>
          </w:p>
        </w:tc>
        <w:tc>
          <w:tcPr>
            <w:tcW w:w="1584" w:type="dxa"/>
            <w:noWrap w:val="0"/>
            <w:vAlign w:val="center"/>
          </w:tcPr>
          <w:p w14:paraId="49E4A02D">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设备噪声</w:t>
            </w:r>
          </w:p>
        </w:tc>
        <w:tc>
          <w:tcPr>
            <w:tcW w:w="1516" w:type="dxa"/>
            <w:noWrap w:val="0"/>
            <w:vAlign w:val="center"/>
          </w:tcPr>
          <w:p w14:paraId="21E12D89">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基础减振、厂房隔声</w:t>
            </w:r>
          </w:p>
        </w:tc>
        <w:tc>
          <w:tcPr>
            <w:tcW w:w="2167" w:type="dxa"/>
            <w:noWrap w:val="0"/>
            <w:vAlign w:val="center"/>
          </w:tcPr>
          <w:p w14:paraId="3433CB83">
            <w:pPr>
              <w:keepNext w:val="0"/>
              <w:keepLines w:val="0"/>
              <w:pageBreakBefore w:val="0"/>
              <w:widowControl w:val="0"/>
              <w:kinsoku w:val="0"/>
              <w:wordWrap/>
              <w:overflowPunct/>
              <w:topLinePunct w:val="0"/>
              <w:autoSpaceDE/>
              <w:autoSpaceDN/>
              <w:bidi w:val="0"/>
              <w:adjustRightInd w:val="0"/>
              <w:snapToGrid w:val="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《工业企业厂界环境噪声排放标准》（GB12348-2008）3类标准</w:t>
            </w:r>
          </w:p>
        </w:tc>
      </w:tr>
      <w:tr w14:paraId="3BAF6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53F86E4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电磁辐射</w:t>
            </w:r>
          </w:p>
        </w:tc>
        <w:tc>
          <w:tcPr>
            <w:tcW w:w="1755" w:type="dxa"/>
            <w:noWrap w:val="0"/>
            <w:vAlign w:val="center"/>
          </w:tcPr>
          <w:p w14:paraId="0E4462C1">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1584" w:type="dxa"/>
            <w:noWrap w:val="0"/>
            <w:vAlign w:val="center"/>
          </w:tcPr>
          <w:p w14:paraId="0008D35D">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1516" w:type="dxa"/>
            <w:noWrap w:val="0"/>
            <w:vAlign w:val="center"/>
          </w:tcPr>
          <w:p w14:paraId="119599D7">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2167" w:type="dxa"/>
            <w:noWrap w:val="0"/>
            <w:vAlign w:val="center"/>
          </w:tcPr>
          <w:p w14:paraId="00B01A3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r w14:paraId="64CD9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17163BD9">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固体废物</w:t>
            </w:r>
          </w:p>
        </w:tc>
        <w:tc>
          <w:tcPr>
            <w:tcW w:w="7022" w:type="dxa"/>
            <w:gridSpan w:val="4"/>
            <w:noWrap w:val="0"/>
            <w:vAlign w:val="center"/>
          </w:tcPr>
          <w:p w14:paraId="685E677A">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Cs/>
                <w:color w:val="auto"/>
                <w:sz w:val="24"/>
                <w:szCs w:val="24"/>
                <w:highlight w:val="none"/>
              </w:rPr>
              <w:t>工业固废</w:t>
            </w:r>
            <w:r>
              <w:rPr>
                <w:rFonts w:hint="default" w:ascii="Times New Roman" w:hAnsi="Times New Roman" w:cs="Times New Roman"/>
                <w:bCs/>
                <w:color w:val="auto"/>
                <w:sz w:val="24"/>
                <w:szCs w:val="24"/>
                <w:highlight w:val="none"/>
                <w:lang w:val="en-US" w:eastAsia="zh-CN"/>
              </w:rPr>
              <w:t>依托现有</w:t>
            </w:r>
            <w:r>
              <w:rPr>
                <w:rFonts w:hint="default" w:ascii="Times New Roman" w:hAnsi="Times New Roman" w:eastAsia="宋体" w:cs="Times New Roman"/>
                <w:bCs/>
                <w:color w:val="auto"/>
                <w:sz w:val="24"/>
                <w:szCs w:val="24"/>
                <w:highlight w:val="none"/>
              </w:rPr>
              <w:t>一般工业固废</w:t>
            </w:r>
            <w:r>
              <w:rPr>
                <w:rFonts w:hint="default" w:ascii="Times New Roman" w:hAnsi="Times New Roman" w:cs="Times New Roman"/>
                <w:bCs/>
                <w:color w:val="auto"/>
                <w:sz w:val="24"/>
                <w:szCs w:val="24"/>
                <w:highlight w:val="none"/>
                <w:lang w:val="en-US" w:eastAsia="zh-CN"/>
              </w:rPr>
              <w:t>场</w:t>
            </w:r>
            <w:r>
              <w:rPr>
                <w:rFonts w:hint="default" w:ascii="Times New Roman" w:hAnsi="Times New Roman" w:eastAsia="宋体" w:cs="Times New Roman"/>
                <w:bCs/>
                <w:color w:val="auto"/>
                <w:sz w:val="24"/>
                <w:szCs w:val="24"/>
                <w:highlight w:val="none"/>
              </w:rPr>
              <w:t>集中堆放；</w:t>
            </w:r>
            <w:r>
              <w:rPr>
                <w:rFonts w:hint="default" w:ascii="Times New Roman" w:hAnsi="Times New Roman" w:eastAsia="宋体" w:cs="Times New Roman"/>
                <w:bCs/>
                <w:color w:val="auto"/>
                <w:sz w:val="24"/>
                <w:szCs w:val="24"/>
                <w:highlight w:val="none"/>
                <w:lang w:val="en-US" w:eastAsia="zh-CN"/>
              </w:rPr>
              <w:t>危险废物</w:t>
            </w:r>
            <w:r>
              <w:rPr>
                <w:rFonts w:hint="default" w:ascii="Times New Roman" w:hAnsi="Times New Roman" w:cs="Times New Roman"/>
                <w:bCs/>
                <w:color w:val="auto"/>
                <w:sz w:val="24"/>
                <w:szCs w:val="24"/>
                <w:highlight w:val="none"/>
                <w:lang w:val="en-US" w:eastAsia="zh-CN"/>
              </w:rPr>
              <w:t>依托危废暂存点存放</w:t>
            </w:r>
            <w:r>
              <w:rPr>
                <w:rFonts w:hint="default" w:ascii="Times New Roman" w:hAnsi="Times New Roman" w:eastAsia="宋体" w:cs="Times New Roman"/>
                <w:bCs/>
                <w:color w:val="auto"/>
                <w:sz w:val="24"/>
                <w:szCs w:val="24"/>
                <w:highlight w:val="none"/>
                <w:lang w:val="en-US" w:eastAsia="zh-CN"/>
              </w:rPr>
              <w:t>，交由有资质的单位处置。</w:t>
            </w:r>
          </w:p>
        </w:tc>
      </w:tr>
      <w:tr w14:paraId="6A901E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312BDBF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土壤及地下水</w:t>
            </w:r>
          </w:p>
          <w:p w14:paraId="5C3C7B8B">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污染防治措施</w:t>
            </w:r>
          </w:p>
        </w:tc>
        <w:tc>
          <w:tcPr>
            <w:tcW w:w="7022" w:type="dxa"/>
            <w:gridSpan w:val="4"/>
            <w:noWrap w:val="0"/>
            <w:vAlign w:val="center"/>
          </w:tcPr>
          <w:p w14:paraId="677E93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kern w:val="0"/>
                <w:sz w:val="24"/>
                <w:szCs w:val="24"/>
                <w:highlight w:val="none"/>
                <w:lang w:val="en-US" w:eastAsia="zh-CN" w:bidi="ar"/>
              </w:rPr>
              <w:t>/</w:t>
            </w:r>
          </w:p>
        </w:tc>
      </w:tr>
      <w:tr w14:paraId="60CC5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060EA08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生态保护措施</w:t>
            </w:r>
          </w:p>
        </w:tc>
        <w:tc>
          <w:tcPr>
            <w:tcW w:w="7022" w:type="dxa"/>
            <w:gridSpan w:val="4"/>
            <w:noWrap w:val="0"/>
            <w:vAlign w:val="center"/>
          </w:tcPr>
          <w:p w14:paraId="44D73EDC">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r w14:paraId="11849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623B2FC8">
            <w:pPr>
              <w:adjustRightInd w:val="0"/>
              <w:snapToGrid w:val="0"/>
              <w:jc w:val="center"/>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环境风险防范措施</w:t>
            </w:r>
          </w:p>
        </w:tc>
        <w:tc>
          <w:tcPr>
            <w:tcW w:w="7022" w:type="dxa"/>
            <w:gridSpan w:val="4"/>
            <w:noWrap w:val="0"/>
            <w:vAlign w:val="center"/>
          </w:tcPr>
          <w:p w14:paraId="0B2622B8">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做好厂区分区防渗处理、厂区地面硬化、生产工艺过程风险防范措施、泄漏风险防范措施、安全管理措施</w:t>
            </w:r>
          </w:p>
        </w:tc>
      </w:tr>
      <w:tr w14:paraId="02871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noWrap w:val="0"/>
            <w:vAlign w:val="center"/>
          </w:tcPr>
          <w:p w14:paraId="58AAE4F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其他环境</w:t>
            </w:r>
          </w:p>
          <w:p w14:paraId="53B9E5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管理要求</w:t>
            </w:r>
          </w:p>
        </w:tc>
        <w:tc>
          <w:tcPr>
            <w:tcW w:w="7022" w:type="dxa"/>
            <w:gridSpan w:val="4"/>
            <w:noWrap w:val="0"/>
            <w:vAlign w:val="center"/>
          </w:tcPr>
          <w:p w14:paraId="18450B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1、排污许可</w:t>
            </w:r>
          </w:p>
          <w:p w14:paraId="7D6C21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根据《关于做好环境影响评价制度与排污许可衔接相关工作的通知》（环办环评</w:t>
            </w:r>
            <w:r>
              <w:rPr>
                <w:rFonts w:hint="default" w:ascii="Times New Roman" w:hAnsi="Times New Roman" w:cs="Times New Roman"/>
                <w:color w:val="auto"/>
                <w:sz w:val="24"/>
                <w:szCs w:val="24"/>
                <w:highlight w:val="none"/>
                <w:lang w:eastAsia="zh-CN"/>
              </w:rPr>
              <w:t>〔2017〕84号</w:t>
            </w:r>
            <w:r>
              <w:rPr>
                <w:rFonts w:hint="default" w:ascii="Times New Roman" w:hAnsi="Times New Roman" w:cs="Times New Roman"/>
                <w:color w:val="auto"/>
                <w:sz w:val="24"/>
                <w:szCs w:val="24"/>
                <w:highlight w:val="none"/>
              </w:rPr>
              <w:t>），项目应在获得环评审批文件后，按照国家环境保护相关法律法规以及排污许可证申请与核发技术规范要求申请排污许可证。</w:t>
            </w:r>
          </w:p>
          <w:p w14:paraId="6EFEBE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根据《固定污染源排污许可分类管理名录（2019年版）》，本项目既属于“二十四、橡胶和塑料制品业29-62塑料制品业292-塑料零件及其他塑料制品制造2929”，应实施简化管理。</w:t>
            </w:r>
          </w:p>
          <w:p w14:paraId="60FFEF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企业应当在启动生产设施或者发生实际排污之前在全国排污许可证管理信息平台填报排污登记表，登记基本信息、污染物排放去向、执行的污染物排放标准以及采取的污染防治措施等信息。</w:t>
            </w:r>
          </w:p>
          <w:p w14:paraId="4991D3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2、排放口信息化、规范化</w:t>
            </w:r>
          </w:p>
          <w:p w14:paraId="4192CC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根据国家环境保护总局《关于开展排放口规范化整治工作的通知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排放口规范化整治技术要求（试行）》等规定，排污单位在建设污染治理设施的同时，建设规范化排放口。</w:t>
            </w:r>
          </w:p>
          <w:p w14:paraId="6CB964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（1）废气排气筒应按照规范化要求设置，达到标准要求高度，并设置便于采样、监测的采样口，在排气筒附近醒目处设置环保标志牌。</w:t>
            </w:r>
          </w:p>
          <w:p w14:paraId="07DB09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（2）主要固定噪声源附近应设置环境保护图形标志牌。</w:t>
            </w:r>
          </w:p>
          <w:p w14:paraId="68A699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固体废物在厂内暂存期间应设置专门的储存设施或堆放场所、运输通道。存放场地应采取防扬散、防流失措施，并在存放场地设置环保标志牌。项目按照《环境保护图形标志-排放口（源）》（GB15562.1-1995）和《环境保护图形标志-固体废物贮存（处置）场》（GB15562.2-1995）等有关规定，在各气、声排污口（源）挂牌标识，做到各排污口（源）的环保标志明显，便于企业管理和公众监督。</w:t>
            </w:r>
          </w:p>
          <w:p w14:paraId="665CE5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项目应使用国家环保局统一印制的《中华人民共和国规范化排污口标志牌登记证》，并按要求填写有关内容。根据排污口管理档案内容要求，项目投产后，应将上述所有污染排放口名称、位置，以及排放污染物名称、数量、浓度、排放去向等内容进行统计，并登记上报所在地环境保护行政主管部门，以便进行验收和排放口的规范化管理，并接受社会监督。</w:t>
            </w:r>
          </w:p>
          <w:p w14:paraId="70CC3D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3、其他要求</w:t>
            </w:r>
          </w:p>
          <w:p w14:paraId="3BBCAE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（1）建立环境管理台账。</w:t>
            </w:r>
          </w:p>
          <w:p w14:paraId="0F636B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（2）根据监测计划定期进行例行监测。</w:t>
            </w:r>
          </w:p>
          <w:p w14:paraId="741FA0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（3）企业运行前，须按照《固定污染源排污许可分类管理名录（2019年版）》的要求取得排污许可证。</w:t>
            </w:r>
          </w:p>
          <w:p w14:paraId="214FD6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6C905F7D">
            <w:pPr>
              <w:pStyle w:val="8"/>
              <w:rPr>
                <w:rFonts w:hint="default"/>
                <w:color w:val="auto"/>
                <w:highlight w:val="none"/>
              </w:rPr>
            </w:pPr>
            <w:bookmarkStart w:id="13" w:name="_GoBack"/>
            <w:bookmarkEnd w:id="13"/>
          </w:p>
        </w:tc>
      </w:tr>
    </w:tbl>
    <w:p w14:paraId="209E18F3">
      <w:pPr>
        <w:rPr>
          <w:rFonts w:hint="default" w:ascii="Times New Roman" w:hAnsi="Times New Roman" w:cs="Times New Roman" w:eastAsiaTheme="minorEastAsia"/>
          <w:snapToGrid w:val="0"/>
          <w:color w:val="auto"/>
          <w:sz w:val="30"/>
          <w:szCs w:val="30"/>
          <w:highlight w:val="none"/>
        </w:rPr>
      </w:pPr>
      <w:r>
        <w:rPr>
          <w:rFonts w:hint="default" w:ascii="Times New Roman" w:hAnsi="Times New Roman" w:cs="Times New Roman" w:eastAsiaTheme="minorEastAsia"/>
          <w:snapToGrid w:val="0"/>
          <w:color w:val="auto"/>
          <w:sz w:val="30"/>
          <w:szCs w:val="30"/>
          <w:highlight w:val="none"/>
        </w:rPr>
        <w:br w:type="page"/>
      </w:r>
    </w:p>
    <w:p w14:paraId="7646E02B">
      <w:pPr>
        <w:pStyle w:val="22"/>
        <w:ind w:firstLine="3900" w:firstLineChars="1300"/>
        <w:jc w:val="both"/>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六、结论</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C1207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198DB205">
            <w:pPr>
              <w:adjustRightInd w:val="0"/>
              <w:snapToGrid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工程建设符合国家产业政策，在严格采取环评报告规定的环境保护对策后，各污染源所排放污染物可以达标排放，对环境影响较小。只要在企业的开发建设和日常运转管理中，切实落实好本评价提出的有关环境保护的对策和措施，那么从环境保护的角度而言，该项目是可行的。</w:t>
            </w:r>
          </w:p>
          <w:p w14:paraId="15893F15">
            <w:pPr>
              <w:pStyle w:val="31"/>
              <w:spacing w:line="360" w:lineRule="auto"/>
              <w:ind w:firstLine="480" w:firstLineChars="200"/>
              <w:rPr>
                <w:rFonts w:hint="default" w:ascii="Times New Roman" w:hAnsi="Times New Roman" w:cs="Times New Roman"/>
                <w:color w:val="auto"/>
                <w:highlight w:val="none"/>
              </w:rPr>
            </w:pPr>
          </w:p>
        </w:tc>
      </w:tr>
    </w:tbl>
    <w:p w14:paraId="04451561">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21217CD0">
      <w:pPr>
        <w:pStyle w:val="22"/>
        <w:keepNext w:val="0"/>
        <w:keepLines w:val="0"/>
        <w:pageBreakBefore w:val="0"/>
        <w:kinsoku/>
        <w:wordWrap/>
        <w:overflowPunct/>
        <w:topLinePunct w:val="0"/>
        <w:autoSpaceDE/>
        <w:autoSpaceDN/>
        <w:bidi w:val="0"/>
        <w:adjustRightInd w:val="0"/>
        <w:snapToGrid w:val="0"/>
        <w:spacing w:before="0" w:beforeAutospacing="0" w:after="0" w:afterAutospacing="0" w:line="480" w:lineRule="exact"/>
        <w:textAlignment w:val="auto"/>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4CDD22A4">
      <w:pPr>
        <w:keepNext w:val="0"/>
        <w:keepLines w:val="0"/>
        <w:pageBreakBefore w:val="0"/>
        <w:kinsoku/>
        <w:wordWrap/>
        <w:overflowPunct/>
        <w:topLinePunct w:val="0"/>
        <w:autoSpaceDE/>
        <w:autoSpaceDN/>
        <w:bidi w:val="0"/>
        <w:spacing w:line="480" w:lineRule="exact"/>
        <w:jc w:val="center"/>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建设项目污染物排放量汇总表</w:t>
      </w:r>
    </w:p>
    <w:tbl>
      <w:tblPr>
        <w:tblStyle w:val="2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04"/>
        <w:gridCol w:w="1081"/>
      </w:tblGrid>
      <w:tr w14:paraId="574C2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7FEB8CB6">
            <w:pPr>
              <w:pStyle w:val="37"/>
              <w:spacing w:beforeLines="0" w:afterLines="0" w:line="240" w:lineRule="auto"/>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111FDC62">
            <w:pPr>
              <w:pStyle w:val="37"/>
              <w:spacing w:beforeLines="0" w:afterLines="0" w:line="240" w:lineRule="auto"/>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417" w:type="dxa"/>
            <w:noWrap w:val="0"/>
            <w:tcMar>
              <w:left w:w="28" w:type="dxa"/>
              <w:right w:w="28" w:type="dxa"/>
            </w:tcMar>
            <w:vAlign w:val="center"/>
          </w:tcPr>
          <w:p w14:paraId="6BAEC9C7">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701" w:type="dxa"/>
            <w:noWrap w:val="0"/>
            <w:tcMar>
              <w:left w:w="28" w:type="dxa"/>
              <w:right w:w="28" w:type="dxa"/>
            </w:tcMar>
            <w:vAlign w:val="center"/>
          </w:tcPr>
          <w:p w14:paraId="3DB69DC6">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53BC97A6">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276" w:type="dxa"/>
            <w:noWrap w:val="0"/>
            <w:tcMar>
              <w:left w:w="28" w:type="dxa"/>
              <w:right w:w="28" w:type="dxa"/>
            </w:tcMar>
            <w:vAlign w:val="center"/>
          </w:tcPr>
          <w:p w14:paraId="12C08E08">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7B16EBF7">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4A8850A8">
            <w:pPr>
              <w:pStyle w:val="37"/>
              <w:spacing w:beforeLines="0" w:afterLines="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701" w:type="dxa"/>
            <w:noWrap w:val="0"/>
            <w:tcMar>
              <w:left w:w="28" w:type="dxa"/>
              <w:right w:w="28" w:type="dxa"/>
            </w:tcMar>
            <w:vAlign w:val="center"/>
          </w:tcPr>
          <w:p w14:paraId="37E6E744">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6F1AC2F4">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41D62B6D">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0481B247">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7A947471">
            <w:pPr>
              <w:pStyle w:val="37"/>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677204DB">
            <w:pPr>
              <w:pStyle w:val="37"/>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704" w:type="dxa"/>
            <w:noWrap w:val="0"/>
            <w:tcMar>
              <w:left w:w="28" w:type="dxa"/>
              <w:right w:w="28" w:type="dxa"/>
            </w:tcMar>
            <w:vAlign w:val="center"/>
          </w:tcPr>
          <w:p w14:paraId="702E294C">
            <w:pPr>
              <w:pStyle w:val="37"/>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00A99B70">
            <w:pPr>
              <w:pStyle w:val="37"/>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081" w:type="dxa"/>
            <w:noWrap w:val="0"/>
            <w:tcMar>
              <w:left w:w="28" w:type="dxa"/>
              <w:right w:w="28" w:type="dxa"/>
            </w:tcMar>
            <w:vAlign w:val="center"/>
          </w:tcPr>
          <w:p w14:paraId="50A0206E">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52605854">
            <w:pPr>
              <w:pStyle w:val="37"/>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311B6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5EEF917C">
            <w:pPr>
              <w:pStyle w:val="37"/>
              <w:spacing w:beforeLines="0" w:afterLines="0" w:line="240" w:lineRule="auto"/>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废气</w:t>
            </w:r>
          </w:p>
        </w:tc>
        <w:tc>
          <w:tcPr>
            <w:tcW w:w="1417" w:type="dxa"/>
            <w:noWrap w:val="0"/>
            <w:vAlign w:val="center"/>
          </w:tcPr>
          <w:p w14:paraId="53B9E217">
            <w:pPr>
              <w:pStyle w:val="37"/>
              <w:spacing w:beforeLines="0" w:afterLines="0" w:line="240" w:lineRule="auto"/>
              <w:rPr>
                <w:rFonts w:hint="default" w:ascii="Times New Roman" w:hAnsi="Times New Roman" w:eastAsia="宋体" w:cs="Times New Roman"/>
                <w:snapToGrid w:val="0"/>
                <w:color w:val="auto"/>
                <w:kern w:val="21"/>
                <w:sz w:val="18"/>
                <w:szCs w:val="18"/>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701" w:type="dxa"/>
            <w:noWrap w:val="0"/>
            <w:vAlign w:val="center"/>
          </w:tcPr>
          <w:p w14:paraId="04C334A0">
            <w:pPr>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1.251</w:t>
            </w:r>
          </w:p>
        </w:tc>
        <w:tc>
          <w:tcPr>
            <w:tcW w:w="1276" w:type="dxa"/>
            <w:noWrap w:val="0"/>
            <w:vAlign w:val="center"/>
          </w:tcPr>
          <w:p w14:paraId="27BBB680">
            <w:pPr>
              <w:spacing w:line="240" w:lineRule="auto"/>
              <w:ind w:firstLine="0" w:firstLineChars="0"/>
              <w:jc w:val="center"/>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1.251</w:t>
            </w:r>
          </w:p>
        </w:tc>
        <w:tc>
          <w:tcPr>
            <w:tcW w:w="1701" w:type="dxa"/>
            <w:noWrap w:val="0"/>
            <w:vAlign w:val="center"/>
          </w:tcPr>
          <w:p w14:paraId="588933DC">
            <w:pPr>
              <w:pStyle w:val="37"/>
              <w:spacing w:beforeLines="0" w:afterLines="0" w:line="240" w:lineRule="auto"/>
              <w:rPr>
                <w:rFonts w:hint="default" w:ascii="Times New Roman" w:hAnsi="Times New Roman" w:cs="Times New Roman"/>
                <w:snapToGrid w:val="0"/>
                <w:color w:val="auto"/>
                <w:kern w:val="21"/>
                <w:sz w:val="21"/>
                <w:szCs w:val="21"/>
                <w:highlight w:val="none"/>
              </w:rPr>
            </w:pPr>
          </w:p>
        </w:tc>
        <w:tc>
          <w:tcPr>
            <w:tcW w:w="1559" w:type="dxa"/>
            <w:noWrap w:val="0"/>
            <w:vAlign w:val="center"/>
          </w:tcPr>
          <w:p w14:paraId="40E7312A">
            <w:pPr>
              <w:spacing w:line="240" w:lineRule="auto"/>
              <w:ind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2.025</w:t>
            </w:r>
          </w:p>
        </w:tc>
        <w:tc>
          <w:tcPr>
            <w:tcW w:w="1761" w:type="dxa"/>
            <w:noWrap w:val="0"/>
            <w:vAlign w:val="center"/>
          </w:tcPr>
          <w:p w14:paraId="05C6ACBF">
            <w:pPr>
              <w:keepNext w:val="0"/>
              <w:keepLines w:val="0"/>
              <w:pageBreakBefore w:val="0"/>
              <w:kinsoku/>
              <w:wordWrap/>
              <w:overflowPunct/>
              <w:autoSpaceDE/>
              <w:autoSpaceDN/>
              <w:bidi w:val="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1.251</w:t>
            </w:r>
          </w:p>
        </w:tc>
        <w:tc>
          <w:tcPr>
            <w:tcW w:w="1704" w:type="dxa"/>
            <w:noWrap w:val="0"/>
            <w:vAlign w:val="center"/>
          </w:tcPr>
          <w:p w14:paraId="7CEDF989">
            <w:pPr>
              <w:spacing w:line="240" w:lineRule="auto"/>
              <w:ind w:firstLine="0" w:firstLineChars="0"/>
              <w:jc w:val="center"/>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bCs/>
                <w:color w:val="auto"/>
                <w:sz w:val="21"/>
                <w:szCs w:val="21"/>
                <w:highlight w:val="none"/>
                <w:lang w:val="en-US" w:eastAsia="zh-CN"/>
              </w:rPr>
              <w:t>2.025</w:t>
            </w:r>
          </w:p>
        </w:tc>
        <w:tc>
          <w:tcPr>
            <w:tcW w:w="1081" w:type="dxa"/>
            <w:noWrap w:val="0"/>
            <w:vAlign w:val="center"/>
          </w:tcPr>
          <w:p w14:paraId="0CE55093">
            <w:pPr>
              <w:spacing w:line="240" w:lineRule="auto"/>
              <w:ind w:firstLine="0" w:firstLineChars="0"/>
              <w:jc w:val="center"/>
              <w:rPr>
                <w:rFonts w:hint="default" w:ascii="Times New Roman" w:hAnsi="Times New Roman" w:cs="Times New Roman"/>
                <w:snapToGrid w:val="0"/>
                <w:color w:val="auto"/>
                <w:kern w:val="21"/>
                <w:sz w:val="21"/>
                <w:szCs w:val="21"/>
                <w:highlight w:val="none"/>
                <w:lang w:val="en-US"/>
              </w:rPr>
            </w:pPr>
            <w:r>
              <w:rPr>
                <w:rFonts w:hint="default" w:ascii="Times New Roman" w:hAnsi="Times New Roman" w:cs="Times New Roman"/>
                <w:bCs/>
                <w:color w:val="auto"/>
                <w:sz w:val="21"/>
                <w:szCs w:val="21"/>
                <w:highlight w:val="none"/>
                <w:lang w:val="en-US" w:eastAsia="zh-CN"/>
              </w:rPr>
              <w:t>+2.11</w:t>
            </w:r>
          </w:p>
        </w:tc>
      </w:tr>
      <w:tr w14:paraId="4911B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88" w:type="dxa"/>
            <w:noWrap w:val="0"/>
            <w:vAlign w:val="center"/>
          </w:tcPr>
          <w:p w14:paraId="6FBF19A2">
            <w:pPr>
              <w:pStyle w:val="37"/>
              <w:spacing w:beforeLines="0" w:afterLines="0" w:line="240" w:lineRule="auto"/>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废水</w:t>
            </w:r>
          </w:p>
        </w:tc>
        <w:tc>
          <w:tcPr>
            <w:tcW w:w="1417" w:type="dxa"/>
            <w:noWrap w:val="0"/>
            <w:vAlign w:val="center"/>
          </w:tcPr>
          <w:p w14:paraId="5CC16A22">
            <w:pPr>
              <w:pStyle w:val="37"/>
              <w:tabs>
                <w:tab w:val="left" w:pos="512"/>
              </w:tabs>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rPr>
              <w:t>生活污水</w:t>
            </w:r>
          </w:p>
        </w:tc>
        <w:tc>
          <w:tcPr>
            <w:tcW w:w="1701" w:type="dxa"/>
            <w:noWrap w:val="0"/>
            <w:vAlign w:val="center"/>
          </w:tcPr>
          <w:p w14:paraId="393FBD17">
            <w:pPr>
              <w:pStyle w:val="37"/>
              <w:keepNext w:val="0"/>
              <w:keepLines w:val="0"/>
              <w:pageBreakBefore w:val="0"/>
              <w:kinsoku/>
              <w:wordWrap/>
              <w:overflowPunct/>
              <w:autoSpaceDE/>
              <w:autoSpaceDN/>
              <w:bidi w:val="0"/>
              <w:adjustRightInd/>
              <w:spacing w:beforeLines="0" w:afterLines="0"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342</w:t>
            </w:r>
          </w:p>
        </w:tc>
        <w:tc>
          <w:tcPr>
            <w:tcW w:w="1276" w:type="dxa"/>
            <w:noWrap w:val="0"/>
            <w:vAlign w:val="center"/>
          </w:tcPr>
          <w:p w14:paraId="5EDADB85">
            <w:pPr>
              <w:pStyle w:val="37"/>
              <w:keepNext w:val="0"/>
              <w:keepLines w:val="0"/>
              <w:pageBreakBefore w:val="0"/>
              <w:kinsoku/>
              <w:wordWrap/>
              <w:overflowPunct/>
              <w:autoSpaceDE/>
              <w:autoSpaceDN/>
              <w:bidi w:val="0"/>
              <w:adjustRightInd/>
              <w:spacing w:beforeLines="0" w:afterLines="0" w:line="240" w:lineRule="auto"/>
              <w:ind w:left="420" w:leftChars="0" w:hanging="420" w:hangingChars="200"/>
              <w:textAlignment w:val="auto"/>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342</w:t>
            </w:r>
          </w:p>
        </w:tc>
        <w:tc>
          <w:tcPr>
            <w:tcW w:w="1701" w:type="dxa"/>
            <w:noWrap w:val="0"/>
            <w:vAlign w:val="center"/>
          </w:tcPr>
          <w:p w14:paraId="01491540">
            <w:pPr>
              <w:pStyle w:val="37"/>
              <w:spacing w:beforeLines="0" w:afterLines="0" w:line="240" w:lineRule="auto"/>
              <w:rPr>
                <w:rFonts w:hint="default" w:ascii="Times New Roman" w:hAnsi="Times New Roman" w:cs="Times New Roman"/>
                <w:snapToGrid w:val="0"/>
                <w:color w:val="auto"/>
                <w:kern w:val="21"/>
                <w:sz w:val="21"/>
                <w:szCs w:val="21"/>
                <w:highlight w:val="none"/>
              </w:rPr>
            </w:pPr>
          </w:p>
        </w:tc>
        <w:tc>
          <w:tcPr>
            <w:tcW w:w="1559" w:type="dxa"/>
            <w:noWrap w:val="0"/>
            <w:vAlign w:val="center"/>
          </w:tcPr>
          <w:p w14:paraId="7DC3B459">
            <w:pPr>
              <w:keepNext w:val="0"/>
              <w:keepLines w:val="0"/>
              <w:pageBreakBefore w:val="0"/>
              <w:kinsoku/>
              <w:wordWrap/>
              <w:overflowPunct/>
              <w:autoSpaceDE/>
              <w:autoSpaceDN/>
              <w:bidi w:val="0"/>
              <w:adjustRightInd w:val="0"/>
              <w:snapToGrid w:val="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0</w:t>
            </w:r>
          </w:p>
        </w:tc>
        <w:tc>
          <w:tcPr>
            <w:tcW w:w="1761" w:type="dxa"/>
            <w:noWrap w:val="0"/>
            <w:vAlign w:val="center"/>
          </w:tcPr>
          <w:p w14:paraId="52730E65">
            <w:pPr>
              <w:keepNext w:val="0"/>
              <w:keepLines w:val="0"/>
              <w:pageBreakBefore w:val="0"/>
              <w:kinsoku/>
              <w:wordWrap/>
              <w:overflowPunct/>
              <w:autoSpaceDE/>
              <w:autoSpaceDN/>
              <w:bidi w:val="0"/>
              <w:jc w:val="center"/>
              <w:textAlignment w:val="auto"/>
              <w:rPr>
                <w:rFonts w:hint="default" w:ascii="Times New Roman" w:hAnsi="Times New Roman" w:cs="Times New Roman"/>
                <w:snapToGrid w:val="0"/>
                <w:color w:val="auto"/>
                <w:kern w:val="21"/>
                <w:sz w:val="21"/>
                <w:szCs w:val="21"/>
                <w:highlight w:val="none"/>
              </w:rPr>
            </w:pPr>
          </w:p>
        </w:tc>
        <w:tc>
          <w:tcPr>
            <w:tcW w:w="1704" w:type="dxa"/>
            <w:noWrap w:val="0"/>
            <w:vAlign w:val="center"/>
          </w:tcPr>
          <w:p w14:paraId="55EB8202">
            <w:pPr>
              <w:keepNext w:val="0"/>
              <w:keepLines w:val="0"/>
              <w:pageBreakBefore w:val="0"/>
              <w:kinsoku/>
              <w:wordWrap/>
              <w:overflowPunct/>
              <w:autoSpaceDE/>
              <w:autoSpaceDN/>
              <w:bidi w:val="0"/>
              <w:adjustRightInd/>
              <w:spacing w:beforeLines="0" w:afterLines="0" w:line="240" w:lineRule="auto"/>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342</w:t>
            </w:r>
          </w:p>
        </w:tc>
        <w:tc>
          <w:tcPr>
            <w:tcW w:w="1081" w:type="dxa"/>
            <w:shd w:val="clear" w:color="auto" w:fill="auto"/>
            <w:noWrap w:val="0"/>
            <w:vAlign w:val="center"/>
          </w:tcPr>
          <w:p w14:paraId="1FA904C9">
            <w:pPr>
              <w:keepNext w:val="0"/>
              <w:keepLines w:val="0"/>
              <w:pageBreakBefore w:val="0"/>
              <w:kinsoku/>
              <w:wordWrap/>
              <w:overflowPunct/>
              <w:autoSpaceDE/>
              <w:autoSpaceDN/>
              <w:bidi w:val="0"/>
              <w:adjustRightInd w:val="0"/>
              <w:snapToGrid w:val="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rPr>
              <w:t>0</w:t>
            </w:r>
          </w:p>
        </w:tc>
      </w:tr>
      <w:tr w14:paraId="02429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CE3C5B0">
            <w:pPr>
              <w:pStyle w:val="37"/>
              <w:spacing w:beforeLines="0" w:afterLines="0" w:line="240" w:lineRule="auto"/>
              <w:rPr>
                <w:rFonts w:hint="default" w:ascii="Times New Roman" w:hAnsi="Times New Roman" w:cs="Times New Roman"/>
                <w:snapToGrid w:val="0"/>
                <w:color w:val="auto"/>
                <w:kern w:val="21"/>
                <w:sz w:val="21"/>
                <w:szCs w:val="21"/>
                <w:highlight w:val="none"/>
              </w:rPr>
            </w:pPr>
            <w:r>
              <w:rPr>
                <w:rFonts w:hint="default" w:ascii="Times New Roman" w:hAnsi="Times New Roman" w:cs="Times New Roman"/>
                <w:snapToGrid w:val="0"/>
                <w:color w:val="auto"/>
                <w:kern w:val="21"/>
                <w:sz w:val="21"/>
                <w:szCs w:val="21"/>
                <w:highlight w:val="none"/>
              </w:rPr>
              <w:t>固体废物</w:t>
            </w:r>
          </w:p>
        </w:tc>
        <w:tc>
          <w:tcPr>
            <w:tcW w:w="1417" w:type="dxa"/>
            <w:noWrap w:val="0"/>
            <w:vAlign w:val="center"/>
          </w:tcPr>
          <w:p w14:paraId="6955A37F">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rPr>
              <w:t>废铁屑</w:t>
            </w:r>
          </w:p>
        </w:tc>
        <w:tc>
          <w:tcPr>
            <w:tcW w:w="1701" w:type="dxa"/>
            <w:shd w:val="clear" w:color="auto" w:fill="auto"/>
            <w:noWrap w:val="0"/>
            <w:vAlign w:val="center"/>
          </w:tcPr>
          <w:p w14:paraId="7E201D45">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w:t>
            </w:r>
          </w:p>
        </w:tc>
        <w:tc>
          <w:tcPr>
            <w:tcW w:w="1276" w:type="dxa"/>
            <w:shd w:val="clear" w:color="auto" w:fill="auto"/>
            <w:noWrap w:val="0"/>
            <w:vAlign w:val="center"/>
          </w:tcPr>
          <w:p w14:paraId="4C88E38D">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w:t>
            </w:r>
          </w:p>
        </w:tc>
        <w:tc>
          <w:tcPr>
            <w:tcW w:w="1701" w:type="dxa"/>
            <w:shd w:val="clear" w:color="auto" w:fill="auto"/>
            <w:noWrap w:val="0"/>
            <w:vAlign w:val="center"/>
          </w:tcPr>
          <w:p w14:paraId="7EFAF1A9">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23C478E7">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lang w:val="en-US" w:eastAsia="zh-CN"/>
              </w:rPr>
              <w:t>0</w:t>
            </w:r>
          </w:p>
        </w:tc>
        <w:tc>
          <w:tcPr>
            <w:tcW w:w="1761" w:type="dxa"/>
            <w:noWrap w:val="0"/>
            <w:vAlign w:val="center"/>
          </w:tcPr>
          <w:p w14:paraId="4BA8B969">
            <w:pPr>
              <w:keepNext w:val="0"/>
              <w:keepLines w:val="0"/>
              <w:pageBreakBefore w:val="0"/>
              <w:kinsoku/>
              <w:wordWrap/>
              <w:overflowPunct/>
              <w:autoSpaceDE/>
              <w:autoSpaceDN/>
              <w:bidi w:val="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7EB84455">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0.1</w:t>
            </w:r>
          </w:p>
        </w:tc>
        <w:tc>
          <w:tcPr>
            <w:tcW w:w="1081" w:type="dxa"/>
            <w:shd w:val="clear" w:color="auto" w:fill="auto"/>
            <w:noWrap w:val="0"/>
            <w:vAlign w:val="center"/>
          </w:tcPr>
          <w:p w14:paraId="58E45F64">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26982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7DED4057">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72F94953">
            <w:pPr>
              <w:pStyle w:val="37"/>
              <w:keepNext w:val="0"/>
              <w:keepLines w:val="0"/>
              <w:pageBreakBefore w:val="0"/>
              <w:widowControl w:val="0"/>
              <w:kinsoku/>
              <w:wordWrap/>
              <w:overflowPunct/>
              <w:topLinePunct w:val="0"/>
              <w:bidi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color w:val="auto"/>
                <w:sz w:val="21"/>
                <w:szCs w:val="21"/>
                <w:highlight w:val="none"/>
              </w:rPr>
              <w:t>石块和非塑料物质</w:t>
            </w:r>
          </w:p>
        </w:tc>
        <w:tc>
          <w:tcPr>
            <w:tcW w:w="1701" w:type="dxa"/>
            <w:shd w:val="clear" w:color="auto" w:fill="auto"/>
            <w:noWrap w:val="0"/>
            <w:vAlign w:val="center"/>
          </w:tcPr>
          <w:p w14:paraId="296697C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6.891</w:t>
            </w:r>
          </w:p>
        </w:tc>
        <w:tc>
          <w:tcPr>
            <w:tcW w:w="1276" w:type="dxa"/>
            <w:shd w:val="clear" w:color="auto" w:fill="auto"/>
            <w:noWrap w:val="0"/>
            <w:vAlign w:val="center"/>
          </w:tcPr>
          <w:p w14:paraId="4B1CAFC8">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6.891</w:t>
            </w:r>
          </w:p>
        </w:tc>
        <w:tc>
          <w:tcPr>
            <w:tcW w:w="1701" w:type="dxa"/>
            <w:shd w:val="clear" w:color="auto" w:fill="auto"/>
            <w:noWrap w:val="0"/>
            <w:vAlign w:val="center"/>
          </w:tcPr>
          <w:p w14:paraId="250ECA30">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1B1C1F4F">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761" w:type="dxa"/>
            <w:noWrap w:val="0"/>
            <w:vAlign w:val="center"/>
          </w:tcPr>
          <w:p w14:paraId="7C4A2C8D">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079154F6">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6.891</w:t>
            </w:r>
          </w:p>
        </w:tc>
        <w:tc>
          <w:tcPr>
            <w:tcW w:w="1081" w:type="dxa"/>
            <w:shd w:val="clear" w:color="auto" w:fill="auto"/>
            <w:noWrap w:val="0"/>
            <w:vAlign w:val="center"/>
          </w:tcPr>
          <w:p w14:paraId="5F784BAF">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7125E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2F96AC56">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7B161121">
            <w:pPr>
              <w:pStyle w:val="37"/>
              <w:keepNext w:val="0"/>
              <w:keepLines w:val="0"/>
              <w:pageBreakBefore w:val="0"/>
              <w:widowControl w:val="0"/>
              <w:kinsoku/>
              <w:wordWrap/>
              <w:overflowPunct/>
              <w:topLinePunct w:val="0"/>
              <w:bidi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color w:val="auto"/>
                <w:sz w:val="21"/>
                <w:szCs w:val="21"/>
                <w:highlight w:val="none"/>
              </w:rPr>
              <w:t>生活垃圾</w:t>
            </w:r>
          </w:p>
        </w:tc>
        <w:tc>
          <w:tcPr>
            <w:tcW w:w="1701" w:type="dxa"/>
            <w:shd w:val="clear" w:color="auto" w:fill="auto"/>
            <w:noWrap w:val="0"/>
            <w:vAlign w:val="center"/>
          </w:tcPr>
          <w:p w14:paraId="4202B9FC">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5.25</w:t>
            </w:r>
          </w:p>
        </w:tc>
        <w:tc>
          <w:tcPr>
            <w:tcW w:w="1276" w:type="dxa"/>
            <w:shd w:val="clear" w:color="auto" w:fill="auto"/>
            <w:noWrap w:val="0"/>
            <w:vAlign w:val="center"/>
          </w:tcPr>
          <w:p w14:paraId="4403E625">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5.25</w:t>
            </w:r>
          </w:p>
        </w:tc>
        <w:tc>
          <w:tcPr>
            <w:tcW w:w="1701" w:type="dxa"/>
            <w:shd w:val="clear" w:color="auto" w:fill="auto"/>
            <w:noWrap w:val="0"/>
            <w:vAlign w:val="center"/>
          </w:tcPr>
          <w:p w14:paraId="7CB57DD4">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22425552">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761" w:type="dxa"/>
            <w:noWrap w:val="0"/>
            <w:vAlign w:val="center"/>
          </w:tcPr>
          <w:p w14:paraId="42602B05">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387A6FB1">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5.25</w:t>
            </w:r>
          </w:p>
        </w:tc>
        <w:tc>
          <w:tcPr>
            <w:tcW w:w="1081" w:type="dxa"/>
            <w:shd w:val="clear" w:color="auto" w:fill="auto"/>
            <w:noWrap w:val="0"/>
            <w:vAlign w:val="center"/>
          </w:tcPr>
          <w:p w14:paraId="796258BD">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05F81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EE698C2">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55F13945">
            <w:pPr>
              <w:pStyle w:val="37"/>
              <w:keepNext w:val="0"/>
              <w:keepLines w:val="0"/>
              <w:pageBreakBefore w:val="0"/>
              <w:widowControl w:val="0"/>
              <w:kinsoku/>
              <w:wordWrap/>
              <w:overflowPunct/>
              <w:topLinePunct w:val="0"/>
              <w:bidi w:val="0"/>
              <w:spacing w:beforeLines="0" w:afterLines="0" w:line="240" w:lineRule="auto"/>
              <w:ind w:left="0" w:leftChars="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color w:val="auto"/>
                <w:sz w:val="21"/>
                <w:szCs w:val="21"/>
                <w:highlight w:val="none"/>
              </w:rPr>
              <w:t>沉淀池污泥</w:t>
            </w:r>
          </w:p>
        </w:tc>
        <w:tc>
          <w:tcPr>
            <w:tcW w:w="1701" w:type="dxa"/>
            <w:shd w:val="clear" w:color="auto" w:fill="auto"/>
            <w:noWrap w:val="0"/>
            <w:vAlign w:val="center"/>
          </w:tcPr>
          <w:p w14:paraId="222C9FF3">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1276" w:type="dxa"/>
            <w:shd w:val="clear" w:color="auto" w:fill="auto"/>
            <w:noWrap w:val="0"/>
            <w:vAlign w:val="center"/>
          </w:tcPr>
          <w:p w14:paraId="1BE281CE">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1701" w:type="dxa"/>
            <w:shd w:val="clear" w:color="auto" w:fill="auto"/>
            <w:noWrap w:val="0"/>
            <w:vAlign w:val="center"/>
          </w:tcPr>
          <w:p w14:paraId="226D6914">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24BD7421">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1761" w:type="dxa"/>
            <w:noWrap w:val="0"/>
            <w:vAlign w:val="center"/>
          </w:tcPr>
          <w:p w14:paraId="2E92DFD0">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6D473472">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1081" w:type="dxa"/>
            <w:shd w:val="clear" w:color="auto" w:fill="auto"/>
            <w:noWrap w:val="0"/>
            <w:vAlign w:val="center"/>
          </w:tcPr>
          <w:p w14:paraId="49279CC9">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r>
      <w:tr w14:paraId="79981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11E3AD5B">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1F2C4517">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color w:val="auto"/>
                <w:sz w:val="21"/>
                <w:szCs w:val="21"/>
                <w:highlight w:val="none"/>
              </w:rPr>
              <w:t>废弃活性炭</w:t>
            </w:r>
          </w:p>
        </w:tc>
        <w:tc>
          <w:tcPr>
            <w:tcW w:w="1701" w:type="dxa"/>
            <w:shd w:val="clear" w:color="auto" w:fill="auto"/>
            <w:noWrap w:val="0"/>
            <w:vAlign w:val="center"/>
          </w:tcPr>
          <w:p w14:paraId="2971886F">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w:t>
            </w:r>
          </w:p>
        </w:tc>
        <w:tc>
          <w:tcPr>
            <w:tcW w:w="1276" w:type="dxa"/>
            <w:shd w:val="clear" w:color="auto" w:fill="auto"/>
            <w:noWrap w:val="0"/>
            <w:vAlign w:val="center"/>
          </w:tcPr>
          <w:p w14:paraId="6557EB91">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w:t>
            </w:r>
          </w:p>
        </w:tc>
        <w:tc>
          <w:tcPr>
            <w:tcW w:w="1701" w:type="dxa"/>
            <w:shd w:val="clear" w:color="auto" w:fill="auto"/>
            <w:noWrap w:val="0"/>
            <w:vAlign w:val="center"/>
          </w:tcPr>
          <w:p w14:paraId="53309BE2">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1AA80B8E">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0.27</w:t>
            </w:r>
          </w:p>
        </w:tc>
        <w:tc>
          <w:tcPr>
            <w:tcW w:w="1761" w:type="dxa"/>
            <w:noWrap w:val="0"/>
            <w:vAlign w:val="center"/>
          </w:tcPr>
          <w:p w14:paraId="44D24AA7">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50433DC1">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2.77</w:t>
            </w:r>
          </w:p>
        </w:tc>
        <w:tc>
          <w:tcPr>
            <w:tcW w:w="1081" w:type="dxa"/>
            <w:shd w:val="clear" w:color="auto" w:fill="auto"/>
            <w:noWrap w:val="0"/>
            <w:vAlign w:val="center"/>
          </w:tcPr>
          <w:p w14:paraId="7A0401B4">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+0.27</w:t>
            </w:r>
          </w:p>
        </w:tc>
      </w:tr>
      <w:tr w14:paraId="5C9D3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2D395669">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45F5BADC">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废</w:t>
            </w:r>
            <w:r>
              <w:rPr>
                <w:rFonts w:hint="default" w:ascii="Times New Roman" w:hAnsi="Times New Roman" w:cs="Times New Roman"/>
                <w:color w:val="auto"/>
                <w:sz w:val="21"/>
                <w:szCs w:val="21"/>
                <w:highlight w:val="none"/>
                <w:lang w:val="en-US" w:eastAsia="zh-CN"/>
              </w:rPr>
              <w:t>机油</w:t>
            </w:r>
          </w:p>
        </w:tc>
        <w:tc>
          <w:tcPr>
            <w:tcW w:w="1701" w:type="dxa"/>
            <w:shd w:val="clear" w:color="auto" w:fill="auto"/>
            <w:noWrap w:val="0"/>
            <w:vAlign w:val="center"/>
          </w:tcPr>
          <w:p w14:paraId="222586FB">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c>
          <w:tcPr>
            <w:tcW w:w="1276" w:type="dxa"/>
            <w:shd w:val="clear" w:color="auto" w:fill="auto"/>
            <w:noWrap w:val="0"/>
            <w:vAlign w:val="center"/>
          </w:tcPr>
          <w:p w14:paraId="2B3EE9C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c>
          <w:tcPr>
            <w:tcW w:w="1701" w:type="dxa"/>
            <w:shd w:val="clear" w:color="auto" w:fill="auto"/>
            <w:noWrap w:val="0"/>
            <w:vAlign w:val="center"/>
          </w:tcPr>
          <w:p w14:paraId="12AC0AB4">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65E5DC92">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rPr>
              <w:t>0.05</w:t>
            </w:r>
          </w:p>
        </w:tc>
        <w:tc>
          <w:tcPr>
            <w:tcW w:w="1761" w:type="dxa"/>
            <w:noWrap w:val="0"/>
            <w:vAlign w:val="center"/>
          </w:tcPr>
          <w:p w14:paraId="6F487E31">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24828F42">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rPr>
              <w:t>0.05</w:t>
            </w:r>
          </w:p>
        </w:tc>
        <w:tc>
          <w:tcPr>
            <w:tcW w:w="1081" w:type="dxa"/>
            <w:shd w:val="clear" w:color="auto" w:fill="auto"/>
            <w:noWrap w:val="0"/>
            <w:vAlign w:val="center"/>
          </w:tcPr>
          <w:p w14:paraId="3469BFEE">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0.05</w:t>
            </w:r>
          </w:p>
        </w:tc>
      </w:tr>
      <w:tr w14:paraId="0D639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16D8F8E2">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7F06B73B">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废催化剂</w:t>
            </w:r>
          </w:p>
        </w:tc>
        <w:tc>
          <w:tcPr>
            <w:tcW w:w="1701" w:type="dxa"/>
            <w:shd w:val="clear" w:color="auto" w:fill="auto"/>
            <w:noWrap w:val="0"/>
            <w:vAlign w:val="center"/>
          </w:tcPr>
          <w:p w14:paraId="01A4C888">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c>
          <w:tcPr>
            <w:tcW w:w="1276" w:type="dxa"/>
            <w:shd w:val="clear" w:color="auto" w:fill="auto"/>
            <w:noWrap w:val="0"/>
            <w:vAlign w:val="center"/>
          </w:tcPr>
          <w:p w14:paraId="13FEF481">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c>
          <w:tcPr>
            <w:tcW w:w="1701" w:type="dxa"/>
            <w:shd w:val="clear" w:color="auto" w:fill="auto"/>
            <w:noWrap w:val="0"/>
            <w:vAlign w:val="center"/>
          </w:tcPr>
          <w:p w14:paraId="73D8A707">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559" w:type="dxa"/>
            <w:noWrap w:val="0"/>
            <w:vAlign w:val="center"/>
          </w:tcPr>
          <w:p w14:paraId="59BB1878">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 w:val="21"/>
                <w:szCs w:val="21"/>
                <w:highlight w:val="none"/>
                <w:lang w:val="en-US" w:eastAsia="zh-CN"/>
              </w:rPr>
              <w:t>0.25</w:t>
            </w:r>
          </w:p>
        </w:tc>
        <w:tc>
          <w:tcPr>
            <w:tcW w:w="1761" w:type="dxa"/>
            <w:noWrap w:val="0"/>
            <w:vAlign w:val="center"/>
          </w:tcPr>
          <w:p w14:paraId="2D506397">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6030519A">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0.25</w:t>
            </w:r>
          </w:p>
        </w:tc>
        <w:tc>
          <w:tcPr>
            <w:tcW w:w="1081" w:type="dxa"/>
            <w:shd w:val="clear" w:color="auto" w:fill="auto"/>
            <w:noWrap w:val="0"/>
            <w:vAlign w:val="center"/>
          </w:tcPr>
          <w:p w14:paraId="3C8E4C7E">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+0.25</w:t>
            </w:r>
          </w:p>
        </w:tc>
      </w:tr>
      <w:tr w14:paraId="1E54B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2E186B84">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148C31B3">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不合格产品</w:t>
            </w:r>
          </w:p>
        </w:tc>
        <w:tc>
          <w:tcPr>
            <w:tcW w:w="1701" w:type="dxa"/>
            <w:shd w:val="clear" w:color="auto" w:fill="auto"/>
            <w:noWrap w:val="0"/>
            <w:vAlign w:val="center"/>
          </w:tcPr>
          <w:p w14:paraId="363CDB1A">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8.4</w:t>
            </w:r>
          </w:p>
        </w:tc>
        <w:tc>
          <w:tcPr>
            <w:tcW w:w="1276" w:type="dxa"/>
            <w:shd w:val="clear" w:color="auto" w:fill="auto"/>
            <w:noWrap w:val="0"/>
            <w:vAlign w:val="center"/>
          </w:tcPr>
          <w:p w14:paraId="6813C0D6">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8.4</w:t>
            </w:r>
          </w:p>
        </w:tc>
        <w:tc>
          <w:tcPr>
            <w:tcW w:w="1701" w:type="dxa"/>
            <w:shd w:val="clear" w:color="auto" w:fill="auto"/>
            <w:noWrap w:val="0"/>
            <w:vAlign w:val="center"/>
          </w:tcPr>
          <w:p w14:paraId="0A005F3B">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p>
        </w:tc>
        <w:tc>
          <w:tcPr>
            <w:tcW w:w="1559" w:type="dxa"/>
            <w:noWrap w:val="0"/>
            <w:vAlign w:val="center"/>
          </w:tcPr>
          <w:p w14:paraId="191B2D38">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761" w:type="dxa"/>
            <w:noWrap w:val="0"/>
            <w:vAlign w:val="center"/>
          </w:tcPr>
          <w:p w14:paraId="08F65765">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28474E5D">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13.4</w:t>
            </w:r>
          </w:p>
        </w:tc>
        <w:tc>
          <w:tcPr>
            <w:tcW w:w="1081" w:type="dxa"/>
            <w:shd w:val="clear" w:color="auto" w:fill="auto"/>
            <w:noWrap w:val="0"/>
            <w:vAlign w:val="center"/>
          </w:tcPr>
          <w:p w14:paraId="22060C2E">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w:t>
            </w:r>
          </w:p>
        </w:tc>
      </w:tr>
      <w:tr w14:paraId="34A0C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392F801">
            <w:pPr>
              <w:pStyle w:val="37"/>
              <w:spacing w:beforeLines="0" w:afterLines="0" w:line="240" w:lineRule="auto"/>
              <w:rPr>
                <w:rFonts w:hint="default" w:ascii="Times New Roman" w:hAnsi="Times New Roman" w:cs="Times New Roman"/>
                <w:snapToGrid w:val="0"/>
                <w:color w:val="auto"/>
                <w:kern w:val="21"/>
                <w:szCs w:val="21"/>
                <w:highlight w:val="none"/>
              </w:rPr>
            </w:pPr>
          </w:p>
        </w:tc>
        <w:tc>
          <w:tcPr>
            <w:tcW w:w="1417" w:type="dxa"/>
            <w:noWrap w:val="0"/>
            <w:vAlign w:val="center"/>
          </w:tcPr>
          <w:p w14:paraId="405E0806">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废包装袋</w:t>
            </w:r>
          </w:p>
        </w:tc>
        <w:tc>
          <w:tcPr>
            <w:tcW w:w="1701" w:type="dxa"/>
            <w:shd w:val="clear" w:color="auto" w:fill="auto"/>
            <w:noWrap w:val="0"/>
            <w:vAlign w:val="center"/>
          </w:tcPr>
          <w:p w14:paraId="12BD776B">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1.5</w:t>
            </w:r>
          </w:p>
        </w:tc>
        <w:tc>
          <w:tcPr>
            <w:tcW w:w="1276" w:type="dxa"/>
            <w:shd w:val="clear" w:color="auto" w:fill="auto"/>
            <w:noWrap w:val="0"/>
            <w:vAlign w:val="center"/>
          </w:tcPr>
          <w:p w14:paraId="0004624D">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1.5</w:t>
            </w:r>
          </w:p>
        </w:tc>
        <w:tc>
          <w:tcPr>
            <w:tcW w:w="1701" w:type="dxa"/>
            <w:shd w:val="clear" w:color="auto" w:fill="auto"/>
            <w:noWrap w:val="0"/>
            <w:vAlign w:val="center"/>
          </w:tcPr>
          <w:p w14:paraId="0201D6F4">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p>
        </w:tc>
        <w:tc>
          <w:tcPr>
            <w:tcW w:w="1559" w:type="dxa"/>
            <w:noWrap w:val="0"/>
            <w:vAlign w:val="center"/>
          </w:tcPr>
          <w:p w14:paraId="18334E53">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761" w:type="dxa"/>
            <w:noWrap w:val="0"/>
            <w:vAlign w:val="center"/>
          </w:tcPr>
          <w:p w14:paraId="675BCFB7">
            <w:pPr>
              <w:keepNext w:val="0"/>
              <w:keepLines w:val="0"/>
              <w:pageBreakBefore w:val="0"/>
              <w:kinsoku/>
              <w:wordWrap/>
              <w:overflowPunct/>
              <w:topLinePunct w:val="0"/>
              <w:bidi w:val="0"/>
              <w:spacing w:line="240" w:lineRule="auto"/>
              <w:ind w:right="-105" w:rightChars="-50"/>
              <w:jc w:val="center"/>
              <w:textAlignment w:val="auto"/>
              <w:rPr>
                <w:rFonts w:hint="default" w:ascii="Times New Roman" w:hAnsi="Times New Roman" w:cs="Times New Roman"/>
                <w:snapToGrid w:val="0"/>
                <w:color w:val="auto"/>
                <w:kern w:val="21"/>
                <w:sz w:val="21"/>
                <w:szCs w:val="21"/>
                <w:highlight w:val="none"/>
              </w:rPr>
            </w:pPr>
          </w:p>
        </w:tc>
        <w:tc>
          <w:tcPr>
            <w:tcW w:w="1704" w:type="dxa"/>
            <w:shd w:val="clear" w:color="auto" w:fill="auto"/>
            <w:noWrap w:val="0"/>
            <w:vAlign w:val="center"/>
          </w:tcPr>
          <w:p w14:paraId="5562E50B">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6.5</w:t>
            </w:r>
          </w:p>
        </w:tc>
        <w:tc>
          <w:tcPr>
            <w:tcW w:w="1081" w:type="dxa"/>
            <w:shd w:val="clear" w:color="auto" w:fill="auto"/>
            <w:noWrap w:val="0"/>
            <w:vAlign w:val="center"/>
          </w:tcPr>
          <w:p w14:paraId="15CA2405">
            <w:pPr>
              <w:pStyle w:val="37"/>
              <w:keepNext w:val="0"/>
              <w:keepLines w:val="0"/>
              <w:pageBreakBefore w:val="0"/>
              <w:widowControl w:val="0"/>
              <w:kinsoku/>
              <w:wordWrap/>
              <w:overflowPunct/>
              <w:topLinePunct w:val="0"/>
              <w:bidi w:val="0"/>
              <w:spacing w:beforeLines="0" w:afterLines="0" w:line="240" w:lineRule="auto"/>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w:t>
            </w:r>
          </w:p>
        </w:tc>
      </w:tr>
    </w:tbl>
    <w:p w14:paraId="6E225FE7">
      <w:pPr>
        <w:pStyle w:val="37"/>
        <w:spacing w:before="192" w:beforeLines="80" w:after="24"/>
        <w:ind w:left="0" w:leftChars="0" w:firstLine="0" w:firstLineChars="0"/>
        <w:jc w:val="left"/>
        <w:rPr>
          <w:rFonts w:hint="default" w:ascii="Times New Roman" w:hAnsi="Times New Roman" w:cs="Times New Roman"/>
          <w:color w:val="auto"/>
          <w:highlight w:val="none"/>
        </w:rPr>
        <w:sectPr>
          <w:footerReference r:id="rId5"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07091ABC">
      <w:pPr>
        <w:rPr>
          <w:rFonts w:hint="default" w:ascii="Times New Roman" w:hAnsi="Times New Roman" w:cs="Times New Roman"/>
          <w:color w:val="auto"/>
          <w:highlight w:val="none"/>
          <w:lang w:val="en-US" w:eastAsia="zh-CN"/>
        </w:rPr>
      </w:pPr>
    </w:p>
    <w:sectPr>
      <w:footerReference r:id="rId6" w:type="default"/>
      <w:pgSz w:w="11906" w:h="16838"/>
      <w:pgMar w:top="1406" w:right="1440" w:bottom="1519"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9EB4A8F-A962-4A1F-81AF-D134F756BC1D}"/>
  </w:font>
  <w:font w:name="Arial">
    <w:panose1 w:val="020B0604020202020204"/>
    <w:charset w:val="01"/>
    <w:family w:val="swiss"/>
    <w:pitch w:val="default"/>
    <w:sig w:usb0="E0002EFF" w:usb1="C000785B" w:usb2="00000009" w:usb3="00000000" w:csb0="400001FF" w:csb1="FFFF0000"/>
    <w:embedRegular r:id="rId2" w:fontKey="{82A24E5F-F104-43FA-A8B5-4F44693A446E}"/>
  </w:font>
  <w:font w:name="黑体">
    <w:panose1 w:val="02010609060101010101"/>
    <w:charset w:val="86"/>
    <w:family w:val="auto"/>
    <w:pitch w:val="default"/>
    <w:sig w:usb0="800002BF" w:usb1="38CF7CFA" w:usb2="00000016" w:usb3="00000000" w:csb0="00040001" w:csb1="00000000"/>
    <w:embedRegular r:id="rId3" w:fontKey="{E72315D6-5932-4E5C-8539-E4A78AACE3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3A02EFCF-3D48-4355-A1FD-09AB65F2C9CF}"/>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9003FA17-C9CD-454F-94E5-9C78AB0FBE95}"/>
  </w:font>
  <w:font w:name="方正小标宋_GBK">
    <w:panose1 w:val="03000509000000000000"/>
    <w:charset w:val="86"/>
    <w:family w:val="script"/>
    <w:pitch w:val="default"/>
    <w:sig w:usb0="00000001" w:usb1="080E0000" w:usb2="00000000" w:usb3="00000000" w:csb0="00040000" w:csb1="00000000"/>
    <w:embedRegular r:id="rId6" w:fontKey="{CBFF37B7-E1E7-47F0-95CF-E4902C6021A3}"/>
  </w:font>
  <w:font w:name="Segoe UI">
    <w:panose1 w:val="020B0502040204020203"/>
    <w:charset w:val="00"/>
    <w:family w:val="auto"/>
    <w:pitch w:val="default"/>
    <w:sig w:usb0="E4002EFF" w:usb1="C000E47F" w:usb2="00000009" w:usb3="00000000" w:csb0="200001FF" w:csb1="00000000"/>
    <w:embedRegular r:id="rId7" w:fontKey="{4B5375DC-8F83-45E1-B15F-3DED5A955B26}"/>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6B892">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FC7E6">
    <w:pPr>
      <w:pStyle w:val="1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ADAC3">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EADAC3">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7B3E5">
    <w:pPr>
      <w:pStyle w:val="1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14489">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B14489">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0E22D">
    <w:pPr>
      <w:pStyle w:val="1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ZmQ2YmVjYmVhYWI2YjE5NGU2ZDk0MDNjNjk5NGEifQ=="/>
  </w:docVars>
  <w:rsids>
    <w:rsidRoot w:val="6CA25119"/>
    <w:rsid w:val="003F4AEF"/>
    <w:rsid w:val="004039EE"/>
    <w:rsid w:val="004274A1"/>
    <w:rsid w:val="0172557B"/>
    <w:rsid w:val="01E11EA1"/>
    <w:rsid w:val="055C7D54"/>
    <w:rsid w:val="057A66A8"/>
    <w:rsid w:val="05EA4BBF"/>
    <w:rsid w:val="06BA7ED7"/>
    <w:rsid w:val="070749A1"/>
    <w:rsid w:val="0748438B"/>
    <w:rsid w:val="07C35693"/>
    <w:rsid w:val="09B865AF"/>
    <w:rsid w:val="0A083F59"/>
    <w:rsid w:val="0C111A1E"/>
    <w:rsid w:val="0C9715AA"/>
    <w:rsid w:val="0D2D571A"/>
    <w:rsid w:val="0EA93835"/>
    <w:rsid w:val="0EC332CD"/>
    <w:rsid w:val="0EFD761D"/>
    <w:rsid w:val="106A77C5"/>
    <w:rsid w:val="109E3A78"/>
    <w:rsid w:val="11BE624D"/>
    <w:rsid w:val="12DB3ECF"/>
    <w:rsid w:val="1585271A"/>
    <w:rsid w:val="16064DF8"/>
    <w:rsid w:val="162D2F8D"/>
    <w:rsid w:val="1761165C"/>
    <w:rsid w:val="17D93FFB"/>
    <w:rsid w:val="1B342B7B"/>
    <w:rsid w:val="1B821F9A"/>
    <w:rsid w:val="1C146E65"/>
    <w:rsid w:val="1C3E37D5"/>
    <w:rsid w:val="1E8E45E3"/>
    <w:rsid w:val="1EE41045"/>
    <w:rsid w:val="1F1358B7"/>
    <w:rsid w:val="1F6619DB"/>
    <w:rsid w:val="1F757B95"/>
    <w:rsid w:val="206C7C64"/>
    <w:rsid w:val="20AA201A"/>
    <w:rsid w:val="20F86CFE"/>
    <w:rsid w:val="21BF2F00"/>
    <w:rsid w:val="21C611C8"/>
    <w:rsid w:val="222D3868"/>
    <w:rsid w:val="22385479"/>
    <w:rsid w:val="225500D0"/>
    <w:rsid w:val="22714301"/>
    <w:rsid w:val="22B4072A"/>
    <w:rsid w:val="23D32B8D"/>
    <w:rsid w:val="23E6432D"/>
    <w:rsid w:val="23E92BEF"/>
    <w:rsid w:val="23F37984"/>
    <w:rsid w:val="242B7D75"/>
    <w:rsid w:val="244D2F14"/>
    <w:rsid w:val="24C267EA"/>
    <w:rsid w:val="264171BB"/>
    <w:rsid w:val="26555BF8"/>
    <w:rsid w:val="277D5407"/>
    <w:rsid w:val="279A38C3"/>
    <w:rsid w:val="281746C8"/>
    <w:rsid w:val="283A420B"/>
    <w:rsid w:val="287E4F92"/>
    <w:rsid w:val="28F23C75"/>
    <w:rsid w:val="2A217F3E"/>
    <w:rsid w:val="2B0A150C"/>
    <w:rsid w:val="2B15388D"/>
    <w:rsid w:val="2D1453C1"/>
    <w:rsid w:val="2E4664EA"/>
    <w:rsid w:val="30D8296F"/>
    <w:rsid w:val="32467738"/>
    <w:rsid w:val="32B97EA8"/>
    <w:rsid w:val="33686B59"/>
    <w:rsid w:val="337726A7"/>
    <w:rsid w:val="345330BF"/>
    <w:rsid w:val="34F278FD"/>
    <w:rsid w:val="355754E9"/>
    <w:rsid w:val="38B16B5A"/>
    <w:rsid w:val="39194E25"/>
    <w:rsid w:val="39501E64"/>
    <w:rsid w:val="3A6E2A4A"/>
    <w:rsid w:val="3B912DD7"/>
    <w:rsid w:val="3BF05B9E"/>
    <w:rsid w:val="3BFF1B74"/>
    <w:rsid w:val="3D084C60"/>
    <w:rsid w:val="3D8A53CE"/>
    <w:rsid w:val="3DA4778F"/>
    <w:rsid w:val="3EDA2307"/>
    <w:rsid w:val="4088241B"/>
    <w:rsid w:val="41E81277"/>
    <w:rsid w:val="42AA2AF6"/>
    <w:rsid w:val="42DD2F80"/>
    <w:rsid w:val="42EF043D"/>
    <w:rsid w:val="467E30F6"/>
    <w:rsid w:val="471328A2"/>
    <w:rsid w:val="48841071"/>
    <w:rsid w:val="48E90AAA"/>
    <w:rsid w:val="48ED5275"/>
    <w:rsid w:val="48F70317"/>
    <w:rsid w:val="4A326246"/>
    <w:rsid w:val="4A7F6875"/>
    <w:rsid w:val="4B407910"/>
    <w:rsid w:val="4B6F20E6"/>
    <w:rsid w:val="4BCE1BC4"/>
    <w:rsid w:val="4C09340A"/>
    <w:rsid w:val="4C8B10AA"/>
    <w:rsid w:val="4EC579CF"/>
    <w:rsid w:val="4EE24222"/>
    <w:rsid w:val="4F9C2A96"/>
    <w:rsid w:val="51965E03"/>
    <w:rsid w:val="52C95B34"/>
    <w:rsid w:val="54343909"/>
    <w:rsid w:val="54780D2F"/>
    <w:rsid w:val="54B63AD0"/>
    <w:rsid w:val="54C31B1D"/>
    <w:rsid w:val="54FF08A7"/>
    <w:rsid w:val="56850574"/>
    <w:rsid w:val="576510E9"/>
    <w:rsid w:val="587A66B2"/>
    <w:rsid w:val="58D26730"/>
    <w:rsid w:val="590B4058"/>
    <w:rsid w:val="59C9546A"/>
    <w:rsid w:val="5C734CF7"/>
    <w:rsid w:val="5CB9607F"/>
    <w:rsid w:val="5CD64EEC"/>
    <w:rsid w:val="5D22435F"/>
    <w:rsid w:val="5F1E7486"/>
    <w:rsid w:val="5F9235AB"/>
    <w:rsid w:val="5FBB3C84"/>
    <w:rsid w:val="5FE9032D"/>
    <w:rsid w:val="601B2CDC"/>
    <w:rsid w:val="607C6966"/>
    <w:rsid w:val="60E34716"/>
    <w:rsid w:val="61714BDF"/>
    <w:rsid w:val="61B77AEB"/>
    <w:rsid w:val="6395625B"/>
    <w:rsid w:val="64C935E3"/>
    <w:rsid w:val="64D56B50"/>
    <w:rsid w:val="66ED2DD1"/>
    <w:rsid w:val="673C5E50"/>
    <w:rsid w:val="693F403D"/>
    <w:rsid w:val="69D218B9"/>
    <w:rsid w:val="69EA63EA"/>
    <w:rsid w:val="6AD56A2A"/>
    <w:rsid w:val="6BFD0A19"/>
    <w:rsid w:val="6C500369"/>
    <w:rsid w:val="6CA25119"/>
    <w:rsid w:val="6CDD440C"/>
    <w:rsid w:val="6CE13374"/>
    <w:rsid w:val="6D885632"/>
    <w:rsid w:val="6D9944CD"/>
    <w:rsid w:val="6DCA2AB6"/>
    <w:rsid w:val="6EE719FA"/>
    <w:rsid w:val="712423AA"/>
    <w:rsid w:val="72B96F4C"/>
    <w:rsid w:val="72DA5694"/>
    <w:rsid w:val="75676F30"/>
    <w:rsid w:val="76374390"/>
    <w:rsid w:val="78243BBF"/>
    <w:rsid w:val="795D6DCD"/>
    <w:rsid w:val="7A7D5B24"/>
    <w:rsid w:val="7B067070"/>
    <w:rsid w:val="7C69682A"/>
    <w:rsid w:val="7F0377EA"/>
    <w:rsid w:val="7F2B3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8">
    <w:name w:val="heading 3"/>
    <w:basedOn w:val="1"/>
    <w:next w:val="1"/>
    <w:qFormat/>
    <w:uiPriority w:val="0"/>
    <w:pPr>
      <w:keepNext/>
      <w:keepLines/>
      <w:spacing w:before="260" w:beforeLines="0" w:after="260" w:afterLines="0" w:line="413" w:lineRule="auto"/>
      <w:outlineLvl w:val="2"/>
    </w:pPr>
    <w:rPr>
      <w:b/>
      <w:sz w:val="32"/>
      <w:szCs w:val="32"/>
    </w:rPr>
  </w:style>
  <w:style w:type="paragraph" w:styleId="9">
    <w:name w:val="heading 4"/>
    <w:basedOn w:val="1"/>
    <w:next w:val="1"/>
    <w:qFormat/>
    <w:uiPriority w:val="1"/>
    <w:pPr>
      <w:ind w:left="1168"/>
      <w:outlineLvl w:val="3"/>
    </w:pPr>
    <w:rPr>
      <w:rFonts w:ascii="宋体" w:hAnsi="宋体" w:eastAsia="宋体" w:cs="宋体"/>
      <w:b/>
      <w:bCs/>
      <w:sz w:val="24"/>
      <w:szCs w:val="24"/>
      <w:lang w:val="zh-CN" w:eastAsia="zh-CN" w:bidi="zh-CN"/>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szCs w:val="24"/>
    </w:rPr>
  </w:style>
  <w:style w:type="paragraph" w:styleId="3">
    <w:name w:val="Body Text Indent"/>
    <w:basedOn w:val="1"/>
    <w:next w:val="4"/>
    <w:qFormat/>
    <w:uiPriority w:val="0"/>
    <w:pPr>
      <w:spacing w:after="120"/>
      <w:ind w:left="420" w:leftChars="200"/>
    </w:pPr>
    <w:rPr>
      <w:kern w:val="0"/>
      <w:sz w:val="24"/>
      <w:szCs w:val="20"/>
    </w:rPr>
  </w:style>
  <w:style w:type="paragraph" w:styleId="4">
    <w:name w:val="Balloon Text"/>
    <w:basedOn w:val="1"/>
    <w:semiHidden/>
    <w:qFormat/>
    <w:uiPriority w:val="0"/>
    <w:rPr>
      <w:rFonts w:cstheme="minorBidi"/>
      <w:sz w:val="18"/>
      <w:szCs w:val="22"/>
    </w:rPr>
  </w:style>
  <w:style w:type="paragraph" w:styleId="5">
    <w:name w:val="Body Text"/>
    <w:basedOn w:val="1"/>
    <w:qFormat/>
    <w:uiPriority w:val="0"/>
    <w:pPr>
      <w:widowControl/>
      <w:snapToGrid w:val="0"/>
      <w:spacing w:before="60" w:after="160" w:line="259" w:lineRule="auto"/>
      <w:ind w:right="113"/>
    </w:pPr>
    <w:rPr>
      <w:kern w:val="0"/>
      <w:sz w:val="18"/>
      <w:szCs w:val="20"/>
    </w:rPr>
  </w:style>
  <w:style w:type="paragraph" w:styleId="10">
    <w:name w:val="Normal Indent"/>
    <w:basedOn w:val="1"/>
    <w:next w:val="1"/>
    <w:qFormat/>
    <w:uiPriority w:val="0"/>
    <w:pPr>
      <w:ind w:firstLine="420" w:firstLineChars="200"/>
    </w:pPr>
    <w:rPr>
      <w:szCs w:val="24"/>
    </w:rPr>
  </w:style>
  <w:style w:type="paragraph" w:styleId="11">
    <w:name w:val="caption"/>
    <w:basedOn w:val="1"/>
    <w:next w:val="1"/>
    <w:qFormat/>
    <w:uiPriority w:val="0"/>
    <w:pPr>
      <w:spacing w:before="120" w:beforeLines="0" w:beforeAutospacing="0" w:after="120" w:afterLines="0" w:afterAutospacing="0" w:line="480" w:lineRule="exact"/>
      <w:jc w:val="center"/>
    </w:pPr>
    <w:rPr>
      <w:sz w:val="24"/>
    </w:rPr>
  </w:style>
  <w:style w:type="paragraph" w:styleId="12">
    <w:name w:val="annotation text"/>
    <w:basedOn w:val="1"/>
    <w:semiHidden/>
    <w:qFormat/>
    <w:uiPriority w:val="0"/>
    <w:pPr>
      <w:jc w:val="left"/>
    </w:pPr>
  </w:style>
  <w:style w:type="paragraph" w:styleId="13">
    <w:name w:val="Date"/>
    <w:basedOn w:val="1"/>
    <w:next w:val="1"/>
    <w:qFormat/>
    <w:uiPriority w:val="0"/>
    <w:rPr>
      <w:sz w:val="28"/>
    </w:rPr>
  </w:style>
  <w:style w:type="paragraph" w:styleId="14">
    <w:name w:val="Body Text Indent 2"/>
    <w:basedOn w:val="1"/>
    <w:next w:val="1"/>
    <w:qFormat/>
    <w:uiPriority w:val="0"/>
    <w:pPr>
      <w:spacing w:after="120" w:line="480" w:lineRule="auto"/>
      <w:ind w:left="420" w:leftChars="200"/>
    </w:pPr>
  </w:style>
  <w:style w:type="paragraph" w:styleId="15">
    <w:name w:val="footer"/>
    <w:basedOn w:val="1"/>
    <w:qFormat/>
    <w:uiPriority w:val="99"/>
    <w:pPr>
      <w:tabs>
        <w:tab w:val="center" w:pos="4153"/>
        <w:tab w:val="right" w:pos="8306"/>
      </w:tabs>
      <w:snapToGrid w:val="0"/>
      <w:jc w:val="left"/>
    </w:pPr>
    <w:rPr>
      <w:kern w:val="0"/>
      <w:sz w:val="18"/>
      <w:szCs w:val="20"/>
    </w:rPr>
  </w:style>
  <w:style w:type="paragraph" w:styleId="16">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index heading"/>
    <w:basedOn w:val="1"/>
    <w:next w:val="18"/>
    <w:qFormat/>
    <w:uiPriority w:val="0"/>
    <w:rPr>
      <w:rFonts w:hint="eastAsia" w:ascii="Cambria" w:hAnsi="Cambria"/>
      <w:b/>
    </w:rPr>
  </w:style>
  <w:style w:type="paragraph" w:styleId="18">
    <w:name w:val="index 1"/>
    <w:basedOn w:val="1"/>
    <w:next w:val="1"/>
    <w:qFormat/>
    <w:uiPriority w:val="0"/>
    <w:pPr>
      <w:ind w:firstLine="0"/>
    </w:pPr>
  </w:style>
  <w:style w:type="paragraph" w:styleId="19">
    <w:name w:val="List"/>
    <w:basedOn w:val="1"/>
    <w:next w:val="1"/>
    <w:qFormat/>
    <w:uiPriority w:val="0"/>
    <w:pPr>
      <w:ind w:left="200" w:hanging="200" w:hangingChars="200"/>
    </w:pPr>
  </w:style>
  <w:style w:type="paragraph" w:styleId="20">
    <w:name w:val="toc 2"/>
    <w:basedOn w:val="1"/>
    <w:next w:val="1"/>
    <w:qFormat/>
    <w:uiPriority w:val="39"/>
    <w:pPr>
      <w:ind w:left="210"/>
      <w:jc w:val="left"/>
    </w:pPr>
    <w:rPr>
      <w:smallCaps/>
      <w:sz w:val="20"/>
      <w:szCs w:val="20"/>
    </w:rPr>
  </w:style>
  <w:style w:type="paragraph" w:styleId="21">
    <w:name w:val="Body Text 2"/>
    <w:basedOn w:val="1"/>
    <w:qFormat/>
    <w:uiPriority w:val="0"/>
    <w:rPr>
      <w:kern w:val="2"/>
    </w:rPr>
  </w:style>
  <w:style w:type="paragraph" w:styleId="22">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3">
    <w:name w:val="Body Text First Indent"/>
    <w:basedOn w:val="5"/>
    <w:next w:val="1"/>
    <w:qFormat/>
    <w:uiPriority w:val="0"/>
    <w:pPr>
      <w:spacing w:after="120" w:line="240" w:lineRule="auto"/>
      <w:ind w:firstLine="420" w:firstLineChars="100"/>
    </w:pPr>
    <w:rPr>
      <w:sz w:val="21"/>
      <w:szCs w:val="24"/>
    </w:rPr>
  </w:style>
  <w:style w:type="table" w:styleId="25">
    <w:name w:val="Table Grid"/>
    <w:basedOn w:val="2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basedOn w:val="26"/>
    <w:qFormat/>
    <w:uiPriority w:val="0"/>
    <w:rPr>
      <w:color w:val="0000FF"/>
      <w:u w:val="single"/>
    </w:rPr>
  </w:style>
  <w:style w:type="character" w:styleId="30">
    <w:name w:val="annotation reference"/>
    <w:semiHidden/>
    <w:qFormat/>
    <w:uiPriority w:val="0"/>
    <w:rPr>
      <w:sz w:val="21"/>
    </w:rPr>
  </w:style>
  <w:style w:type="paragraph" w:customStyle="1" w:styleId="31">
    <w:name w:val="Default"/>
    <w:basedOn w:val="32"/>
    <w:next w:val="3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纯文本1"/>
    <w:basedOn w:val="1"/>
    <w:qFormat/>
    <w:uiPriority w:val="0"/>
    <w:rPr>
      <w:rFonts w:ascii="宋体" w:hAnsi="Courier New" w:cs="Courier New"/>
      <w:kern w:val="2"/>
      <w:sz w:val="21"/>
      <w:szCs w:val="21"/>
    </w:rPr>
  </w:style>
  <w:style w:type="paragraph" w:customStyle="1" w:styleId="33">
    <w:name w:val="样式1"/>
    <w:basedOn w:val="17"/>
    <w:next w:val="1"/>
    <w:qFormat/>
    <w:uiPriority w:val="0"/>
    <w:rPr>
      <w:sz w:val="21"/>
      <w:szCs w:val="22"/>
      <w:lang w:val="en-US" w:eastAsia="zh-CN" w:bidi="ar-SA"/>
    </w:rPr>
  </w:style>
  <w:style w:type="paragraph" w:customStyle="1" w:styleId="34">
    <w:name w:val="Body Text 21"/>
    <w:basedOn w:val="1"/>
    <w:qFormat/>
    <w:uiPriority w:val="0"/>
    <w:pPr>
      <w:spacing w:after="120" w:line="480" w:lineRule="auto"/>
    </w:pPr>
  </w:style>
  <w:style w:type="paragraph" w:customStyle="1" w:styleId="35">
    <w:name w:val="xl2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36">
    <w:name w:val="表头"/>
    <w:basedOn w:val="37"/>
    <w:next w:val="1"/>
    <w:qFormat/>
    <w:uiPriority w:val="0"/>
    <w:pPr>
      <w:tabs>
        <w:tab w:val="left" w:pos="360"/>
        <w:tab w:val="left" w:pos="1620"/>
      </w:tabs>
      <w:spacing w:line="560" w:lineRule="exact"/>
      <w:jc w:val="center"/>
    </w:pPr>
    <w:rPr>
      <w:rFonts w:ascii="宋体" w:hAnsi="宋体"/>
      <w:b/>
      <w:color w:val="000000"/>
      <w:szCs w:val="21"/>
    </w:rPr>
  </w:style>
  <w:style w:type="paragraph" w:customStyle="1" w:styleId="37">
    <w:name w:val="表格"/>
    <w:basedOn w:val="19"/>
    <w:next w:val="1"/>
    <w:qFormat/>
    <w:uiPriority w:val="0"/>
    <w:pPr>
      <w:adjustRightInd w:val="0"/>
      <w:snapToGrid w:val="0"/>
      <w:spacing w:beforeLines="10" w:afterLines="10" w:line="259" w:lineRule="auto"/>
      <w:jc w:val="center"/>
    </w:pPr>
    <w:rPr>
      <w:rFonts w:ascii="宋体"/>
      <w:kern w:val="0"/>
      <w:szCs w:val="20"/>
    </w:rPr>
  </w:style>
  <w:style w:type="paragraph" w:customStyle="1" w:styleId="38">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9">
    <w:name w:val="[Normal]"/>
    <w:qFormat/>
    <w:uiPriority w:val="0"/>
    <w:rPr>
      <w:rFonts w:ascii="宋体" w:hAnsi="宋体" w:eastAsia="宋体" w:cs="Times New Roman"/>
      <w:sz w:val="24"/>
      <w:szCs w:val="22"/>
      <w:lang w:val="zh-CN" w:eastAsia="zh-CN" w:bidi="ar-SA"/>
    </w:rPr>
  </w:style>
  <w:style w:type="paragraph" w:customStyle="1" w:styleId="40">
    <w:name w:val="中文报告书样式"/>
    <w:basedOn w:val="1"/>
    <w:qFormat/>
    <w:uiPriority w:val="0"/>
    <w:pPr>
      <w:adjustRightInd w:val="0"/>
      <w:spacing w:line="480" w:lineRule="atLeast"/>
      <w:ind w:firstLine="482"/>
      <w:textAlignment w:val="baseline"/>
    </w:pPr>
    <w:rPr>
      <w:kern w:val="24"/>
      <w:sz w:val="24"/>
    </w:rPr>
  </w:style>
  <w:style w:type="paragraph" w:customStyle="1" w:styleId="41">
    <w:name w:val="文本"/>
    <w:basedOn w:val="1"/>
    <w:qFormat/>
    <w:uiPriority w:val="0"/>
    <w:pPr>
      <w:adjustRightInd w:val="0"/>
      <w:snapToGrid w:val="0"/>
      <w:spacing w:line="360" w:lineRule="auto"/>
      <w:ind w:firstLine="480" w:firstLineChars="200"/>
      <w:jc w:val="left"/>
    </w:pPr>
    <w:rPr>
      <w:sz w:val="24"/>
      <w:szCs w:val="24"/>
    </w:rPr>
  </w:style>
  <w:style w:type="paragraph" w:customStyle="1" w:styleId="42">
    <w:name w:val="Char"/>
    <w:basedOn w:val="1"/>
    <w:qFormat/>
    <w:uiPriority w:val="0"/>
    <w:pPr>
      <w:spacing w:after="160" w:line="240" w:lineRule="exact"/>
      <w:jc w:val="left"/>
    </w:pPr>
    <w:rPr>
      <w:rFonts w:ascii="Arial" w:hAnsi="Arial" w:eastAsia="Times New Roman" w:cs="Verdana"/>
      <w:b/>
      <w:kern w:val="0"/>
      <w:sz w:val="24"/>
      <w:szCs w:val="24"/>
      <w:lang w:eastAsia="en-US"/>
    </w:rPr>
  </w:style>
  <w:style w:type="paragraph" w:customStyle="1" w:styleId="43">
    <w:name w:val="Table Paragraph"/>
    <w:basedOn w:val="1"/>
    <w:qFormat/>
    <w:uiPriority w:val="1"/>
  </w:style>
  <w:style w:type="paragraph" w:customStyle="1" w:styleId="44">
    <w:name w:val="表+五号"/>
    <w:basedOn w:val="1"/>
    <w:qFormat/>
    <w:uiPriority w:val="99"/>
    <w:rPr>
      <w:szCs w:val="28"/>
    </w:rPr>
  </w:style>
  <w:style w:type="paragraph" w:customStyle="1" w:styleId="45">
    <w:name w:val="正文新"/>
    <w:basedOn w:val="1"/>
    <w:qFormat/>
    <w:uiPriority w:val="0"/>
    <w:pPr>
      <w:spacing w:line="348" w:lineRule="auto"/>
      <w:ind w:firstLine="200"/>
    </w:pPr>
    <w:rPr>
      <w:color w:val="000000"/>
    </w:rPr>
  </w:style>
  <w:style w:type="paragraph" w:customStyle="1" w:styleId="46">
    <w:name w:val="正文(首行缩进)"/>
    <w:basedOn w:val="1"/>
    <w:next w:val="1"/>
    <w:qFormat/>
    <w:uiPriority w:val="0"/>
    <w:pPr>
      <w:spacing w:line="360" w:lineRule="auto"/>
      <w:ind w:firstLine="540" w:firstLineChars="225"/>
    </w:pPr>
    <w:rPr>
      <w:rFonts w:ascii="宋体" w:hAnsi="宋体"/>
      <w:snapToGrid w:val="0"/>
      <w:color w:val="000000"/>
      <w:kern w:val="0"/>
      <w:sz w:val="24"/>
      <w:szCs w:val="28"/>
    </w:rPr>
  </w:style>
  <w:style w:type="paragraph" w:customStyle="1" w:styleId="47">
    <w:name w:val="正文邵"/>
    <w:basedOn w:val="1"/>
    <w:qFormat/>
    <w:uiPriority w:val="0"/>
    <w:pPr>
      <w:spacing w:line="360" w:lineRule="auto"/>
      <w:ind w:firstLine="200" w:firstLineChars="200"/>
    </w:pPr>
    <w:rPr>
      <w:sz w:val="24"/>
      <w:szCs w:val="24"/>
    </w:rPr>
  </w:style>
  <w:style w:type="paragraph" w:styleId="48">
    <w:name w:val="List Paragraph"/>
    <w:basedOn w:val="1"/>
    <w:qFormat/>
    <w:uiPriority w:val="99"/>
    <w:pPr>
      <w:ind w:firstLine="420" w:firstLineChars="200"/>
    </w:pPr>
  </w:style>
  <w:style w:type="paragraph" w:customStyle="1" w:styleId="49">
    <w:name w:val="表格1"/>
    <w:basedOn w:val="1"/>
    <w:qFormat/>
    <w:uiPriority w:val="0"/>
    <w:pPr>
      <w:adjustRightInd w:val="0"/>
      <w:snapToGrid w:val="0"/>
      <w:jc w:val="center"/>
    </w:pPr>
    <w:rPr>
      <w:rFonts w:ascii="Times New Roman" w:hAnsi="Times New Roman" w:eastAsia="方正仿宋_GBK"/>
      <w:color w:val="000000"/>
      <w:kern w:val="0"/>
      <w:szCs w:val="24"/>
    </w:rPr>
  </w:style>
  <w:style w:type="paragraph" w:customStyle="1" w:styleId="50">
    <w:name w:val="样式 加粗 居中 行距: 固定值 25 磅"/>
    <w:basedOn w:val="1"/>
    <w:qFormat/>
    <w:uiPriority w:val="0"/>
    <w:pPr>
      <w:spacing w:line="500" w:lineRule="exact"/>
      <w:jc w:val="center"/>
    </w:pPr>
    <w:rPr>
      <w:rFonts w:cs="宋体"/>
      <w:b/>
      <w:bCs/>
      <w:szCs w:val="20"/>
    </w:rPr>
  </w:style>
  <w:style w:type="paragraph" w:customStyle="1" w:styleId="51">
    <w:name w:val="样式 正文缩进正文缩进2正文缩进 Char Char正文缩进 Char Char Char Char正文缩进 Char ..."/>
    <w:basedOn w:val="10"/>
    <w:qFormat/>
    <w:uiPriority w:val="0"/>
    <w:pPr>
      <w:spacing w:line="360" w:lineRule="auto"/>
      <w:ind w:firstLine="200"/>
    </w:pPr>
    <w:rPr>
      <w:rFonts w:cs="宋体"/>
      <w:sz w:val="24"/>
    </w:rPr>
  </w:style>
  <w:style w:type="paragraph" w:customStyle="1" w:styleId="52">
    <w:name w:val="0正文"/>
    <w:basedOn w:val="22"/>
    <w:qFormat/>
    <w:uiPriority w:val="0"/>
    <w:pPr>
      <w:adjustRightInd w:val="0"/>
      <w:snapToGrid w:val="0"/>
      <w:spacing w:before="0" w:beforeAutospacing="0" w:after="0" w:afterAutospacing="0" w:line="440" w:lineRule="exact"/>
      <w:ind w:firstLine="200" w:firstLineChars="200"/>
      <w:jc w:val="both"/>
    </w:pPr>
    <w:rPr>
      <w:rFonts w:ascii="Times New Roman" w:hAnsi="Times New Roman" w:cs="Times New Roman"/>
      <w:kern w:val="2"/>
    </w:rPr>
  </w:style>
  <w:style w:type="paragraph" w:customStyle="1" w:styleId="53">
    <w:name w:val="表格文字"/>
    <w:next w:val="1"/>
    <w:qFormat/>
    <w:uiPriority w:val="0"/>
    <w:pPr>
      <w:snapToGrid w:val="0"/>
      <w:jc w:val="center"/>
    </w:pPr>
    <w:rPr>
      <w:rFonts w:ascii="宋体" w:hAnsi="宋体" w:eastAsia="宋体" w:cs="Times New Roman"/>
      <w:color w:val="FF00FF"/>
      <w:sz w:val="21"/>
      <w:lang w:val="en-US" w:eastAsia="zh-CN" w:bidi="ar-SA"/>
    </w:rPr>
  </w:style>
  <w:style w:type="table" w:customStyle="1" w:styleId="54">
    <w:name w:val="Table Normal"/>
    <w:unhideWhenUsed/>
    <w:qFormat/>
    <w:uiPriority w:val="0"/>
    <w:tblPr>
      <w:tblCellMar>
        <w:top w:w="0" w:type="dxa"/>
        <w:left w:w="0" w:type="dxa"/>
        <w:bottom w:w="0" w:type="dxa"/>
        <w:right w:w="0" w:type="dxa"/>
      </w:tblCellMar>
    </w:tblPr>
  </w:style>
  <w:style w:type="paragraph" w:customStyle="1" w:styleId="55">
    <w:name w:val="表格标题"/>
    <w:basedOn w:val="36"/>
    <w:qFormat/>
    <w:uiPriority w:val="0"/>
    <w:pPr>
      <w:snapToGrid w:val="0"/>
      <w:spacing w:line="360" w:lineRule="auto"/>
      <w:ind w:firstLine="200" w:firstLineChars="200"/>
      <w:jc w:val="center"/>
    </w:pPr>
    <w:rPr>
      <w:snapToGrid w:val="0"/>
      <w:sz w:val="28"/>
      <w:szCs w:val="28"/>
    </w:rPr>
  </w:style>
  <w:style w:type="paragraph" w:customStyle="1" w:styleId="56">
    <w:name w:val="表格内容"/>
    <w:basedOn w:val="10"/>
    <w:next w:val="1"/>
    <w:qFormat/>
    <w:uiPriority w:val="0"/>
    <w:pPr>
      <w:autoSpaceDE w:val="0"/>
      <w:autoSpaceDN w:val="0"/>
      <w:adjustRightInd w:val="0"/>
      <w:snapToGrid/>
      <w:spacing w:line="240" w:lineRule="auto"/>
      <w:ind w:firstLine="0" w:firstLineChars="0"/>
      <w:jc w:val="center"/>
      <w:textAlignment w:val="center"/>
    </w:pPr>
    <w:rPr>
      <w:kern w:val="0"/>
      <w:sz w:val="21"/>
      <w:szCs w:val="21"/>
    </w:rPr>
  </w:style>
  <w:style w:type="paragraph" w:customStyle="1" w:styleId="57">
    <w:name w:val="表格内"/>
    <w:basedOn w:val="1"/>
    <w:qFormat/>
    <w:uiPriority w:val="0"/>
    <w:pPr>
      <w:spacing w:line="360" w:lineRule="exact"/>
      <w:jc w:val="center"/>
    </w:pPr>
    <w:rPr>
      <w:rFonts w:ascii="Times New Roman" w:hAnsi="Times New Roman" w:cs="Times New Roman"/>
      <w:snapToGrid w:val="0"/>
      <w:szCs w:val="21"/>
    </w:rPr>
  </w:style>
  <w:style w:type="paragraph" w:customStyle="1" w:styleId="58">
    <w:name w:val="正文 楷体"/>
    <w:basedOn w:val="1"/>
    <w:autoRedefine/>
    <w:qFormat/>
    <w:uiPriority w:val="0"/>
    <w:pPr>
      <w:spacing w:line="500" w:lineRule="exact"/>
      <w:ind w:firstLine="200" w:firstLineChars="200"/>
    </w:pPr>
    <w:rPr>
      <w:rFonts w:ascii="楷体_GB2312" w:hAnsi="楷体_GB2312" w:eastAsia="楷体_GB2312" w:cs="宋体"/>
      <w:sz w:val="24"/>
    </w:rPr>
  </w:style>
  <w:style w:type="paragraph" w:customStyle="1" w:styleId="59">
    <w:name w:val="报告表正文"/>
    <w:basedOn w:val="60"/>
    <w:qFormat/>
    <w:uiPriority w:val="0"/>
    <w:pPr>
      <w:adjustRightInd w:val="0"/>
      <w:spacing w:line="312" w:lineRule="auto"/>
      <w:ind w:left="113" w:right="113" w:firstLine="482"/>
      <w:jc w:val="left"/>
      <w:textAlignment w:val="baseline"/>
    </w:pPr>
    <w:rPr>
      <w:kern w:val="0"/>
      <w:sz w:val="24"/>
      <w:szCs w:val="20"/>
    </w:rPr>
  </w:style>
  <w:style w:type="paragraph" w:customStyle="1" w:styleId="60">
    <w:name w:val="报告正文"/>
    <w:basedOn w:val="61"/>
    <w:next w:val="1"/>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61">
    <w:name w:val="p17"/>
    <w:basedOn w:val="1"/>
    <w:qFormat/>
    <w:uiPriority w:val="0"/>
    <w:pPr>
      <w:widowControl/>
    </w:pPr>
    <w:rPr>
      <w:rFonts w:ascii="宋体" w:hAnsi="宋体" w:cs="宋体"/>
      <w:kern w:val="0"/>
      <w:szCs w:val="21"/>
    </w:rPr>
  </w:style>
  <w:style w:type="paragraph" w:customStyle="1" w:styleId="62">
    <w:name w:val="表格内容1"/>
    <w:basedOn w:val="1"/>
    <w:qFormat/>
    <w:uiPriority w:val="0"/>
    <w:pPr>
      <w:widowControl/>
      <w:spacing w:line="240" w:lineRule="auto"/>
      <w:ind w:firstLine="0" w:firstLineChars="0"/>
      <w:jc w:val="center"/>
    </w:pPr>
    <w:rPr>
      <w:kern w:val="0"/>
      <w:sz w:val="21"/>
      <w:szCs w:val="21"/>
      <w:lang w:eastAsia="en-US" w:bidi="en-US"/>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环评正文"/>
    <w:basedOn w:val="1"/>
    <w:qFormat/>
    <w:uiPriority w:val="0"/>
    <w:pPr>
      <w:autoSpaceDE w:val="0"/>
      <w:autoSpaceDN w:val="0"/>
      <w:adjustRightInd w:val="0"/>
      <w:snapToGrid w:val="0"/>
      <w:spacing w:line="360" w:lineRule="auto"/>
      <w:ind w:firstLine="200" w:firstLineChars="200"/>
      <w:jc w:val="left"/>
    </w:pPr>
    <w:rPr>
      <w:rFonts w:cs="宋体"/>
      <w:kern w:val="0"/>
      <w:sz w:val="24"/>
      <w:szCs w:val="21"/>
    </w:rPr>
  </w:style>
  <w:style w:type="character" w:customStyle="1" w:styleId="65">
    <w:name w:val="font41"/>
    <w:basedOn w:val="26"/>
    <w:qFormat/>
    <w:uiPriority w:val="0"/>
    <w:rPr>
      <w:rFonts w:hint="eastAsia" w:ascii="宋体" w:hAnsi="宋体" w:eastAsia="宋体" w:cs="宋体"/>
      <w:b/>
      <w:bCs/>
      <w:color w:val="000000"/>
      <w:sz w:val="24"/>
      <w:szCs w:val="24"/>
      <w:u w:val="none"/>
    </w:rPr>
  </w:style>
  <w:style w:type="character" w:customStyle="1" w:styleId="66">
    <w:name w:val="font21"/>
    <w:basedOn w:val="26"/>
    <w:qFormat/>
    <w:uiPriority w:val="0"/>
    <w:rPr>
      <w:rFonts w:hint="default" w:ascii="Times New Roman" w:hAnsi="Times New Roman" w:cs="Times New Roman"/>
      <w:color w:val="000000"/>
      <w:sz w:val="24"/>
      <w:szCs w:val="24"/>
      <w:u w:val="none"/>
    </w:rPr>
  </w:style>
  <w:style w:type="character" w:customStyle="1" w:styleId="67">
    <w:name w:val="font11"/>
    <w:basedOn w:val="26"/>
    <w:qFormat/>
    <w:uiPriority w:val="0"/>
    <w:rPr>
      <w:rFonts w:hint="eastAsia" w:ascii="宋体" w:hAnsi="宋体" w:eastAsia="宋体" w:cs="宋体"/>
      <w:color w:val="000000"/>
      <w:sz w:val="21"/>
      <w:szCs w:val="21"/>
      <w:u w:val="none"/>
    </w:rPr>
  </w:style>
  <w:style w:type="paragraph" w:customStyle="1" w:styleId="68">
    <w:name w:val="表头邵"/>
    <w:basedOn w:val="1"/>
    <w:next w:val="1"/>
    <w:qFormat/>
    <w:uiPriority w:val="0"/>
    <w:pPr>
      <w:jc w:val="center"/>
    </w:pPr>
    <w:rPr>
      <w:b/>
      <w:szCs w:val="21"/>
    </w:rPr>
  </w:style>
  <w:style w:type="paragraph" w:customStyle="1" w:styleId="69">
    <w:name w:val="表内文字"/>
    <w:basedOn w:val="1"/>
    <w:qFormat/>
    <w:uiPriority w:val="0"/>
    <w:pPr>
      <w:adjustRightInd w:val="0"/>
      <w:snapToGrid w:val="0"/>
      <w:jc w:val="center"/>
    </w:pPr>
    <w:rPr>
      <w:sz w:val="21"/>
      <w:szCs w:val="21"/>
    </w:rPr>
  </w:style>
  <w:style w:type="paragraph" w:customStyle="1" w:styleId="70">
    <w:name w:val="一级标题"/>
    <w:basedOn w:val="1"/>
    <w:qFormat/>
    <w:uiPriority w:val="0"/>
    <w:pPr>
      <w:ind w:firstLine="0" w:firstLineChars="0"/>
    </w:pPr>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customXml" Target="../customXml/item1.xml"/><Relationship Id="rId33" Type="http://schemas.openxmlformats.org/officeDocument/2006/relationships/image" Target="media/image18.jpeg"/><Relationship Id="rId32" Type="http://schemas.openxmlformats.org/officeDocument/2006/relationships/image" Target="media/image17.wmf"/><Relationship Id="rId31" Type="http://schemas.openxmlformats.org/officeDocument/2006/relationships/oleObject" Target="embeddings/oleObject8.bin"/><Relationship Id="rId30" Type="http://schemas.openxmlformats.org/officeDocument/2006/relationships/image" Target="media/image16.wmf"/><Relationship Id="rId3" Type="http://schemas.openxmlformats.org/officeDocument/2006/relationships/footer" Target="footer1.xml"/><Relationship Id="rId29" Type="http://schemas.openxmlformats.org/officeDocument/2006/relationships/oleObject" Target="embeddings/oleObject7.bin"/><Relationship Id="rId28" Type="http://schemas.openxmlformats.org/officeDocument/2006/relationships/image" Target="media/image15.wmf"/><Relationship Id="rId27" Type="http://schemas.openxmlformats.org/officeDocument/2006/relationships/oleObject" Target="embeddings/oleObject6.bin"/><Relationship Id="rId26" Type="http://schemas.openxmlformats.org/officeDocument/2006/relationships/image" Target="media/image14.wmf"/><Relationship Id="rId25" Type="http://schemas.openxmlformats.org/officeDocument/2006/relationships/oleObject" Target="embeddings/oleObject5.bin"/><Relationship Id="rId24" Type="http://schemas.openxmlformats.org/officeDocument/2006/relationships/image" Target="media/image13.wmf"/><Relationship Id="rId23" Type="http://schemas.openxmlformats.org/officeDocument/2006/relationships/oleObject" Target="embeddings/oleObject4.bin"/><Relationship Id="rId22" Type="http://schemas.openxmlformats.org/officeDocument/2006/relationships/image" Target="media/image12.wmf"/><Relationship Id="rId21" Type="http://schemas.openxmlformats.org/officeDocument/2006/relationships/oleObject" Target="embeddings/oleObject3.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0.wmf"/><Relationship Id="rId17" Type="http://schemas.openxmlformats.org/officeDocument/2006/relationships/oleObject" Target="embeddings/oleObject1.bin"/><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b11bb7db-c956-44d5-a555-4adcde5d5677</errorID>
      <errorWord>"</errorWord>
      <group>L1_Format</group>
      <groupName>格式问题</groupName>
      <ability>L2_HalfPunc</ability>
      <abilityName>全半角检查</abilityName>
      <candidateList/>
      <explain>文本全半角错误。</explain>
      <paraID>5A8E4309</paraID>
      <start>14</start>
      <end>15</end>
      <status>unmodified</status>
      <modifiedWord/>
      <trackRevisions>false</trackRevisions>
    </reviewItem>
    <reviewItem>
      <errorID>2f442298-ca92-4355-afd9-b4106b37406f</errorID>
      <errorWord>-</errorWord>
      <group>L1_Format</group>
      <groupName>格式问题</groupName>
      <ability>L2_HalfPunc</ability>
      <abilityName>全半角检查</abilityName>
      <candidateList>
        <item>－</item>
      </candidateList>
      <explain>文本全半角错误。</explain>
      <paraID>38D6187D</paraID>
      <start>5</start>
      <end>6</end>
      <status>unmodified</status>
      <modifiedWord/>
      <trackRevisions>false</trackRevisions>
    </reviewItem>
    <reviewItem>
      <errorID>1109a11f-473a-468a-ae8c-6c314c230d81</errorID>
      <errorWord>-</errorWord>
      <group>L1_Format</group>
      <groupName>格式问题</groupName>
      <ability>L2_HalfPunc</ability>
      <abilityName>全半角检查</abilityName>
      <candidateList>
        <item>－</item>
      </candidateList>
      <explain>文本全半角错误。</explain>
      <paraID>38D6187D</paraID>
      <start>14</start>
      <end>15</end>
      <status>unmodified</status>
      <modifiedWord/>
      <trackRevisions>false</trackRevisions>
    </reviewItem>
    <reviewItem>
      <errorID>ffe43142-241e-4b96-b139-59dc79bbe347</errorID>
      <errorWord>（</errorWord>
      <group>L1_Punc</group>
      <groupName>标点问题</groupName>
      <ability>L2_Punc</ability>
      <abilityName>标点符号检查</abilityName>
      <candidateList/>
      <explain>同一形式括号套用。</explain>
      <paraID> 424C9CC</paraID>
      <start>12</start>
      <end>13</end>
      <status>unmodified</status>
      <modifiedWord/>
      <trackRevisions>false</trackRevisions>
    </reviewItem>
    <reviewItem>
      <errorID>f92edd44-8e79-47f0-a793-79ce7d31ef29</errorID>
      <errorWord>）</errorWord>
      <group>L1_Punc</group>
      <groupName>标点问题</groupName>
      <ability>L2_Punc</ability>
      <abilityName>标点符号检查</abilityName>
      <candidateList/>
      <explain>同一形式括号套用。</explain>
      <paraID> 424C9CC</paraID>
      <start>20</start>
      <end>21</end>
      <status>unmodified</status>
      <modifiedWord/>
      <trackRevisions>false</trackRevisions>
    </reviewItem>
    <reviewItem>
      <errorID>add050ef-f115-4fc6-8cf8-c95f00e0d88c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39B0630</paraID>
      <start>27</start>
      <end>28</end>
      <status>unmodified</status>
      <modifiedWord/>
      <trackRevisions>false</trackRevisions>
    </reviewItem>
    <reviewItem>
      <errorID>3aadc94c-1cc4-4750-8f7d-b6c84c8610a6</errorID>
      <errorWord>(</errorWord>
      <group>L1_Format</group>
      <groupName>格式问题</groupName>
      <ability>L2_HalfPunc</ability>
      <abilityName>全半角检查</abilityName>
      <candidateList>
        <item>（</item>
      </candidateList>
      <explain>文本全半角错误。</explain>
      <paraID>7A77CBB6</paraID>
      <start>31</start>
      <end>32</end>
      <status>unmodified</status>
      <modifiedWord/>
      <trackRevisions>false</trackRevisions>
    </reviewItem>
    <reviewItem>
      <errorID>3aed69ad-8748-4f59-a59a-69613e9dbf15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7A77CBB6</paraID>
      <start>36</start>
      <end>37</end>
      <status>unmodified</status>
      <modifiedWord/>
      <trackRevisions>false</trackRevisions>
    </reviewItem>
    <reviewItem>
      <errorID>5d4cb05f-ad72-4e28-855d-99bf0d555f8d</errorID>
      <errorWord>)</errorWord>
      <group>L1_Format</group>
      <groupName>格式问题</groupName>
      <ability>L2_HalfPunc</ability>
      <abilityName>全半角检查</abilityName>
      <candidateList>
        <item>）</item>
      </candidateList>
      <explain>文本全半角错误。</explain>
      <paraID>7A77CBB6</paraID>
      <start>42</start>
      <end>43</end>
      <status>unmodified</status>
      <modifiedWord/>
      <trackRevisions>false</trackRevisions>
    </reviewItem>
    <reviewItem>
      <errorID>55a3e38b-fad6-4733-ae36-40f813e938c9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1DEF086A</paraID>
      <start>27</start>
      <end>28</end>
      <status>unmodified</status>
      <modifiedWord/>
      <trackRevisions>false</trackRevisions>
    </reviewItem>
    <reviewItem>
      <errorID>34f67284-99ce-4c1e-8c65-07ff01b6acc7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409F472E</paraID>
      <start>22</start>
      <end>23</end>
      <status>unmodified</status>
      <modifiedWord/>
      <trackRevisions>false</trackRevisions>
    </reviewItem>
    <reviewItem>
      <errorID>c917e705-897f-4390-9ee5-9ef60506aec0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40A28AC6</paraID>
      <start>69</start>
      <end>70</end>
      <status>unmodified</status>
      <modifiedWord/>
      <trackRevisions>false</trackRevisions>
    </reviewItem>
    <reviewItem>
      <errorID>804a8e68-ffec-4884-81ee-aceb0f4fa11c</errorID>
      <errorWord>(</errorWord>
      <group>L1_Format</group>
      <groupName>格式问题</groupName>
      <ability>L2_HalfPunc</ability>
      <abilityName>全半角检查</abilityName>
      <candidateList>
        <item>（</item>
      </candidateList>
      <explain>文本全半角错误。</explain>
      <paraID>763DD29F</paraID>
      <start>26</start>
      <end>27</end>
      <status>unmodified</status>
      <modifiedWord/>
      <trackRevisions>false</trackRevisions>
    </reviewItem>
    <reviewItem>
      <errorID>4ed0878e-f8ec-4515-8122-8e3a3610c435</errorID>
      <errorWord>)</errorWord>
      <group>L1_Format</group>
      <groupName>格式问题</groupName>
      <ability>L2_HalfPunc</ability>
      <abilityName>全半角检查</abilityName>
      <candidateList>
        <item>）</item>
      </candidateList>
      <explain>文本全半角错误。</explain>
      <paraID>763DD29F</paraID>
      <start>33</start>
      <end>34</end>
      <status>unmodified</status>
      <modifiedWord/>
      <trackRevisions>false</trackRevisions>
    </reviewItem>
    <reviewItem>
      <errorID>431ce35c-2cd5-4f42-a318-fe8777b94040</errorID>
      <errorWord>(</errorWord>
      <group>L1_Format</group>
      <groupName>格式问题</groupName>
      <ability>L2_HalfPunc</ability>
      <abilityName>全半角检查</abilityName>
      <candidateList>
        <item>（</item>
      </candidateList>
      <explain>文本全半角错误。</explain>
      <paraID>763DD29F</paraID>
      <start>55</start>
      <end>56</end>
      <status>unmodified</status>
      <modifiedWord/>
      <trackRevisions>false</trackRevisions>
    </reviewItem>
    <reviewItem>
      <errorID>3de4feb4-51f6-4f38-88c9-4b065b0d7c63</errorID>
      <errorWord>)</errorWord>
      <group>L1_Format</group>
      <groupName>格式问题</groupName>
      <ability>L2_HalfPunc</ability>
      <abilityName>全半角检查</abilityName>
      <candidateList>
        <item>）</item>
      </candidateList>
      <explain>文本全半角错误。</explain>
      <paraID>763DD29F</paraID>
      <start>62</start>
      <end>63</end>
      <status>unmodified</status>
      <modifiedWord/>
      <trackRevisions>false</trackRevisions>
    </reviewItem>
    <reviewItem>
      <errorID>f5a06de9-52fe-4c13-bf88-dffef79224fb</errorID>
      <errorWord>(</errorWord>
      <group>L1_Format</group>
      <groupName>格式问题</groupName>
      <ability>L2_HalfPunc</ability>
      <abilityName>全半角检查</abilityName>
      <candidateList>
        <item>（</item>
      </candidateList>
      <explain>文本全半角错误。</explain>
      <paraID>3CC615A6</paraID>
      <start>17</start>
      <end>18</end>
      <status>unmodified</status>
      <modifiedWord/>
      <trackRevisions>false</trackRevisions>
    </reviewItem>
    <reviewItem>
      <errorID>58633ed8-e6ae-4569-a3b4-1ac7ea851530</errorID>
      <errorWord>)</errorWord>
      <group>L1_Format</group>
      <groupName>格式问题</groupName>
      <ability>L2_HalfPunc</ability>
      <abilityName>全半角检查</abilityName>
      <candidateList>
        <item>）</item>
      </candidateList>
      <explain>文本全半角错误。</explain>
      <paraID>3CC615A6</paraID>
      <start>24</start>
      <end>25</end>
      <status>unmodified</status>
      <modifiedWord/>
      <trackRevisions>false</trackRevisions>
    </reviewItem>
    <reviewItem>
      <errorID>370e2e2f-8b2f-4ffd-8fb6-3104612f7f98</errorID>
      <errorWord>(</errorWord>
      <group>L1_Format</group>
      <groupName>格式问题</groupName>
      <ability>L2_HalfPunc</ability>
      <abilityName>全半角检查</abilityName>
      <candidateList>
        <item>（</item>
      </candidateList>
      <explain>文本全半角错误。</explain>
      <paraID> D96175F</paraID>
      <start>26</start>
      <end>27</end>
      <status>unmodified</status>
      <modifiedWord/>
      <trackRevisions>false</trackRevisions>
    </reviewItem>
    <reviewItem>
      <errorID>daefcb6b-42e1-4b9f-b456-008625933bb8</errorID>
      <errorWord>)</errorWord>
      <group>L1_Format</group>
      <groupName>格式问题</groupName>
      <ability>L2_HalfPunc</ability>
      <abilityName>全半角检查</abilityName>
      <candidateList>
        <item>）</item>
      </candidateList>
      <explain>文本全半角错误。</explain>
      <paraID> D96175F</paraID>
      <start>28</start>
      <end>29</end>
      <status>unmodified</status>
      <modifiedWord/>
      <trackRevisions>false</trackRevisions>
    </reviewItem>
    <reviewItem>
      <errorID>f0298d31-ee5f-4088-9fd0-2a4fa2ef4d23</errorID>
      <errorWord>(</errorWord>
      <group>L1_Format</group>
      <groupName>格式问题</groupName>
      <ability>L2_HalfPunc</ability>
      <abilityName>全半角检查</abilityName>
      <candidateList>
        <item>（</item>
      </candidateList>
      <explain>文本全半角错误。</explain>
      <paraID> D96175F</paraID>
      <start>30</start>
      <end>31</end>
      <status>unmodified</status>
      <modifiedWord/>
      <trackRevisions>false</trackRevisions>
    </reviewItem>
    <reviewItem>
      <errorID>111e23d0-3a1e-47b8-974c-6a5da6594a5f</errorID>
      <errorWord>)</errorWord>
      <group>L1_Format</group>
      <groupName>格式问题</groupName>
      <ability>L2_HalfPunc</ability>
      <abilityName>全半角检查</abilityName>
      <candidateList>
        <item>）</item>
      </candidateList>
      <explain>文本全半角错误。</explain>
      <paraID> D96175F</paraID>
      <start>32</start>
      <end>33</end>
      <status>unmodified</status>
      <modifiedWord/>
      <trackRevisions>false</trackRevisions>
    </reviewItem>
    <reviewItem>
      <errorID>9ce3de9a-1813-42d3-b089-89328e7011be</errorID>
      <errorWord>(</errorWord>
      <group>L1_Format</group>
      <groupName>格式问题</groupName>
      <ability>L2_HalfPunc</ability>
      <abilityName>全半角检查</abilityName>
      <candidateList>
        <item>（</item>
      </candidateList>
      <explain>文本全半角错误。</explain>
      <paraID> D96175F</paraID>
      <start>54</start>
      <end>55</end>
      <status>unmodified</status>
      <modifiedWord/>
      <trackRevisions>false</trackRevisions>
    </reviewItem>
    <reviewItem>
      <errorID>0a33b99c-ca38-4576-915e-99887f0efafe</errorID>
      <errorWord>)</errorWord>
      <group>L1_Format</group>
      <groupName>格式问题</groupName>
      <ability>L2_HalfPunc</ability>
      <abilityName>全半角检查</abilityName>
      <candidateList>
        <item>）</item>
      </candidateList>
      <explain>文本全半角错误。</explain>
      <paraID> D96175F</paraID>
      <start>56</start>
      <end>57</end>
      <status>unmodified</status>
      <modifiedWord/>
      <trackRevisions>false</trackRevisions>
    </reviewItem>
    <reviewItem>
      <errorID>2c2ced3b-35a9-4e9b-8d74-ca6e20a5a06a</errorID>
      <errorWord>(</errorWord>
      <group>L1_Format</group>
      <groupName>格式问题</groupName>
      <ability>L2_HalfPunc</ability>
      <abilityName>全半角检查</abilityName>
      <candidateList>
        <item>（</item>
      </candidateList>
      <explain>文本全半角错误。</explain>
      <paraID> D96175F</paraID>
      <start>77</start>
      <end>78</end>
      <status>unmodified</status>
      <modifiedWord/>
      <trackRevisions>false</trackRevisions>
    </reviewItem>
    <reviewItem>
      <errorID>009b5d60-33f1-44d3-b8c1-2b9d23f30a26</errorID>
      <errorWord>)</errorWord>
      <group>L1_Format</group>
      <groupName>格式问题</groupName>
      <ability>L2_HalfPunc</ability>
      <abilityName>全半角检查</abilityName>
      <candidateList>
        <item>）</item>
      </candidateList>
      <explain>文本全半角错误。</explain>
      <paraID> D96175F</paraID>
      <start>79</start>
      <end>80</end>
      <status>unmodified</status>
      <modifiedWord/>
      <trackRevisions>false</trackRevisions>
    </reviewItem>
    <reviewItem>
      <errorID>c425d035-da99-43a3-9c3b-eee7f9315e47</errorID>
      <errorWord>(</errorWord>
      <group>L1_Format</group>
      <groupName>格式问题</groupName>
      <ability>L2_HalfPunc</ability>
      <abilityName>全半角检查</abilityName>
      <candidateList>
        <item>（</item>
      </candidateList>
      <explain>文本全半角错误。</explain>
      <paraID> D96175F</paraID>
      <start>132</start>
      <end>133</end>
      <status>unmodified</status>
      <modifiedWord/>
      <trackRevisions>false</trackRevisions>
    </reviewItem>
    <reviewItem>
      <errorID>be29f818-a898-4200-bb9d-5fa696d3b3c1</errorID>
      <errorWord>)</errorWord>
      <group>L1_Format</group>
      <groupName>格式问题</groupName>
      <ability>L2_HalfPunc</ability>
      <abilityName>全半角检查</abilityName>
      <candidateList>
        <item>）</item>
      </candidateList>
      <explain>文本全半角错误。</explain>
      <paraID> D96175F</paraID>
      <start>134</start>
      <end>135</end>
      <status>unmodified</status>
      <modifiedWord/>
      <trackRevisions>false</trackRevisions>
    </reviewItem>
    <reviewItem>
      <errorID>2f8e58d4-c349-4e2d-b4c2-aed209b83a4c</errorID>
      <errorWord>(</errorWord>
      <group>L1_Format</group>
      <groupName>格式问题</groupName>
      <ability>L2_HalfPunc</ability>
      <abilityName>全半角检查</abilityName>
      <candidateList>
        <item>（</item>
      </candidateList>
      <explain>文本全半角错误。</explain>
      <paraID> D96175F</paraID>
      <start>185</start>
      <end>186</end>
      <status>unmodified</status>
      <modifiedWord/>
      <trackRevisions>false</trackRevisions>
    </reviewItem>
    <reviewItem>
      <errorID>ec32342a-5d8d-42ad-b247-8d8011a0dd3c</errorID>
      <errorWord>)</errorWord>
      <group>L1_Format</group>
      <groupName>格式问题</groupName>
      <ability>L2_HalfPunc</ability>
      <abilityName>全半角检查</abilityName>
      <candidateList>
        <item>）</item>
      </candidateList>
      <explain>文本全半角错误。</explain>
      <paraID> D96175F</paraID>
      <start>187</start>
      <end>188</end>
      <status>unmodified</status>
      <modifiedWord/>
      <trackRevisions>false</trackRevisions>
    </reviewItem>
    <reviewItem>
      <errorID>bd270b11-5ad6-4af1-a5cf-510dae30c1a2</errorID>
      <errorWord>(</errorWord>
      <group>L1_Format</group>
      <groupName>格式问题</groupName>
      <ability>L2_HalfPunc</ability>
      <abilityName>全半角检查</abilityName>
      <candidateList>
        <item>（</item>
      </candidateList>
      <explain>文本全半角错误。</explain>
      <paraID>5698389E</paraID>
      <start>22</start>
      <end>23</end>
      <status>unmodified</status>
      <modifiedWord/>
      <trackRevisions>false</trackRevisions>
    </reviewItem>
    <reviewItem>
      <errorID>1928102f-aa85-4120-a8ba-9f5391eb866b</errorID>
      <errorWord>)</errorWord>
      <group>L1_Format</group>
      <groupName>格式问题</groupName>
      <ability>L2_HalfPunc</ability>
      <abilityName>全半角检查</abilityName>
      <candidateList>
        <item>）</item>
      </candidateList>
      <explain>文本全半角错误。</explain>
      <paraID>5698389E</paraID>
      <start>24</start>
      <end>25</end>
      <status>unmodified</status>
      <modifiedWord/>
      <trackRevisions>false</trackRevisions>
    </reviewItem>
    <reviewItem>
      <errorID>7886c5c5-550f-4dc0-8672-337c64d9147f</errorID>
      <errorWord>(</errorWord>
      <group>L1_Format</group>
      <groupName>格式问题</groupName>
      <ability>L2_HalfPunc</ability>
      <abilityName>全半角检查</abilityName>
      <candidateList>
        <item>（</item>
      </candidateList>
      <explain>文本全半角错误。</explain>
      <paraID>5698389E</paraID>
      <start>59</start>
      <end>60</end>
      <status>unmodified</status>
      <modifiedWord/>
      <trackRevisions>false</trackRevisions>
    </reviewItem>
    <reviewItem>
      <errorID>0de5d3dd-339c-44c3-8707-673344fa551f</errorID>
      <errorWord>)</errorWord>
      <group>L1_Format</group>
      <groupName>格式问题</groupName>
      <ability>L2_HalfPunc</ability>
      <abilityName>全半角检查</abilityName>
      <candidateList>
        <item>）</item>
      </candidateList>
      <explain>文本全半角错误。</explain>
      <paraID>5698389E</paraID>
      <start>62</start>
      <end>63</end>
      <status>unmodified</status>
      <modifiedWord/>
      <trackRevisions>false</trackRevisions>
    </reviewItem>
    <reviewItem>
      <errorID>13202cab-332a-468c-89e2-8ff6bfe1c8fc</errorID>
      <errorWord>(</errorWord>
      <group>L1_Format</group>
      <groupName>格式问题</groupName>
      <ability>L2_HalfPunc</ability>
      <abilityName>全半角检查</abilityName>
      <candidateList>
        <item>（</item>
      </candidateList>
      <explain>文本全半角错误。</explain>
      <paraID>5698389E</paraID>
      <start>78</start>
      <end>79</end>
      <status>unmodified</status>
      <modifiedWord/>
      <trackRevisions>false</trackRevisions>
    </reviewItem>
    <reviewItem>
      <errorID>61facde5-9af9-4936-bcea-dbe502ca0892</errorID>
      <errorWord>)</errorWord>
      <group>L1_Format</group>
      <groupName>格式问题</groupName>
      <ability>L2_HalfPunc</ability>
      <abilityName>全半角检查</abilityName>
      <candidateList>
        <item>）</item>
      </candidateList>
      <explain>文本全半角错误。</explain>
      <paraID>5698389E</paraID>
      <start>81</start>
      <end>82</end>
      <status>unmodified</status>
      <modifiedWord/>
      <trackRevisions>false</trackRevisions>
    </reviewItem>
    <reviewItem>
      <errorID>51baa32b-50bb-44ad-af11-e425727b86e7</errorID>
      <errorWord>(</errorWord>
      <group>L1_Format</group>
      <groupName>格式问题</groupName>
      <ability>L2_HalfPunc</ability>
      <abilityName>全半角检查</abilityName>
      <candidateList>
        <item>（</item>
      </candidateList>
      <explain>文本全半角错误。</explain>
      <paraID>5698389E</paraID>
      <start>85</start>
      <end>86</end>
      <status>unmodified</status>
      <modifiedWord/>
      <trackRevisions>false</trackRevisions>
    </reviewItem>
    <reviewItem>
      <errorID>08238fa0-7f15-46ef-96a9-ee5c639ba018</errorID>
      <errorWord>)</errorWord>
      <group>L1_Format</group>
      <groupName>格式问题</groupName>
      <ability>L2_HalfPunc</ability>
      <abilityName>全半角检查</abilityName>
      <candidateList>
        <item>）</item>
      </candidateList>
      <explain>文本全半角错误。</explain>
      <paraID>5698389E</paraID>
      <start>87</start>
      <end>88</end>
      <status>unmodified</status>
      <modifiedWord/>
      <trackRevisions>false</trackRevisions>
    </reviewItem>
    <reviewItem>
      <errorID>50351211-e8e5-4b23-b152-637cb0bc3cce</errorID>
      <errorWord>(</errorWord>
      <group>L1_Format</group>
      <groupName>格式问题</groupName>
      <ability>L2_HalfPunc</ability>
      <abilityName>全半角检查</abilityName>
      <candidateList>
        <item>（</item>
      </candidateList>
      <explain>文本全半角错误。</explain>
      <paraID>28C0F92A</paraID>
      <start>23</start>
      <end>24</end>
      <status>unmodified</status>
      <modifiedWord/>
      <trackRevisions>false</trackRevisions>
    </reviewItem>
    <reviewItem>
      <errorID>2c5ed541-ed32-4117-b3f8-1222506f9304</errorID>
      <errorWord>)</errorWord>
      <group>L1_Format</group>
      <groupName>格式问题</groupName>
      <ability>L2_HalfPunc</ability>
      <abilityName>全半角检查</abilityName>
      <candidateList>
        <item>）</item>
      </candidateList>
      <explain>文本全半角错误。</explain>
      <paraID>28C0F92A</paraID>
      <start>26</start>
      <end>27</end>
      <status>unmodified</status>
      <modifiedWord/>
      <trackRevisions>false</trackRevisions>
    </reviewItem>
    <reviewItem>
      <errorID>d36fb921-6053-47b5-8177-c69f30485d72</errorID>
      <errorWord>(</errorWord>
      <group>L1_Format</group>
      <groupName>格式问题</groupName>
      <ability>L2_HalfPunc</ability>
      <abilityName>全半角检查</abilityName>
      <candidateList>
        <item>（</item>
      </candidateList>
      <explain>文本全半角错误。</explain>
      <paraID>28C0F92A</paraID>
      <start>30</start>
      <end>31</end>
      <status>unmodified</status>
      <modifiedWord/>
      <trackRevisions>false</trackRevisions>
    </reviewItem>
    <reviewItem>
      <errorID>998fe57a-3391-4788-bee1-924faa4e48eb</errorID>
      <errorWord>)</errorWord>
      <group>L1_Format</group>
      <groupName>格式问题</groupName>
      <ability>L2_HalfPunc</ability>
      <abilityName>全半角检查</abilityName>
      <candidateList>
        <item>）</item>
      </candidateList>
      <explain>文本全半角错误。</explain>
      <paraID>28C0F92A</paraID>
      <start>32</start>
      <end>33</end>
      <status>unmodified</status>
      <modifiedWord/>
      <trackRevisions>false</trackRevisions>
    </reviewItem>
    <reviewItem>
      <errorID>243dd251-0df9-4726-b1e7-242d3f303cde</errorID>
      <errorWord>(</errorWord>
      <group>L1_Format</group>
      <groupName>格式问题</groupName>
      <ability>L2_HalfPunc</ability>
      <abilityName>全半角检查</abilityName>
      <candidateList>
        <item>（</item>
      </candidateList>
      <explain>文本全半角错误。</explain>
      <paraID>3AF73DA3</paraID>
      <start>54</start>
      <end>55</end>
      <status>unmodified</status>
      <modifiedWord/>
      <trackRevisions>false</trackRevisions>
    </reviewItem>
    <reviewItem>
      <errorID>6184d2b5-daa3-417a-a581-7bbf69e8eabd</errorID>
      <errorWord>),</errorWord>
      <group>L1_Format</group>
      <groupName>格式问题</groupName>
      <ability>L2_HalfPunc</ability>
      <abilityName>全半角检查</abilityName>
      <candidateList>
        <item>），</item>
      </candidateList>
      <explain>文本全半角错误。</explain>
      <paraID>3AF73DA3</paraID>
      <start>73</start>
      <end>75</end>
      <status>unmodified</status>
      <modifiedWord/>
      <trackRevisions>false</trackRevisions>
    </reviewItem>
    <reviewItem>
      <errorID>fcbfb324-cbdc-4364-b379-eebdd37ce714</errorID>
      <errorWord>(</errorWord>
      <group>L1_Format</group>
      <groupName>格式问题</groupName>
      <ability>L2_HalfPunc</ability>
      <abilityName>全半角检查</abilityName>
      <candidateList>
        <item>（</item>
      </candidateList>
      <explain>文本全半角错误。</explain>
      <paraID>6F6954D2</paraID>
      <start>75</start>
      <end>76</end>
      <status>unmodified</status>
      <modifiedWord/>
      <trackRevisions>false</trackRevisions>
    </reviewItem>
    <reviewItem>
      <errorID>12375122-b846-4dc6-8db5-d45164962bd6</errorID>
      <errorWord>)</errorWord>
      <group>L1_Format</group>
      <groupName>格式问题</groupName>
      <ability>L2_HalfPunc</ability>
      <abilityName>全半角检查</abilityName>
      <candidateList>
        <item>）</item>
      </candidateList>
      <explain>文本全半角错误。</explain>
      <paraID>6F6954D2</paraID>
      <start>79</start>
      <end>80</end>
      <status>unmodified</status>
      <modifiedWord/>
      <trackRevisions>false</trackRevisions>
    </reviewItem>
    <reviewItem>
      <errorID>40c902ee-80da-47a8-98f5-afc526c1cae5</errorID>
      <errorWord>(</errorWord>
      <group>L1_Format</group>
      <groupName>格式问题</groupName>
      <ability>L2_HalfPunc</ability>
      <abilityName>全半角检查</abilityName>
      <candidateList>
        <item>（</item>
      </candidateList>
      <explain>文本全半角错误。</explain>
      <paraID>6F6954D2</paraID>
      <start>189</start>
      <end>190</end>
      <status>unmodified</status>
      <modifiedWord/>
      <trackRevisions>false</trackRevisions>
    </reviewItem>
    <reviewItem>
      <errorID>499f8192-0b63-4a3f-8d0f-133386a1cfbe</errorID>
      <errorWord>)</errorWord>
      <group>L1_Format</group>
      <groupName>格式问题</groupName>
      <ability>L2_HalfPunc</ability>
      <abilityName>全半角检查</abilityName>
      <candidateList>
        <item>）</item>
      </candidateList>
      <explain>文本全半角错误。</explain>
      <paraID>6F6954D2</paraID>
      <start>196</start>
      <end>197</end>
      <status>unmodified</status>
      <modifiedWord/>
      <trackRevisions>false</trackRevisions>
    </reviewItem>
    <reviewItem>
      <errorID>442420a8-f416-4894-a5eb-6ca1a38a7b01</errorID>
      <errorWord>(</errorWord>
      <group>L1_Format</group>
      <groupName>格式问题</groupName>
      <ability>L2_HalfPunc</ability>
      <abilityName>全半角检查</abilityName>
      <candidateList>
        <item>（</item>
      </candidateList>
      <explain>文本全半角错误。</explain>
      <paraID>5645F1FD</paraID>
      <start>34</start>
      <end>35</end>
      <status>unmodified</status>
      <modifiedWord/>
      <trackRevisions>false</trackRevisions>
    </reviewItem>
    <reviewItem>
      <errorID>0ef42a28-2c23-4e74-958a-9b5c41a027ea</errorID>
      <errorWord>)</errorWord>
      <group>L1_Format</group>
      <groupName>格式问题</groupName>
      <ability>L2_HalfPunc</ability>
      <abilityName>全半角检查</abilityName>
      <candidateList>
        <item>）</item>
      </candidateList>
      <explain>文本全半角错误。</explain>
      <paraID>5645F1FD</paraID>
      <start>36</start>
      <end>37</end>
      <status>unmodified</status>
      <modifiedWord/>
      <trackRevisions>false</trackRevisions>
    </reviewItem>
    <reviewItem>
      <errorID>9e033b05-faea-47eb-91a5-790416c865fc</errorID>
      <errorWord>(</errorWord>
      <group>L1_Format</group>
      <groupName>格式问题</groupName>
      <ability>L2_HalfPunc</ability>
      <abilityName>全半角检查</abilityName>
      <candidateList>
        <item>（</item>
      </candidateList>
      <explain>文本全半角错误。</explain>
      <paraID>1C9E5A79</paraID>
      <start>22</start>
      <end>23</end>
      <status>unmodified</status>
      <modifiedWord/>
      <trackRevisions>false</trackRevisions>
    </reviewItem>
    <reviewItem>
      <errorID>3e1859b7-5c53-42b9-a0c8-2d01d32062a8</errorID>
      <errorWord>)</errorWord>
      <group>L1_Format</group>
      <groupName>格式问题</groupName>
      <ability>L2_HalfPunc</ability>
      <abilityName>全半角检查</abilityName>
      <candidateList>
        <item>）</item>
      </candidateList>
      <explain>文本全半角错误。</explain>
      <paraID>1C9E5A79</paraID>
      <start>25</start>
      <end>26</end>
      <status>unmodified</status>
      <modifiedWord/>
      <trackRevisions>false</trackRevisions>
    </reviewItem>
    <reviewItem>
      <errorID>2a1a945f-e7f2-4a64-80a5-4a1350e8ca48</errorID>
      <errorWord>(</errorWord>
      <group>L1_Format</group>
      <groupName>格式问题</groupName>
      <ability>L2_HalfPunc</ability>
      <abilityName>全半角检查</abilityName>
      <candidateList>
        <item>（</item>
      </candidateList>
      <explain>文本全半角错误。</explain>
      <paraID>1C9E5A79</paraID>
      <start>29</start>
      <end>30</end>
      <status>unmodified</status>
      <modifiedWord/>
      <trackRevisions>false</trackRevisions>
    </reviewItem>
    <reviewItem>
      <errorID>ba4ec181-a803-470a-92e2-65bf2378f2b5</errorID>
      <errorWord>)</errorWord>
      <group>L1_Format</group>
      <groupName>格式问题</groupName>
      <ability>L2_HalfPunc</ability>
      <abilityName>全半角检查</abilityName>
      <candidateList>
        <item>）</item>
      </candidateList>
      <explain>文本全半角错误。</explain>
      <paraID>1C9E5A79</paraID>
      <start>31</start>
      <end>32</end>
      <status>unmodified</status>
      <modifiedWord/>
      <trackRevisions>false</trackRevisions>
    </reviewItem>
    <reviewItem>
      <errorID>b196a1b5-7142-4437-9d49-e4b002125b24</errorID>
      <errorWord>-</errorWord>
      <group>L1_Format</group>
      <groupName>格式问题</groupName>
      <ability>L2_HalfPunc</ability>
      <abilityName>全半角检查</abilityName>
      <candidateList>
        <item>－</item>
      </candidateList>
      <explain>文本全半角错误。</explain>
      <paraID>3E28ECF8</paraID>
      <start>70</start>
      <end>71</end>
      <status>unmodified</status>
      <modifiedWord/>
      <trackRevisions>false</trackRevisions>
    </reviewItem>
    <reviewItem>
      <errorID>63892f64-7a36-4073-9123-6a80f36f854f</errorID>
      <errorWord>(</errorWord>
      <group>L1_Punc</group>
      <groupName>标点问题</groupName>
      <ability>L2_Punc</ability>
      <abilityName>标点符号检查</abilityName>
      <candidateList>
        <item/>
      </candidateList>
      <explain>同一形式括号套用。</explain>
      <paraID>268240DC</paraID>
      <start>62</start>
      <end>63</end>
      <status>unmodified</status>
      <modifiedWord/>
      <trackRevisions>false</trackRevisions>
    </reviewItem>
    <reviewItem>
      <errorID>e8e1c000-8e3b-46ea-bd18-1eac6e0cde41</errorID>
      <errorWord>（</errorWord>
      <group>L1_Punc</group>
      <groupName>标点问题</groupName>
      <ability>L2_Punc</ability>
      <abilityName>标点符号检查</abilityName>
      <candidateList/>
      <explain>同一形式括号套用。</explain>
      <paraID>268240DC</paraID>
      <start>67</start>
      <end>68</end>
      <status>unmodified</status>
      <modifiedWord/>
      <trackRevisions>false</trackRevisions>
    </reviewItem>
    <reviewItem>
      <errorID>eb226577-eebe-4744-8885-763b31055704</errorID>
      <errorWord>）</errorWord>
      <group>L1_Punc</group>
      <groupName>标点问题</groupName>
      <ability>L2_Punc</ability>
      <abilityName>标点符号检查</abilityName>
      <candidateList/>
      <explain>同一形式括号套用。</explain>
      <paraID>268240DC</paraID>
      <start>75</start>
      <end>76</end>
      <status>unmodified</status>
      <modifiedWord/>
      <trackRevisions>false</trackRevisions>
    </reviewItem>
    <reviewItem>
      <errorID>23fb8313-c419-41e4-9f55-93876beb529c</errorID>
      <errorWord>)</errorWord>
      <group>L1_Punc</group>
      <groupName>标点问题</groupName>
      <ability>L2_Punc</ability>
      <abilityName>标点符号检查</abilityName>
      <candidateList/>
      <explain>同一形式括号套用。</explain>
      <paraID>268240DC</paraID>
      <start>76</start>
      <end>77</end>
      <status>unmodified</status>
      <modifiedWord/>
      <trackRevisions>false</trackRevisions>
    </reviewItem>
    <reviewItem>
      <errorID>7cffe269-8545-44bf-b64e-15d48373ab97</errorID>
      <errorWord>(</errorWord>
      <group>L1_Format</group>
      <groupName>格式问题</groupName>
      <ability>L2_HalfPunc</ability>
      <abilityName>全半角检查</abilityName>
      <candidateList>
        <item>（</item>
      </candidateList>
      <explain>文本全半角错误。</explain>
      <paraID>38654C4C</paraID>
      <start>124</start>
      <end>125</end>
      <status>unmodified</status>
      <modifiedWord/>
      <trackRevisions>false</trackRevisions>
    </reviewItem>
    <reviewItem>
      <errorID>79ddc80b-1305-49e8-af91-89b4743efcf5</errorID>
      <errorWord>)</errorWord>
      <group>L1_Format</group>
      <groupName>格式问题</groupName>
      <ability>L2_HalfPunc</ability>
      <abilityName>全半角检查</abilityName>
      <candidateList>
        <item>）</item>
      </candidateList>
      <explain>文本全半角错误。</explain>
      <paraID>38654C4C</paraID>
      <start>134</start>
      <end>135</end>
      <status>unmodified</status>
      <modifiedWord/>
      <trackRevisions>false</trackRevisions>
    </reviewItem>
    <reviewItem>
      <errorID>55c7b278-223f-42ca-856e-9603a1577e72</errorID>
      <errorWord>(</errorWord>
      <group>L1_Format</group>
      <groupName>格式问题</groupName>
      <ability>L2_HalfPunc</ability>
      <abilityName>全半角检查</abilityName>
      <candidateList>
        <item>（</item>
      </candidateList>
      <explain>文本全半角错误。</explain>
      <paraID>5C1DBEFF</paraID>
      <start>37</start>
      <end>38</end>
      <status>unmodified</status>
      <modifiedWord/>
      <trackRevisions>false</trackRevisions>
    </reviewItem>
    <reviewItem>
      <errorID>737eb1b4-e4d4-43e2-b3df-754d2f046e03</errorID>
      <errorWord>)</errorWord>
      <group>L1_Format</group>
      <groupName>格式问题</groupName>
      <ability>L2_HalfPunc</ability>
      <abilityName>全半角检查</abilityName>
      <candidateList>
        <item>）</item>
      </candidateList>
      <explain>文本全半角错误。</explain>
      <paraID>5C1DBEFF</paraID>
      <start>40</start>
      <end>41</end>
      <status>unmodified</status>
      <modifiedWord/>
      <trackRevisions>false</trackRevisions>
    </reviewItem>
    <reviewItem>
      <errorID>99790913-03b1-4bbd-ba16-578538ef22f9</errorID>
      <errorWord>(</errorWord>
      <group>L1_Format</group>
      <groupName>格式问题</groupName>
      <ability>L2_HalfPunc</ability>
      <abilityName>全半角检查</abilityName>
      <candidateList>
        <item>（</item>
      </candidateList>
      <explain>文本全半角错误。</explain>
      <paraID> 1933F3A</paraID>
      <start>21</start>
      <end>22</end>
      <status>unmodified</status>
      <modifiedWord/>
      <trackRevisions>false</trackRevisions>
    </reviewItem>
    <reviewItem>
      <errorID>f3e9c57d-5a2e-4b67-8429-d2b7d87adbec</errorID>
      <errorWord>)</errorWord>
      <group>L1_Format</group>
      <groupName>格式问题</groupName>
      <ability>L2_HalfPunc</ability>
      <abilityName>全半角检查</abilityName>
      <candidateList>
        <item>）</item>
      </candidateList>
      <explain>文本全半角错误。</explain>
      <paraID> 1933F3A</paraID>
      <start>23</start>
      <end>24</end>
      <status>unmodified</status>
      <modifiedWord/>
      <trackRevisions>false</trackRevisions>
    </reviewItem>
    <reviewItem>
      <errorID>5583588c-9954-40ba-b221-e2c84b3ba5e8</errorID>
      <errorWord>(</errorWord>
      <group>L1_Format</group>
      <groupName>格式问题</groupName>
      <ability>L2_HalfPunc</ability>
      <abilityName>全半角检查</abilityName>
      <candidateList>
        <item>（</item>
      </candidateList>
      <explain>文本全半角错误。</explain>
      <paraID>46E07804</paraID>
      <start>169</start>
      <end>170</end>
      <status>unmodified</status>
      <modifiedWord/>
      <trackRevisions>false</trackRevisions>
    </reviewItem>
    <reviewItem>
      <errorID>9f655740-c6df-4993-b54e-996e95dedaca</errorID>
      <errorWord>)</errorWord>
      <group>L1_Format</group>
      <groupName>格式问题</groupName>
      <ability>L2_HalfPunc</ability>
      <abilityName>全半角检查</abilityName>
      <candidateList>
        <item>）</item>
      </candidateList>
      <explain>文本全半角错误。</explain>
      <paraID>46E07804</paraID>
      <start>171</start>
      <end>172</end>
      <status>unmodified</status>
      <modifiedWord/>
      <trackRevisions>false</trackRevisions>
    </reviewItem>
    <reviewItem>
      <errorID>d8447006-01d6-4b22-b0a1-bef526c3d103</errorID>
      <errorWord>(</errorWord>
      <group>L1_Format</group>
      <groupName>格式问题</groupName>
      <ability>L2_HalfPunc</ability>
      <abilityName>全半角检查</abilityName>
      <candidateList>
        <item>（</item>
      </candidateList>
      <explain>文本全半角错误。</explain>
      <paraID>1B0B0F09</paraID>
      <start>239</start>
      <end>240</end>
      <status>unmodified</status>
      <modifiedWord/>
      <trackRevisions>false</trackRevisions>
    </reviewItem>
    <reviewItem>
      <errorID>da5e03c8-31d4-43c5-8b9d-5121ac5c232b</errorID>
      <errorWord>)</errorWord>
      <group>L1_Format</group>
      <groupName>格式问题</groupName>
      <ability>L2_HalfPunc</ability>
      <abilityName>全半角检查</abilityName>
      <candidateList>
        <item>）</item>
      </candidateList>
      <explain>文本全半角错误。</explain>
      <paraID>1B0B0F09</paraID>
      <start>241</start>
      <end>242</end>
      <status>unmodified</status>
      <modifiedWord/>
      <trackRevisions>false</trackRevisions>
    </reviewItem>
    <reviewItem>
      <errorID>e2fc8e3c-fde2-4ed0-b2e2-069a82ab9fb0</errorID>
      <errorWord>(</errorWord>
      <group>L1_Format</group>
      <groupName>格式问题</groupName>
      <ability>L2_HalfPunc</ability>
      <abilityName>全半角检查</abilityName>
      <candidateList>
        <item>（</item>
      </candidateList>
      <explain>文本全半角错误。</explain>
      <paraID> CCE686E</paraID>
      <start>32</start>
      <end>33</end>
      <status>unmodified</status>
      <modifiedWord/>
      <trackRevisions>false</trackRevisions>
    </reviewItem>
    <reviewItem>
      <errorID>88568b52-d4d4-411f-8d62-f96c224d2288</errorID>
      <errorWord>)</errorWord>
      <group>L1_Format</group>
      <groupName>格式问题</groupName>
      <ability>L2_HalfPunc</ability>
      <abilityName>全半角检查</abilityName>
      <candidateList>
        <item>）</item>
      </candidateList>
      <explain>文本全半角错误。</explain>
      <paraID> CCE686E</paraID>
      <start>37</start>
      <end>38</end>
      <status>unmodified</status>
      <modifiedWord/>
      <trackRevisions>false</trackRevisions>
    </reviewItem>
    <reviewItem>
      <errorID>e7ae11bf-b717-4d03-8710-49086375a10b</errorID>
      <errorWord>“</errorWord>
      <group>L1_Punc</group>
      <groupName>标点问题</groupName>
      <ability>L2_Punc</ability>
      <abilityName>标点符号检查</abilityName>
      <candidateList/>
      <explain/>
      <paraID>41B6A7F3</paraID>
      <start>101</start>
      <end>102</end>
      <status>unmodified</status>
      <modifiedWord/>
      <trackRevisions>false</trackRevisions>
    </reviewItem>
    <reviewItem>
      <errorID>2a9f5425-be27-42f8-bb5f-91cb9e95e77d</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515B7966</paraID>
      <start>18</start>
      <end>19</end>
      <status>unmodified</status>
      <modifiedWord/>
      <trackRevisions>false</trackRevisions>
    </reviewItem>
    <reviewItem>
      <errorID>2feccedf-0a5c-4c3b-a984-22f986c6eaf8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66F82FA0</paraID>
      <start>0</start>
      <end>2</end>
      <status>unmodified</status>
      <modifiedWord/>
      <trackRevisions>false</trackRevisions>
    </reviewItem>
    <reviewItem>
      <errorID>a89297c4-44c7-4732-9648-4eb072cea704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4DD9B7EF</paraID>
      <start>0</start>
      <end>2</end>
      <status>unmodified</status>
      <modifiedWord/>
      <trackRevisions>false</trackRevisions>
    </reviewItem>
    <reviewItem>
      <errorID>daa9f9ac-2112-4be4-acea-a2ffc6665f22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3DA05733</paraID>
      <start>0</start>
      <end>2</end>
      <status>unmodified</status>
      <modifiedWord/>
      <trackRevisions>false</trackRevisions>
    </reviewItem>
    <reviewItem>
      <errorID>88a10d5f-2465-446c-8b5f-43fa07c417aa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263413E2</paraID>
      <start>0</start>
      <end>2</end>
      <status>unmodified</status>
      <modifiedWord/>
      <trackRevisions>false</trackRevisions>
    </reviewItem>
    <reviewItem>
      <errorID>4e98b874-8d4b-4922-9ec1-d906e783a924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34092F7E</paraID>
      <start>0</start>
      <end>2</end>
      <status>unmodified</status>
      <modifiedWord/>
      <trackRevisions>false</trackRevisions>
    </reviewItem>
    <reviewItem>
      <errorID>d7704e11-5ea9-40be-bfc6-9f45cc46b847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56A23E13</paraID>
      <start>0</start>
      <end>2</end>
      <status>unmodified</status>
      <modifiedWord/>
      <trackRevisions>false</trackRevisions>
    </reviewItem>
    <reviewItem>
      <errorID>b9b45fc4-6dce-4731-a1d1-30bbd3eb058f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1AFF88EB</paraID>
      <start>0</start>
      <end>2</end>
      <status>unmodified</status>
      <modifiedWord/>
      <trackRevisions>false</trackRevisions>
    </reviewItem>
    <reviewItem>
      <errorID>967129c5-0665-4641-8077-a5bffd13528d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7CE070DF</paraID>
      <start>0</start>
      <end>2</end>
      <status>unmodified</status>
      <modifiedWord/>
      <trackRevisions>false</trackRevisions>
    </reviewItem>
    <reviewItem>
      <errorID>8d4eab26-0847-407f-af21-4450232e5601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3F3558CB</paraID>
      <start>0</start>
      <end>2</end>
      <status>unmodified</status>
      <modifiedWord/>
      <trackRevisions>false</trackRevisions>
    </reviewItem>
    <reviewItem>
      <errorID>71be081c-fb0c-4ca5-bcd8-dd873d8426d7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10869E5F</paraID>
      <start>0</start>
      <end>2</end>
      <status>unmodified</status>
      <modifiedWord/>
      <trackRevisions>false</trackRevisions>
    </reviewItem>
    <reviewItem>
      <errorID>075d6596-ddf3-4355-9ebb-2174706377d4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3456E31F</paraID>
      <start>0</start>
      <end>2</end>
      <status>unmodified</status>
      <modifiedWord/>
      <trackRevisions>false</trackRevisions>
    </reviewItem>
    <reviewItem>
      <errorID>95f9f845-458d-4563-88b4-57758621b303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135A9D6F</paraID>
      <start>0</start>
      <end>2</end>
      <status>unmodified</status>
      <modifiedWord/>
      <trackRevisions>false</trackRevisions>
    </reviewItem>
    <reviewItem>
      <errorID>d4a30a5c-9f97-40ef-a94d-aa0f2cc4bc03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1B244A6D</paraID>
      <start>0</start>
      <end>2</end>
      <status>unmodified</status>
      <modifiedWord/>
      <trackRevisions>false</trackRevisions>
    </reviewItem>
    <reviewItem>
      <errorID>68cb8fc4-7797-4d29-8473-94a53ce73d89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167BF7E5</paraID>
      <start>0</start>
      <end>2</end>
      <status>unmodified</status>
      <modifiedWord/>
      <trackRevisions>false</trackRevisions>
    </reviewItem>
    <reviewItem>
      <errorID>6abefede-2dc8-4fde-9364-adf9c8919553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1439A50E</paraID>
      <start>0</start>
      <end>2</end>
      <status>unmodified</status>
      <modifiedWord/>
      <trackRevisions>false</trackRevisions>
    </reviewItem>
    <reviewItem>
      <errorID>d5712715-aa58-474f-be2a-b49701720912</errorID>
      <errorWord>~</errorWord>
      <group>L1_Format</group>
      <groupName>格式问题</groupName>
      <ability>L2_HalfPunc</ability>
      <abilityName>全半角检查</abilityName>
      <candidateList>
        <item>～</item>
      </candidateList>
      <explain>文本全半角错误。</explain>
      <paraID>787DD7F8</paraID>
      <start>24</start>
      <end>25</end>
      <status>unmodified</status>
      <modifiedWord/>
      <trackRevisions>false</trackRevisions>
    </reviewItem>
    <reviewItem>
      <errorID>b7c9b94e-eeb4-4eac-af9c-e3e74b4dfa38</errorID>
      <errorWord>~</errorWord>
      <group>L1_Format</group>
      <groupName>格式问题</groupName>
      <ability>L2_HalfPunc</ability>
      <abilityName>全半角检查</abilityName>
      <candidateList>
        <item>～</item>
      </candidateList>
      <explain>文本全半角错误。</explain>
      <paraID>78126419</paraID>
      <start>17</start>
      <end>18</end>
      <status>unmodified</status>
      <modifiedWord/>
      <trackRevisions>false</trackRevisions>
    </reviewItem>
    <reviewItem>
      <errorID>5494020c-76df-4133-8584-be4778292453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52CC8CDB</paraID>
      <start>207</start>
      <end>208</end>
      <status>unmodified</status>
      <modifiedWord/>
      <trackRevisions>false</trackRevisions>
    </reviewItem>
    <reviewItem>
      <errorID>27d272b9-0046-4c4c-b519-2e41f9c72878</errorID>
      <errorWord>"</errorWord>
      <group>L1_Format</group>
      <groupName>格式问题</groupName>
      <ability>L2_HalfPunc</ability>
      <abilityName>全半角检查</abilityName>
      <candidateList/>
      <explain>文本全半角错误。</explain>
      <paraID>5914CEBB</paraID>
      <start>36</start>
      <end>37</end>
      <status>unmodified</status>
      <modifiedWord/>
      <trackRevisions>false</trackRevisions>
    </reviewItem>
    <reviewItem>
      <errorID>d67950ab-8f38-4e32-9897-017e1fb91599</errorID>
      <errorWord>"</errorWord>
      <group>L1_Format</group>
      <groupName>格式问题</groupName>
      <ability>L2_HalfPunc</ability>
      <abilityName>全半角检查</abilityName>
      <candidateList/>
      <explain>文本全半角错误。</explain>
      <paraID>5914CEBB</paraID>
      <start>53</start>
      <end>54</end>
      <status>unmodified</status>
      <modifiedWord/>
      <trackRevisions>false</trackRevisions>
    </reviewItem>
    <reviewItem>
      <errorID>94951de4-02db-4e95-9eea-61eae083cd44</errorID>
      <errorWord>融化</errorWord>
      <group>L1_Word</group>
      <groupName>字词问题</groupName>
      <ability>L2_Typo</ability>
      <abilityName>字词错误</abilityName>
      <candidateList>
        <item>熔化</item>
      </candidateList>
      <explain>存在发音相同字词的误用。</explain>
      <paraID>5701D272</paraID>
      <start>26</start>
      <end>28</end>
      <status>unmodified</status>
      <modifiedWord/>
      <trackRevisions>false</trackRevisions>
    </reviewItem>
    <reviewItem>
      <errorID>8886dc33-06f8-4bf3-aff2-0e2a048b62bd</errorID>
      <errorWord>~</errorWord>
      <group>L1_Format</group>
      <groupName>格式问题</groupName>
      <ability>L2_HalfPunc</ability>
      <abilityName>全半角检查</abilityName>
      <candidateList>
        <item>～</item>
      </candidateList>
      <explain>文本全半角错误。</explain>
      <paraID>603B906D</paraID>
      <start>13</start>
      <end>14</end>
      <status>unmodified</status>
      <modifiedWord/>
      <trackRevisions>false</trackRevisions>
    </reviewItem>
    <reviewItem>
      <errorID>31919602-2129-451d-813f-ba6fc4877849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277E7C26</paraID>
      <start>28</start>
      <end>29</end>
      <status>unmodified</status>
      <modifiedWord/>
      <trackRevisions>false</trackRevisions>
    </reviewItem>
    <reviewItem>
      <errorID>c33c4e9a-de47-4926-b426-47b1f288bb66</errorID>
      <errorWord>-</errorWord>
      <group>L1_Format</group>
      <groupName>格式问题</groupName>
      <ability>L2_HalfPunc</ability>
      <abilityName>全半角检查</abilityName>
      <candidateList>
        <item>－</item>
      </candidateList>
      <explain>文本全半角错误。</explain>
      <paraID>42C482AB</paraID>
      <start>259</start>
      <end>260</end>
      <status>unmodified</status>
      <modifiedWord/>
      <trackRevisions>false</trackRevisions>
    </reviewItem>
    <reviewItem>
      <errorID>b1f24a09-32b7-46ad-bcfc-6c25b42cfb29</errorID>
      <errorWord>（</errorWord>
      <group>L1_Format</group>
      <groupName>格式问题</groupName>
      <ability>L2_HalfPunc</ability>
      <abilityName>全半角检查</abilityName>
      <candidateList>
        <item>(</item>
      </candidateList>
      <explain>文本全半角错误。</explain>
      <paraID>65BB50B1</paraID>
      <start>0</start>
      <end>1</end>
      <status>unmodified</status>
      <modifiedWord/>
      <trackRevisions>false</trackRevisions>
    </reviewItem>
    <reviewItem>
      <errorID>5b2eb48d-546d-4a9f-8ca3-92643aaa0773</errorID>
      <errorWord>）</errorWord>
      <group>L1_Format</group>
      <groupName>格式问题</groupName>
      <ability>L2_HalfPunc</ability>
      <abilityName>全半角检查</abilityName>
      <candidateList>
        <item>)</item>
      </candidateList>
      <explain>文本全半角错误。</explain>
      <paraID>65BB50B1</paraID>
      <start>7</start>
      <end>8</end>
      <status>unmodified</status>
      <modifiedWord/>
      <trackRevisions>false</trackRevisions>
    </reviewItem>
    <reviewItem>
      <errorID>75488e56-0b8e-4f2f-afdd-5a72befa4b12</errorID>
      <errorWord>(</errorWord>
      <group>L1_Format</group>
      <groupName>格式问题</groupName>
      <ability>L2_HalfPunc</ability>
      <abilityName>全半角检查</abilityName>
      <candidateList>
        <item>（</item>
      </candidateList>
      <explain>文本全半角错误。</explain>
      <paraID> 536D6E3</paraID>
      <start>40</start>
      <end>41</end>
      <status>unmodified</status>
      <modifiedWord/>
      <trackRevisions>false</trackRevisions>
    </reviewItem>
    <reviewItem>
      <errorID>094edd5b-bedc-40b6-8c74-3348a3765f52</errorID>
      <errorWord>)</errorWord>
      <group>L1_Format</group>
      <groupName>格式问题</groupName>
      <ability>L2_HalfPunc</ability>
      <abilityName>全半角检查</abilityName>
      <candidateList>
        <item>）</item>
      </candidateList>
      <explain>文本全半角错误。</explain>
      <paraID> 536D6E3</paraID>
      <start>51</start>
      <end>52</end>
      <status>unmodified</status>
      <modifiedWord/>
      <trackRevisions>false</trackRevisions>
    </reviewItem>
    <reviewItem>
      <errorID>7026bd1a-8bfb-4785-b13c-90d0c25f2cdb</errorID>
      <errorWord>(</errorWord>
      <group>L1_Format</group>
      <groupName>格式问题</groupName>
      <ability>L2_HalfPunc</ability>
      <abilityName>全半角检查</abilityName>
      <candidateList>
        <item>（</item>
      </candidateList>
      <explain>文本全半角错误。</explain>
      <paraID>43A952AA</paraID>
      <start>9</start>
      <end>10</end>
      <status>unmodified</status>
      <modifiedWord/>
      <trackRevisions>false</trackRevisions>
    </reviewItem>
    <reviewItem>
      <errorID>6f46a74d-b844-4911-b592-2de904ed9972</errorID>
      <errorWord>)</errorWord>
      <group>L1_Format</group>
      <groupName>格式问题</groupName>
      <ability>L2_HalfPunc</ability>
      <abilityName>全半角检查</abilityName>
      <candidateList>
        <item>）</item>
      </candidateList>
      <explain>文本全半角错误。</explain>
      <paraID>43A952AA</paraID>
      <start>22</start>
      <end>23</end>
      <status>unmodified</status>
      <modifiedWord/>
      <trackRevisions>false</trackRevisions>
    </reviewItem>
    <reviewItem>
      <errorID>d16dbf73-c210-4b72-a107-31f2989c4a1b</errorID>
      <errorWord>（</errorWord>
      <group>L1_Format</group>
      <groupName>格式问题</groupName>
      <ability>L2_HalfPunc</ability>
      <abilityName>全半角检查</abilityName>
      <candidateList>
        <item>(</item>
      </candidateList>
      <explain>文本全半角错误。</explain>
      <paraID>69D38C99</paraID>
      <start>4</start>
      <end>5</end>
      <status>unmodified</status>
      <modifiedWord/>
      <trackRevisions>false</trackRevisions>
    </reviewItem>
    <reviewItem>
      <errorID>4c23b529-800e-4204-9316-2a65315a35f8</errorID>
      <errorWord>）</errorWord>
      <group>L1_Format</group>
      <groupName>格式问题</groupName>
      <ability>L2_HalfPunc</ability>
      <abilityName>全半角检查</abilityName>
      <candidateList>
        <item>)</item>
      </candidateList>
      <explain>文本全半角错误。</explain>
      <paraID>69D38C99</paraID>
      <start>6</start>
      <end>7</end>
      <status>unmodified</status>
      <modifiedWord/>
      <trackRevisions>false</trackRevisions>
    </reviewItem>
    <reviewItem>
      <errorID>9c5eb07a-0543-4fdd-bd30-1bb624bffc68</errorID>
      <errorWord>（</errorWord>
      <group>L1_Format</group>
      <groupName>格式问题</groupName>
      <ability>L2_HalfPunc</ability>
      <abilityName>全半角检查</abilityName>
      <candidateList>
        <item>(</item>
      </candidateList>
      <explain>文本全半角错误。</explain>
      <paraID> 45B883A</paraID>
      <start>4</start>
      <end>5</end>
      <status>unmodified</status>
      <modifiedWord/>
      <trackRevisions>false</trackRevisions>
    </reviewItem>
    <reviewItem>
      <errorID>c01ea3cb-6715-4d31-a89d-765f71651fcc</errorID>
      <errorWord>）</errorWord>
      <group>L1_Format</group>
      <groupName>格式问题</groupName>
      <ability>L2_HalfPunc</ability>
      <abilityName>全半角检查</abilityName>
      <candidateList>
        <item>)</item>
      </candidateList>
      <explain>文本全半角错误。</explain>
      <paraID> 45B883A</paraID>
      <start>6</start>
      <end>7</end>
      <status>unmodified</status>
      <modifiedWord/>
      <trackRevisions>false</trackRevisions>
    </reviewItem>
    <reviewItem>
      <errorID>a5a059c4-7054-4b5a-9abd-a903873d8441</errorID>
      <errorWord>:</errorWord>
      <group>L1_Format</group>
      <groupName>格式问题</groupName>
      <ability>L2_HalfPunc</ability>
      <abilityName>全半角检查</abilityName>
      <candidateList>
        <item>：</item>
      </candidateList>
      <explain>文本全半角错误。</explain>
      <paraID>3FB7372E</paraID>
      <start>68</start>
      <end>69</end>
      <status>unmodified</status>
      <modifiedWord/>
      <trackRevisions>false</trackRevisions>
    </reviewItem>
    <reviewItem>
      <errorID>7562c373-5a38-4a03-9a07-681289542c27</errorID>
      <errorWord>（</errorWord>
      <group>L1_Punc</group>
      <groupName>标点问题</groupName>
      <ability>L2_Punc</ability>
      <abilityName>标点符号检查</abilityName>
      <candidateList/>
      <explain>同一形式括号套用。</explain>
      <paraID>3FB7372E</paraID>
      <start>120</start>
      <end>121</end>
      <status>unmodified</status>
      <modifiedWord/>
      <trackRevisions>false</trackRevisions>
    </reviewItem>
    <reviewItem>
      <errorID>c80461fa-35e8-44a5-ba17-c19a1d6876c7</errorID>
      <errorWord>）</errorWord>
      <group>L1_Punc</group>
      <groupName>标点问题</groupName>
      <ability>L2_Punc</ability>
      <abilityName>标点符号检查</abilityName>
      <candidateList/>
      <explain>同一形式括号套用。</explain>
      <paraID>3FB7372E</paraID>
      <start>128</start>
      <end>129</end>
      <status>unmodified</status>
      <modifiedWord/>
      <trackRevisions>false</trackRevisions>
    </reviewItem>
    <reviewItem>
      <errorID>ba2317f3-d88a-47e8-b876-f868eb155052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1AC999C1</paraID>
      <start>177</start>
      <end>178</end>
      <status>unmodified</status>
      <modifiedWord/>
      <trackRevisions>false</trackRevisions>
    </reviewItem>
    <reviewItem>
      <errorID>723f8197-9828-4544-a5f6-a31c39be15e0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1AC999C1</paraID>
      <start>204</start>
      <end>205</end>
      <status>unmodified</status>
      <modifiedWord/>
      <trackRevisions>false</trackRevisions>
    </reviewItem>
    <reviewItem>
      <errorID>572935da-9b73-4e37-be44-d1dcf77eddf6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1AC999C1</paraID>
      <start>235</start>
      <end>236</end>
      <status>unmodified</status>
      <modifiedWord/>
      <trackRevisions>false</trackRevisions>
    </reviewItem>
    <reviewItem>
      <errorID>81a04332-1921-4abf-a58a-917a8d06e8c9</errorID>
      <errorWord>(</errorWord>
      <group>L1_Format</group>
      <groupName>格式问题</groupName>
      <ability>L2_HalfPunc</ability>
      <abilityName>全半角检查</abilityName>
      <candidateList>
        <item>（</item>
      </candidateList>
      <explain>文本全半角错误。</explain>
      <paraID>6B9028B1</paraID>
      <start>5</start>
      <end>6</end>
      <status>unmodified</status>
      <modifiedWord/>
      <trackRevisions>false</trackRevisions>
    </reviewItem>
    <reviewItem>
      <errorID>27200c0f-30b1-461d-bee4-0fb0da216b49</errorID>
      <errorWord>)</errorWord>
      <group>L1_Format</group>
      <groupName>格式问题</groupName>
      <ability>L2_HalfPunc</ability>
      <abilityName>全半角检查</abilityName>
      <candidateList>
        <item>）</item>
      </candidateList>
      <explain>文本全半角错误。</explain>
      <paraID>6B9028B1</paraID>
      <start>9</start>
      <end>10</end>
      <status>unmodified</status>
      <modifiedWord/>
      <trackRevisions>false</trackRevisions>
    </reviewItem>
    <reviewItem>
      <errorID>5a8f6fbe-1ed9-4a97-8c60-b0a32e741c6b</errorID>
      <errorWord>(</errorWord>
      <group>L1_Format</group>
      <groupName>格式问题</groupName>
      <ability>L2_HalfPunc</ability>
      <abilityName>全半角检查</abilityName>
      <candidateList>
        <item>（</item>
      </candidateList>
      <explain>文本全半角错误。</explain>
      <paraID>6B9028B1</paraID>
      <start>52</start>
      <end>53</end>
      <status>unmodified</status>
      <modifiedWord/>
      <trackRevisions>false</trackRevisions>
    </reviewItem>
    <reviewItem>
      <errorID>71bd8f40-518e-4b2d-8ed0-b81d881a5686</errorID>
      <errorWord>)</errorWord>
      <group>L1_Format</group>
      <groupName>格式问题</groupName>
      <ability>L2_HalfPunc</ability>
      <abilityName>全半角检查</abilityName>
      <candidateList>
        <item>）</item>
      </candidateList>
      <explain>文本全半角错误。</explain>
      <paraID>6B9028B1</paraID>
      <start>55</start>
      <end>56</end>
      <status>unmodified</status>
      <modifiedWord/>
      <trackRevisions>false</trackRevisions>
    </reviewItem>
    <reviewItem>
      <errorID>304aad3d-b70d-4225-801e-0b40fae55a7d</errorID>
      <errorWord>(</errorWord>
      <group>L1_Format</group>
      <groupName>格式问题</groupName>
      <ability>L2_HalfPunc</ability>
      <abilityName>全半角检查</abilityName>
      <candidateList>
        <item>（</item>
      </candidateList>
      <explain>文本全半角错误。</explain>
      <paraID>6B9028B1</paraID>
      <start>65</start>
      <end>66</end>
      <status>unmodified</status>
      <modifiedWord/>
      <trackRevisions>false</trackRevisions>
    </reviewItem>
    <reviewItem>
      <errorID>ccfe73ea-2c2e-4c41-add7-324117a60d09</errorID>
      <errorWord>)</errorWord>
      <group>L1_Format</group>
      <groupName>格式问题</groupName>
      <ability>L2_HalfPunc</ability>
      <abilityName>全半角检查</abilityName>
      <candidateList>
        <item>）</item>
      </candidateList>
      <explain>文本全半角错误。</explain>
      <paraID>6B9028B1</paraID>
      <start>70</start>
      <end>71</end>
      <status>unmodified</status>
      <modifiedWord/>
      <trackRevisions>false</trackRevisions>
    </reviewItem>
    <reviewItem>
      <errorID>84f0f5a2-5b40-4a57-b6d0-239ddb744ea5</errorID>
      <errorWord>(</errorWord>
      <group>L1_Format</group>
      <groupName>格式问题</groupName>
      <ability>L2_HalfPunc</ability>
      <abilityName>全半角检查</abilityName>
      <candidateList>
        <item>（</item>
      </candidateList>
      <explain>文本全半角错误。</explain>
      <paraID>3887A902</paraID>
      <start>104</start>
      <end>105</end>
      <status>unmodified</status>
      <modifiedWord/>
      <trackRevisions>false</trackRevisions>
    </reviewItem>
    <reviewItem>
      <errorID>0ad98706-74d8-40fa-bd0a-3bd369d94fa4</errorID>
      <errorWord>)</errorWord>
      <group>L1_Format</group>
      <groupName>格式问题</groupName>
      <ability>L2_HalfPunc</ability>
      <abilityName>全半角检查</abilityName>
      <candidateList>
        <item>）</item>
      </candidateList>
      <explain>文本全半角错误。</explain>
      <paraID>3887A902</paraID>
      <start>108</start>
      <end>109</end>
      <status>unmodified</status>
      <modifiedWord/>
      <trackRevisions>false</trackRevisions>
    </reviewItem>
    <reviewItem>
      <errorID>13384de2-9ce5-46be-9155-30647d8ed4c0</errorID>
      <errorWord>(</errorWord>
      <group>L1_Format</group>
      <groupName>格式问题</groupName>
      <ability>L2_HalfPunc</ability>
      <abilityName>全半角检查</abilityName>
      <candidateList>
        <item>（</item>
      </candidateList>
      <explain>文本全半角错误。</explain>
      <paraID>6DF7C4BA</paraID>
      <start>7</start>
      <end>8</end>
      <status>unmodified</status>
      <modifiedWord/>
      <trackRevisions>false</trackRevisions>
    </reviewItem>
    <reviewItem>
      <errorID>be259718-56e4-4a88-b2cd-88fe318efb50</errorID>
      <errorWord>)</errorWord>
      <group>L1_Format</group>
      <groupName>格式问题</groupName>
      <ability>L2_HalfPunc</ability>
      <abilityName>全半角检查</abilityName>
      <candidateList>
        <item>）</item>
      </candidateList>
      <explain>文本全半角错误。</explain>
      <paraID>6DF7C4BA</paraID>
      <start>9</start>
      <end>10</end>
      <status>unmodified</status>
      <modifiedWord/>
      <trackRevisions>false</trackRevisions>
    </reviewItem>
    <reviewItem>
      <errorID>14c2dfbe-8cd5-4a50-af5c-8ecb517f601c</errorID>
      <errorWord>(</errorWord>
      <group>L1_Format</group>
      <groupName>格式问题</groupName>
      <ability>L2_HalfPunc</ability>
      <abilityName>全半角检查</abilityName>
      <candidateList>
        <item>（</item>
      </candidateList>
      <explain>文本全半角错误。</explain>
      <paraID>7262A7B3</paraID>
      <start>5</start>
      <end>6</end>
      <status>unmodified</status>
      <modifiedWord/>
      <trackRevisions>false</trackRevisions>
    </reviewItem>
    <reviewItem>
      <errorID>9c701150-398a-44e6-b1a1-b460ae366544</errorID>
      <errorWord>)</errorWord>
      <group>L1_Format</group>
      <groupName>格式问题</groupName>
      <ability>L2_HalfPunc</ability>
      <abilityName>全半角检查</abilityName>
      <candidateList>
        <item>）</item>
      </candidateList>
      <explain>文本全半角错误。</explain>
      <paraID>7262A7B3</paraID>
      <start>7</start>
      <end>8</end>
      <status>unmodified</status>
      <modifiedWord/>
      <trackRevisions>false</trackRevisions>
    </reviewItem>
    <reviewItem>
      <errorID>bad83338-8ab7-47ec-99ee-ec8d66f6d20b</errorID>
      <errorWord>(</errorWord>
      <group>L1_Format</group>
      <groupName>格式问题</groupName>
      <ability>L2_HalfPunc</ability>
      <abilityName>全半角检查</abilityName>
      <candidateList>
        <item>（</item>
      </candidateList>
      <explain>文本全半角错误。</explain>
      <paraID>7A53A235</paraID>
      <start>7</start>
      <end>8</end>
      <status>unmodified</status>
      <modifiedWord/>
      <trackRevisions>false</trackRevisions>
    </reviewItem>
    <reviewItem>
      <errorID>2a42da1c-cca0-464f-a51b-0b12277cdfcb</errorID>
      <errorWord>)</errorWord>
      <group>L1_Format</group>
      <groupName>格式问题</groupName>
      <ability>L2_HalfPunc</ability>
      <abilityName>全半角检查</abilityName>
      <candidateList>
        <item>）</item>
      </candidateList>
      <explain>文本全半角错误。</explain>
      <paraID>7A53A235</paraID>
      <start>9</start>
      <end>10</end>
      <status>unmodified</status>
      <modifiedWord/>
      <trackRevisions>false</trackRevisions>
    </reviewItem>
    <reviewItem>
      <errorID>cabf0021-2f98-48dc-b520-5d1b9b292ad8</errorID>
      <errorWord>(</errorWord>
      <group>L1_Format</group>
      <groupName>格式问题</groupName>
      <ability>L2_HalfPunc</ability>
      <abilityName>全半角检查</abilityName>
      <candidateList>
        <item>（</item>
      </candidateList>
      <explain>文本全半角错误。</explain>
      <paraID>36BD34D5</paraID>
      <start>4</start>
      <end>5</end>
      <status>unmodified</status>
      <modifiedWord/>
      <trackRevisions>false</trackRevisions>
    </reviewItem>
    <reviewItem>
      <errorID>d0e89e55-8645-4c52-bfeb-1b2757665388</errorID>
      <errorWord>)</errorWord>
      <group>L1_Format</group>
      <groupName>格式问题</groupName>
      <ability>L2_HalfPunc</ability>
      <abilityName>全半角检查</abilityName>
      <candidateList>
        <item>）</item>
      </candidateList>
      <explain>文本全半角错误。</explain>
      <paraID>36BD34D5</paraID>
      <start>8</start>
      <end>9</end>
      <status>unmodified</status>
      <modifiedWord/>
      <trackRevisions>false</trackRevisions>
    </reviewItem>
    <reviewItem>
      <errorID>cd580eb5-25fe-491c-b759-0c02c6342fde</errorID>
      <errorWord>(</errorWord>
      <group>L1_Format</group>
      <groupName>格式问题</groupName>
      <ability>L2_HalfPunc</ability>
      <abilityName>全半角检查</abilityName>
      <candidateList>
        <item>（</item>
      </candidateList>
      <explain>文本全半角错误。</explain>
      <paraID>71E0366F</paraID>
      <start>4</start>
      <end>5</end>
      <status>unmodified</status>
      <modifiedWord/>
      <trackRevisions>false</trackRevisions>
    </reviewItem>
    <reviewItem>
      <errorID>8b89bea0-e079-4588-8ee1-cffb24e571a5</errorID>
      <errorWord>)</errorWord>
      <group>L1_Format</group>
      <groupName>格式问题</groupName>
      <ability>L2_HalfPunc</ability>
      <abilityName>全半角检查</abilityName>
      <candidateList>
        <item>）</item>
      </candidateList>
      <explain>文本全半角错误。</explain>
      <paraID>71E0366F</paraID>
      <start>6</start>
      <end>7</end>
      <status>unmodified</status>
      <modifiedWord/>
      <trackRevisions>false</trackRevisions>
    </reviewItem>
    <reviewItem>
      <errorID>ae8e2835-35aa-4bff-a0ef-558c0c9cc6e6</errorID>
      <errorWord>(</errorWord>
      <group>L1_Format</group>
      <groupName>格式问题</groupName>
      <ability>L2_HalfPunc</ability>
      <abilityName>全半角检查</abilityName>
      <candidateList>
        <item>（</item>
      </candidateList>
      <explain>文本全半角错误。</explain>
      <paraID>79A33141</paraID>
      <start>6</start>
      <end>7</end>
      <status>unmodified</status>
      <modifiedWord/>
      <trackRevisions>false</trackRevisions>
    </reviewItem>
    <reviewItem>
      <errorID>01bb0dfc-d79d-4d16-82f3-a40c501b8966</errorID>
      <errorWord>)</errorWord>
      <group>L1_Format</group>
      <groupName>格式问题</groupName>
      <ability>L2_HalfPunc</ability>
      <abilityName>全半角检查</abilityName>
      <candidateList>
        <item>）</item>
      </candidateList>
      <explain>文本全半角错误。</explain>
      <paraID>79A33141</paraID>
      <start>8</start>
      <end>9</end>
      <status>unmodified</status>
      <modifiedWord/>
      <trackRevisions>false</trackRevisions>
    </reviewItem>
    <reviewItem>
      <errorID>6f93fc33-7f0c-4b3c-9313-bc80e9754c7e</errorID>
      <errorWord>(</errorWord>
      <group>L1_Format</group>
      <groupName>格式问题</groupName>
      <ability>L2_HalfPunc</ability>
      <abilityName>全半角检查</abilityName>
      <candidateList>
        <item>（</item>
      </candidateList>
      <explain>文本全半角错误。</explain>
      <paraID>31D9E7F0</paraID>
      <start>7</start>
      <end>8</end>
      <status>unmodified</status>
      <modifiedWord/>
      <trackRevisions>false</trackRevisions>
    </reviewItem>
    <reviewItem>
      <errorID>47b468b0-ab1a-46e7-91a9-2cf117f39201</errorID>
      <errorWord>)</errorWord>
      <group>L1_Format</group>
      <groupName>格式问题</groupName>
      <ability>L2_HalfPunc</ability>
      <abilityName>全半角检查</abilityName>
      <candidateList>
        <item>）</item>
      </candidateList>
      <explain>文本全半角错误。</explain>
      <paraID>31D9E7F0</paraID>
      <start>12</start>
      <end>13</end>
      <status>unmodified</status>
      <modifiedWord/>
      <trackRevisions>false</trackRevisions>
    </reviewItem>
    <reviewItem>
      <errorID>db1c1b0b-b1e1-485f-a347-9151396f0021</errorID>
      <errorWord>》</errorWord>
      <group>L1_Punc</group>
      <groupName>标点问题</groupName>
      <ability>L2_Punc</ability>
      <abilityName>标点符号检查</abilityName>
      <candidateList/>
      <explain/>
      <paraID>5515C995</paraID>
      <start>335</start>
      <end>336</end>
      <status>unmodified</status>
      <modifiedWord/>
      <trackRevisions>false</trackRevisions>
    </reviewItem>
    <reviewItem>
      <errorID>abe835b4-1782-47b8-8eb6-0046d99a418c</errorID>
      <errorWord>（</errorWord>
      <group>L1_Format</group>
      <groupName>格式问题</groupName>
      <ability>L2_HalfPunc</ability>
      <abilityName>全半角检查</abilityName>
      <candidateList>
        <item>(</item>
      </candidateList>
      <explain>文本全半角错误。</explain>
      <paraID>5AD11BC5</paraID>
      <start>2</start>
      <end>3</end>
      <status>unmodified</status>
      <modifiedWord/>
      <trackRevisions>false</trackRevisions>
    </reviewItem>
    <reviewItem>
      <errorID>50f6229e-b04a-4aa6-9cff-a783a448b27f</errorID>
      <errorWord>）</errorWord>
      <group>L1_Format</group>
      <groupName>格式问题</groupName>
      <ability>L2_HalfPunc</ability>
      <abilityName>全半角检查</abilityName>
      <candidateList>
        <item>)</item>
      </candidateList>
      <explain>文本全半角错误。</explain>
      <paraID>5AD11BC5</paraID>
      <start>4</start>
      <end>5</end>
      <status>unmodified</status>
      <modifiedWord/>
      <trackRevisions>false</trackRevisions>
    </reviewItem>
    <reviewItem>
      <errorID>b0a3b819-7e18-454e-9486-17b8087a2085</errorID>
      <errorWord>)</errorWord>
      <group>L1_Format</group>
      <groupName>格式问题</groupName>
      <ability>L2_HalfPunc</ability>
      <abilityName>全半角检查</abilityName>
      <candidateList>
        <item>）</item>
      </candidateList>
      <explain>文本全半角错误。</explain>
      <paraID>297C76BE</paraID>
      <start>12</start>
      <end>13</end>
      <status>unmodified</status>
      <modifiedWord/>
      <trackRevisions>false</trackRevisions>
    </reviewItem>
    <reviewItem>
      <errorID>6ba0415a-fc3d-4bdf-aade-54365bb04b50</errorID>
      <errorWord>(</errorWord>
      <group>L1_Format</group>
      <groupName>格式问题</groupName>
      <ability>L2_HalfPunc</ability>
      <abilityName>全半角检查</abilityName>
      <candidateList>
        <item>（</item>
      </candidateList>
      <explain>文本全半角错误。</explain>
      <paraID>61A1B54C</paraID>
      <start>14</start>
      <end>15</end>
      <status>unmodified</status>
      <modifiedWord/>
      <trackRevisions>false</trackRevisions>
    </reviewItem>
    <reviewItem>
      <errorID>4e5aca46-df9d-4167-9657-8592b97a53d0</errorID>
      <errorWord>)</errorWord>
      <group>L1_Format</group>
      <groupName>格式问题</groupName>
      <ability>L2_HalfPunc</ability>
      <abilityName>全半角检查</abilityName>
      <candidateList>
        <item>）</item>
      </candidateList>
      <explain>文本全半角错误。</explain>
      <paraID>185BBB8A</paraID>
      <start>20</start>
      <end>21</end>
      <status>unmodified</status>
      <modifiedWord/>
      <trackRevisions>false</trackRevisions>
    </reviewItem>
    <reviewItem>
      <errorID>89de1da9-04d7-4d7b-859d-a5a010dfa763</errorID>
      <errorWord>,</errorWord>
      <group>L1_Format</group>
      <groupName>格式问题</groupName>
      <ability>L2_HalfPunc</ability>
      <abilityName>全半角检查</abilityName>
      <candidateList>
        <item>，</item>
      </candidateList>
      <explain>文本全半角错误。</explain>
      <paraID>4AC50360</paraID>
      <start>84</start>
      <end>85</end>
      <status>unmodified</status>
      <modifiedWord/>
      <trackRevisions>false</trackRevisions>
    </reviewItem>
    <reviewItem>
      <errorID>4e918a9d-1222-4f7c-8eb4-1133db55eef4</errorID>
      <errorWord>（</errorWord>
      <group>L1_Format</group>
      <groupName>格式问题</groupName>
      <ability>L2_HalfPunc</ability>
      <abilityName>全半角检查</abilityName>
      <candidateList>
        <item>(</item>
      </candidateList>
      <explain>文本全半角错误。</explain>
      <paraID>408E2FF9</paraID>
      <start>0</start>
      <end>1</end>
      <status>unmodified</status>
      <modifiedWord/>
      <trackRevisions>false</trackRevisions>
    </reviewItem>
    <reviewItem>
      <errorID>a9db44a2-e099-48e2-8463-06972983bc80</errorID>
      <errorWord>）</errorWord>
      <group>L1_Format</group>
      <groupName>格式问题</groupName>
      <ability>L2_HalfPunc</ability>
      <abilityName>全半角检查</abilityName>
      <candidateList>
        <item>)</item>
      </candidateList>
      <explain>文本全半角错误。</explain>
      <paraID>408E2FF9</paraID>
      <start>3</start>
      <end>4</end>
      <status>unmodified</status>
      <modifiedWord/>
      <trackRevisions>false</trackRevisions>
    </reviewItem>
    <reviewItem>
      <errorID>4125259b-0c71-47d0-99d1-8740977e1090</errorID>
      <errorWord>（</errorWord>
      <group>L1_Format</group>
      <groupName>格式问题</groupName>
      <ability>L2_HalfPunc</ability>
      <abilityName>全半角检查</abilityName>
      <candidateList>
        <item>(</item>
      </candidateList>
      <explain>文本全半角错误。</explain>
      <paraID>6FAD866C</paraID>
      <start>0</start>
      <end>1</end>
      <status>unmodified</status>
      <modifiedWord/>
      <trackRevisions>false</trackRevisions>
    </reviewItem>
    <reviewItem>
      <errorID>0bd6c3b6-db5c-4776-9114-5a5bc8a8cc49</errorID>
      <errorWord>）</errorWord>
      <group>L1_Format</group>
      <groupName>格式问题</groupName>
      <ability>L2_HalfPunc</ability>
      <abilityName>全半角检查</abilityName>
      <candidateList>
        <item>)</item>
      </candidateList>
      <explain>文本全半角错误。</explain>
      <paraID>6FAD866C</paraID>
      <start>3</start>
      <end>4</end>
      <status>unmodified</status>
      <modifiedWord/>
      <trackRevisions>false</trackRevisions>
    </reviewItem>
    <reviewItem>
      <errorID>2aca7543-9e70-4ad3-a193-77ca8077ca70</errorID>
      <errorWord>（</errorWord>
      <group>L1_Format</group>
      <groupName>格式问题</groupName>
      <ability>L2_HalfPunc</ability>
      <abilityName>全半角检查</abilityName>
      <candidateList>
        <item>(</item>
      </candidateList>
      <explain>文本全半角错误。</explain>
      <paraID>3655A8DE</paraID>
      <start>0</start>
      <end>1</end>
      <status>unmodified</status>
      <modifiedWord/>
      <trackRevisions>false</trackRevisions>
    </reviewItem>
    <reviewItem>
      <errorID>67d1d4b3-d7dc-421a-9b04-e098185af366</errorID>
      <errorWord>）</errorWord>
      <group>L1_Format</group>
      <groupName>格式问题</groupName>
      <ability>L2_HalfPunc</ability>
      <abilityName>全半角检查</abilityName>
      <candidateList>
        <item>)</item>
      </candidateList>
      <explain>文本全半角错误。</explain>
      <paraID>3655A8DE</paraID>
      <start>3</start>
      <end>4</end>
      <status>unmodified</status>
      <modifiedWord/>
      <trackRevisions>false</trackRevisions>
    </reviewItem>
    <reviewItem>
      <errorID>42af4bb4-72b5-44f3-8f56-84d06939437a</errorID>
      <errorWord>(</errorWord>
      <group>L1_Format</group>
      <groupName>格式问题</groupName>
      <ability>L2_HalfPunc</ability>
      <abilityName>全半角检查</abilityName>
      <candidateList>
        <item>（</item>
      </candidateList>
      <explain>文本全半角错误。</explain>
      <paraID>1624E28C</paraID>
      <start>62</start>
      <end>63</end>
      <status>unmodified</status>
      <modifiedWord/>
      <trackRevisions>false</trackRevisions>
    </reviewItem>
    <reviewItem>
      <errorID>83b34393-8fb1-4f77-8496-5f8bc10e04f5</errorID>
      <errorWord>)</errorWord>
      <group>L1_Format</group>
      <groupName>格式问题</groupName>
      <ability>L2_HalfPunc</ability>
      <abilityName>全半角检查</abilityName>
      <candidateList>
        <item>）</item>
      </candidateList>
      <explain>文本全半角错误。</explain>
      <paraID>1624E28C</paraID>
      <start>74</start>
      <end>75</end>
      <status>unmodified</status>
      <modifiedWord/>
      <trackRevisions>false</trackRevisions>
    </reviewItem>
    <reviewItem>
      <errorID>fdfb1ea5-a033-4622-bdfe-de79d53e9c74</errorID>
      <errorWord>-</errorWord>
      <group>L1_Format</group>
      <groupName>格式问题</groupName>
      <ability>L2_HalfPunc</ability>
      <abilityName>全半角检查</abilityName>
      <candidateList>
        <item>－</item>
      </candidateList>
      <explain>文本全半角错误。</explain>
      <paraID>20FDEB61</paraID>
      <start>51</start>
      <end>52</end>
      <status>unmodified</status>
      <modifiedWord/>
      <trackRevisions>false</trackRevisions>
    </reviewItem>
    <reviewItem>
      <errorID>acd19f28-e45b-4e2c-847a-fd622e16938e</errorID>
      <errorWord>“</errorWord>
      <group>L1_Punc</group>
      <groupName>标点问题</groupName>
      <ability>L2_Punc</ability>
      <abilityName>标点符号检查</abilityName>
      <candidateList/>
      <explain/>
      <paraID>6392C6BA</paraID>
      <start>0</start>
      <end>1</end>
      <status>unmodified</status>
      <modifiedWord/>
      <trackRevisions>false</trackRevisions>
    </reviewItem>
    <reviewItem>
      <errorID>baaab004-5d9b-4739-9ff1-771bbdb116a3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2DD0838</paraID>
      <start>79</start>
      <end>80</end>
      <status>unmodified</status>
      <modifiedWord/>
      <trackRevisions>false</trackRevisions>
    </reviewItem>
    <reviewItem>
      <errorID>f81f3c1a-a16f-4233-8d2b-cc7e870a96bb</errorID>
      <errorWord>，...，</errorWord>
      <group>L1_Punc</group>
      <groupName>标点问题</groupName>
      <ability>L2_Punc</ability>
      <abilityName>标点符号检查</abilityName>
      <candidateList>
        <item>，</item>
      </candidateList>
      <explain/>
      <paraID>1EFCDF94</paraID>
      <start>8</start>
      <end>13</end>
      <status>unmodified</status>
      <modifiedWord/>
      <trackRevisions>false</trackRevisions>
    </reviewItem>
    <reviewItem>
      <errorID>ad44c5b5-d343-4d0c-87ac-c246a1647cc6</errorID>
      <errorWord>，...，</errorWord>
      <group>L1_Punc</group>
      <groupName>标点问题</groupName>
      <ability>L2_Punc</ability>
      <abilityName>标点符号检查</abilityName>
      <candidateList>
        <item>，</item>
      </candidateList>
      <explain/>
      <paraID>1EFCDF94</paraID>
      <start>38</start>
      <end>43</end>
      <status>unmodified</status>
      <modifiedWord/>
      <trackRevisions>false</trackRevisions>
    </reviewItem>
    <reviewItem>
      <errorID>126742b7-432e-48d3-9ff6-286148efa8b5</errorID>
      <errorWord>（</errorWord>
      <group>L1_Format</group>
      <groupName>格式问题</groupName>
      <ability>L2_HalfPunc</ability>
      <abilityName>全半角检查</abilityName>
      <candidateList>
        <item>(</item>
      </candidateList>
      <explain>文本全半角错误。</explain>
      <paraID>18C860D0</paraID>
      <start>1</start>
      <end>2</end>
      <status>unmodified</status>
      <modifiedWord/>
      <trackRevisions>false</trackRevisions>
    </reviewItem>
    <reviewItem>
      <errorID>dca6f03e-2948-46e3-8b3e-7fc1f628eb41</errorID>
      <errorWord>）</errorWord>
      <group>L1_Format</group>
      <groupName>格式问题</groupName>
      <ability>L2_HalfPunc</ability>
      <abilityName>全半角检查</abilityName>
      <candidateList>
        <item>)</item>
      </candidateList>
      <explain>文本全半角错误。</explain>
      <paraID>18C860D0</paraID>
      <start>7</start>
      <end>8</end>
      <status>unmodified</status>
      <modifiedWord/>
      <trackRevisions>false</trackRevisions>
    </reviewItem>
    <reviewItem>
      <errorID>a35871bc-2271-435b-a4d1-127810f43bcb</errorID>
      <errorWord>,</errorWord>
      <group>L1_Format</group>
      <groupName>格式问题</groupName>
      <ability>L2_HalfPunc</ability>
      <abilityName>全半角检查</abilityName>
      <candidateList>
        <item>，</item>
      </candidateList>
      <explain>文本全半角错误。</explain>
      <paraID> ADF826C</paraID>
      <start>11</start>
      <end>12</end>
      <status>unmodified</status>
      <modifiedWord/>
      <trackRevisions>false</trackRevisions>
    </reviewItem>
    <reviewItem>
      <errorID>61558788-7f94-433f-9e27-92815492f2bb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602EBCB2</paraID>
      <start>126</start>
      <end>127</end>
      <status>unmodified</status>
      <modifiedWord/>
      <trackRevisions>false</trackRevisions>
    </reviewItem>
    <reviewItem>
      <errorID>8163367a-61cf-48bc-917c-e1064a9812c1</errorID>
      <errorWord>》</errorWord>
      <group>L1_Punc</group>
      <groupName>标点问题</groupName>
      <ability>L2_Punc</ability>
      <abilityName>标点符号检查</abilityName>
      <candidateList/>
      <explain/>
      <paraID>12B5D74D</paraID>
      <start>23</start>
      <end>24</end>
      <status>unmodified</status>
      <modifiedWord/>
      <trackRevisions>false</trackRevisions>
    </reviewItem>
    <reviewItem>
      <errorID>4d90dd89-8b07-4d29-8a4a-6a28c68308a5</errorID>
      <errorWord>临近</errorWord>
      <group>L1_Word</group>
      <groupName>字词问题</groupName>
      <ability>L2_Typo</ability>
      <abilityName>字词错误</abilityName>
      <candidateList>
        <item>邻近</item>
      </candidateList>
      <explain>存在发音相同字词的误用。</explain>
      <paraID>27C806B7</paraID>
      <start>5</start>
      <end>7</end>
      <status>unmodified</status>
      <modifiedWord/>
      <trackRevisions>false</trackRevisions>
    </reviewItem>
    <reviewItem>
      <errorID>d453a048-3a32-45f3-b9bf-e5ccd75d3ce9</errorID>
      <errorWord>区</errorWord>
      <group>L1_Word</group>
      <groupName>字词问题</groupName>
      <ability>L2_Typo</ability>
      <abilityName>字词错误</abilityName>
      <candidateList>
        <item>区域</item>
      </candidateList>
      <explain/>
      <paraID>414DEFD8</paraID>
      <start>9</start>
      <end>10</end>
      <status>unmodified</status>
      <modifiedWord/>
      <trackRevisions>false</trackRevisions>
    </reviewItem>
    <reviewItem>
      <errorID>587b525b-4379-4289-b19f-cafee34cb17d</errorID>
      <errorWord>"</errorWord>
      <group>L1_Format</group>
      <groupName>格式问题</groupName>
      <ability>L2_HalfPunc</ability>
      <abilityName>全半角检查</abilityName>
      <candidateList/>
      <explain>文本全半角错误。</explain>
      <paraID>510B6057</paraID>
      <start>15</start>
      <end>16</end>
      <status>unmodified</status>
      <modifiedWord/>
      <trackRevisions>false</trackRevisions>
    </reviewItem>
    <reviewItem>
      <errorID>eac3da32-9198-4dec-91c5-d85e10b27d2d</errorID>
      <errorWord>(</errorWord>
      <group>L1_Format</group>
      <groupName>格式问题</groupName>
      <ability>L2_HalfPunc</ability>
      <abilityName>全半角检查</abilityName>
      <candidateList>
        <item>（</item>
      </candidateList>
      <explain>文本全半角错误。</explain>
      <paraID>33A17FAE</paraID>
      <start>4</start>
      <end>5</end>
      <status>unmodified</status>
      <modifiedWord/>
      <trackRevisions>false</trackRevisions>
    </reviewItem>
    <reviewItem>
      <errorID>5731cb53-7cd9-4fc4-9f84-003ac09f1993</errorID>
      <errorWord>)</errorWord>
      <group>L1_Format</group>
      <groupName>格式问题</groupName>
      <ability>L2_HalfPunc</ability>
      <abilityName>全半角检查</abilityName>
      <candidateList>
        <item>）</item>
      </candidateList>
      <explain>文本全半角错误。</explain>
      <paraID>33A17FAE</paraID>
      <start>7</start>
      <end>8</end>
      <status>unmodified</status>
      <modifiedWord/>
      <trackRevisions>false</trackRevisions>
    </reviewItem>
    <reviewItem>
      <errorID>5f2db85b-2cac-4596-a439-c9de4e8e7919</errorID>
      <errorWord>(</errorWord>
      <group>L1_Format</group>
      <groupName>格式问题</groupName>
      <ability>L2_HalfPunc</ability>
      <abilityName>全半角检查</abilityName>
      <candidateList>
        <item>（</item>
      </candidateList>
      <explain>文本全半角错误。</explain>
      <paraID>7AEE18D7</paraID>
      <start>3</start>
      <end>4</end>
      <status>unmodified</status>
      <modifiedWord/>
      <trackRevisions>false</trackRevisions>
    </reviewItem>
    <reviewItem>
      <errorID>4fd66d3d-07eb-44a6-90c0-1c973172b06a</errorID>
      <errorWord>)</errorWord>
      <group>L1_Format</group>
      <groupName>格式问题</groupName>
      <ability>L2_HalfPunc</ability>
      <abilityName>全半角检查</abilityName>
      <candidateList>
        <item>）</item>
      </candidateList>
      <explain>文本全半角错误。</explain>
      <paraID>1429A19E</paraID>
      <start>2</start>
      <end>3</end>
      <status>unmodified</status>
      <modifiedWord/>
      <trackRevisions>false</trackRevisions>
    </reviewItem>
    <reviewItem>
      <errorID>6f914c5d-28ae-49c3-9875-50a4bc9fb63f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18450BD9</paraID>
      <start>0</start>
      <end>2</end>
      <status>unmodified</status>
      <modifiedWord/>
      <trackRevisions>false</trackRevisions>
    </reviewItem>
    <reviewItem>
      <errorID>26072c4b-0083-46f1-861b-69df12693ceb</errorID>
      <errorWord>-</errorWord>
      <group>L1_Format</group>
      <groupName>格式问题</groupName>
      <ability>L2_HalfPunc</ability>
      <abilityName>全半角检查</abilityName>
      <candidateList>
        <item>－</item>
      </candidateList>
      <explain>文本全半角错误。</explain>
      <paraID>6EFEBEAB</paraID>
      <start>60</start>
      <end>61</end>
      <status>unmodified</status>
      <modifiedWord/>
      <trackRevisions>false</trackRevisions>
    </reviewItem>
    <reviewItem>
      <errorID>054d3f83-b370-49eb-a834-b8f988bbbfe1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4991D31D</paraID>
      <start>0</start>
      <end>2</end>
      <status>unmodified</status>
      <modifiedWord/>
      <trackRevisions>false</trackRevisions>
    </reviewItem>
    <reviewItem>
      <errorID>f03bb22c-468e-483b-b944-b60fc792ad0d</errorID>
      <errorWord>-</errorWord>
      <group>L1_Format</group>
      <groupName>格式问题</groupName>
      <ability>L2_HalfPunc</ability>
      <abilityName>全半角检查</abilityName>
      <candidateList>
        <item>－</item>
      </candidateList>
      <explain>文本全半角错误。</explain>
      <paraID>68A699A8</paraID>
      <start>113</start>
      <end>114</end>
      <status>unmodified</status>
      <modifiedWord/>
      <trackRevisions>false</trackRevisions>
    </reviewItem>
    <reviewItem>
      <errorID>7cec43d4-34d3-4d23-856c-2cf3d2ad5872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70CC3D6B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2ff230-887d-4848-b253-89da10a62389}">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15908</Words>
  <Characters>16691</Characters>
  <Lines>0</Lines>
  <Paragraphs>0</Paragraphs>
  <TotalTime>4</TotalTime>
  <ScaleCrop>false</ScaleCrop>
  <LinksUpToDate>false</LinksUpToDate>
  <CharactersWithSpaces>16753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2021-03-31T10:02:00Z</dcterms:created>
  <dc:creator>-ZYJ。</dc:creator>
  <cp:lastModifiedBy>磊少</cp:lastModifiedBy>
  <cp:lastPrinted>2021-06-23T03:39:00Z</cp:lastPrinted>
  <dcterms:modified xsi:type="dcterms:W3CDTF">2026-01-14T05:12:49Z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B937DBF0E25048459C48247D3D3DC856_13</vt:lpwstr>
  </property>
  <property fmtid="{D5CDD505-2E9C-101B-9397-08002B2CF9AE}" pid="4" name="KSOSaveFontToCloudKey">
    <vt:lpwstr>394434088_cloud</vt:lpwstr>
  </property>
  <property fmtid="{D5CDD505-2E9C-101B-9397-08002B2CF9AE}" pid="5" name="commondata">
    <vt:lpwstr>eyJoZGlkIjoiNDRhNGU5NjU1NjI2MjI4Yzg0ZTU5NmQ1MDdkMGYxNDcifQ==</vt:lpwstr>
  </property>
  <property fmtid="{D5CDD505-2E9C-101B-9397-08002B2CF9AE}" pid="6" name="KSOTemplateDocerSaveRecord">
    <vt:lpwstr>eyJoZGlkIjoiMDljYzUzMWQ4OWI0YzBkYjYzMDRhZTY5ZjZkYmFmYTgiLCJ1c2VySWQiOiIyNzg2Mzc1NTQifQ==</vt:lpwstr>
  </property>
</Properties>
</file>