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9298C">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leftChars="0" w:right="0" w:rightChars="0" w:firstLine="0" w:firstLineChars="0"/>
        <w:jc w:val="center"/>
        <w:textAlignment w:val="auto"/>
        <w:outlineLvl w:val="9"/>
        <w:rPr>
          <w:rFonts w:hint="eastAsia" w:ascii="微软雅黑" w:hAnsi="微软雅黑" w:eastAsia="微软雅黑" w:cs="微软雅黑"/>
          <w:color w:val="auto"/>
          <w:sz w:val="30"/>
          <w:szCs w:val="30"/>
          <w:lang w:val="en-US" w:eastAsia="zh-CN" w:bidi="ar-SA"/>
        </w:rPr>
      </w:pPr>
      <w:bookmarkStart w:id="112" w:name="_GoBack"/>
      <w:bookmarkEnd w:id="112"/>
    </w:p>
    <w:p w14:paraId="66C8919E">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leftChars="0" w:right="0" w:rightChars="0" w:firstLine="0" w:firstLineChars="0"/>
        <w:jc w:val="center"/>
        <w:textAlignment w:val="auto"/>
        <w:outlineLvl w:val="9"/>
        <w:rPr>
          <w:rFonts w:hint="eastAsia" w:ascii="微软雅黑" w:hAnsi="微软雅黑" w:eastAsia="微软雅黑" w:cs="微软雅黑"/>
          <w:color w:val="auto"/>
          <w:sz w:val="30"/>
          <w:szCs w:val="30"/>
          <w:lang w:val="en-US" w:eastAsia="zh-CN" w:bidi="ar-SA"/>
        </w:rPr>
      </w:pPr>
    </w:p>
    <w:p w14:paraId="4C0BEA53">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outlineLvl w:val="0"/>
        <w:rPr>
          <w:rFonts w:hint="default" w:ascii="Times New Roman" w:hAnsi="Times New Roman" w:eastAsia="宋体" w:cs="Times New Roman"/>
          <w:b/>
          <w:bCs w:val="0"/>
          <w:color w:val="auto"/>
          <w:sz w:val="72"/>
          <w:szCs w:val="72"/>
          <w:highlight w:val="none"/>
        </w:rPr>
      </w:pPr>
      <w:r>
        <w:rPr>
          <w:rFonts w:hint="default" w:ascii="Times New Roman" w:hAnsi="Times New Roman" w:eastAsia="宋体" w:cs="Times New Roman"/>
          <w:b/>
          <w:bCs w:val="0"/>
          <w:color w:val="auto"/>
          <w:sz w:val="72"/>
          <w:szCs w:val="72"/>
          <w:highlight w:val="none"/>
        </w:rPr>
        <w:t>建设项目环境影响报告表</w:t>
      </w:r>
    </w:p>
    <w:p w14:paraId="39B52AF9">
      <w:pPr>
        <w:keepNext w:val="0"/>
        <w:keepLines w:val="0"/>
        <w:pageBreakBefore w:val="0"/>
        <w:widowControl w:val="0"/>
        <w:kinsoku/>
        <w:wordWrap/>
        <w:overflowPunct w:val="0"/>
        <w:topLinePunct w:val="0"/>
        <w:autoSpaceDE w:val="0"/>
        <w:autoSpaceDN w:val="0"/>
        <w:bidi w:val="0"/>
        <w:adjustRightInd w:val="0"/>
        <w:snapToGrid w:val="0"/>
        <w:spacing w:before="249" w:beforeLines="80" w:line="360" w:lineRule="auto"/>
        <w:ind w:firstLine="0" w:firstLineChars="0"/>
        <w:jc w:val="center"/>
        <w:textAlignment w:val="auto"/>
        <w:rPr>
          <w:rFonts w:hint="default" w:ascii="Times New Roman" w:hAnsi="Times New Roman" w:eastAsia="宋体" w:cs="Times New Roman"/>
          <w:b/>
          <w:bCs w:val="0"/>
          <w:color w:val="auto"/>
          <w:sz w:val="48"/>
          <w:szCs w:val="48"/>
          <w:highlight w:val="none"/>
        </w:rPr>
      </w:pPr>
      <w:r>
        <w:rPr>
          <w:rFonts w:hint="default" w:ascii="Times New Roman" w:hAnsi="Times New Roman" w:eastAsia="宋体" w:cs="Times New Roman"/>
          <w:b/>
          <w:bCs w:val="0"/>
          <w:color w:val="auto"/>
          <w:sz w:val="48"/>
          <w:szCs w:val="48"/>
          <w:highlight w:val="none"/>
        </w:rPr>
        <w:t>（污染影响类）</w:t>
      </w:r>
    </w:p>
    <w:p w14:paraId="01DD55CF">
      <w:pPr>
        <w:keepNext w:val="0"/>
        <w:keepLines w:val="0"/>
        <w:pageBreakBefore w:val="0"/>
        <w:widowControl w:val="0"/>
        <w:kinsoku/>
        <w:wordWrap/>
        <w:overflowPunct w:val="0"/>
        <w:topLinePunct w:val="0"/>
        <w:autoSpaceDE w:val="0"/>
        <w:autoSpaceDN w:val="0"/>
        <w:bidi w:val="0"/>
        <w:adjustRightInd w:val="0"/>
        <w:snapToGrid w:val="0"/>
        <w:spacing w:line="360" w:lineRule="auto"/>
        <w:ind w:firstLine="0" w:firstLineChars="0"/>
        <w:jc w:val="center"/>
        <w:textAlignment w:val="auto"/>
        <w:rPr>
          <w:rFonts w:hint="default" w:ascii="Times New Roman" w:hAnsi="Times New Roman" w:eastAsia="宋体" w:cs="Times New Roman"/>
          <w:b/>
          <w:bCs w:val="0"/>
          <w:color w:val="auto"/>
          <w:sz w:val="32"/>
          <w:szCs w:val="32"/>
          <w:highlight w:val="none"/>
          <w:lang w:eastAsia="zh-CN"/>
        </w:rPr>
      </w:pPr>
      <w:bookmarkStart w:id="0" w:name="_Hlk57883728"/>
      <w:r>
        <w:rPr>
          <w:rFonts w:hint="default" w:ascii="Times New Roman" w:hAnsi="Times New Roman" w:eastAsia="宋体" w:cs="Times New Roman"/>
          <w:b/>
          <w:bCs w:val="0"/>
          <w:color w:val="auto"/>
          <w:sz w:val="32"/>
          <w:szCs w:val="32"/>
          <w:highlight w:val="none"/>
          <w:lang w:eastAsia="zh-CN"/>
        </w:rPr>
        <w:t>（</w:t>
      </w:r>
      <w:r>
        <w:rPr>
          <w:rFonts w:hint="eastAsia" w:cs="Times New Roman"/>
          <w:b/>
          <w:bCs w:val="0"/>
          <w:color w:val="auto"/>
          <w:sz w:val="32"/>
          <w:szCs w:val="32"/>
          <w:highlight w:val="none"/>
          <w:lang w:val="en-US" w:eastAsia="zh-CN"/>
        </w:rPr>
        <w:t>修改</w:t>
      </w:r>
      <w:r>
        <w:rPr>
          <w:rFonts w:hint="default" w:ascii="Times New Roman" w:hAnsi="Times New Roman" w:eastAsia="宋体" w:cs="Times New Roman"/>
          <w:b/>
          <w:bCs w:val="0"/>
          <w:color w:val="auto"/>
          <w:sz w:val="32"/>
          <w:szCs w:val="32"/>
          <w:highlight w:val="none"/>
          <w:lang w:val="en-US" w:eastAsia="zh-CN"/>
        </w:rPr>
        <w:t>稿</w:t>
      </w:r>
      <w:r>
        <w:rPr>
          <w:rFonts w:hint="default" w:ascii="Times New Roman" w:hAnsi="Times New Roman" w:eastAsia="宋体" w:cs="Times New Roman"/>
          <w:b/>
          <w:bCs w:val="0"/>
          <w:color w:val="auto"/>
          <w:sz w:val="32"/>
          <w:szCs w:val="32"/>
          <w:highlight w:val="none"/>
          <w:lang w:eastAsia="zh-CN"/>
        </w:rPr>
        <w:t>）</w:t>
      </w:r>
    </w:p>
    <w:p w14:paraId="64A1A318">
      <w:pPr>
        <w:keepNext w:val="0"/>
        <w:keepLines w:val="0"/>
        <w:pageBreakBefore w:val="0"/>
        <w:widowControl w:val="0"/>
        <w:kinsoku/>
        <w:wordWrap/>
        <w:overflowPunct w:val="0"/>
        <w:topLinePunct w:val="0"/>
        <w:autoSpaceDE w:val="0"/>
        <w:autoSpaceDN w:val="0"/>
        <w:bidi w:val="0"/>
        <w:adjustRightInd w:val="0"/>
        <w:snapToGrid w:val="0"/>
        <w:ind w:firstLine="0" w:firstLineChars="0"/>
        <w:textAlignment w:val="auto"/>
        <w:rPr>
          <w:rFonts w:hint="default" w:ascii="Times New Roman" w:hAnsi="Times New Roman" w:eastAsia="宋体" w:cs="Times New Roman"/>
          <w:color w:val="auto"/>
          <w:sz w:val="44"/>
          <w:szCs w:val="44"/>
          <w:highlight w:val="none"/>
        </w:rPr>
      </w:pPr>
    </w:p>
    <w:p w14:paraId="6216ECBE">
      <w:pPr>
        <w:keepNext w:val="0"/>
        <w:keepLines w:val="0"/>
        <w:pageBreakBefore w:val="0"/>
        <w:widowControl w:val="0"/>
        <w:kinsoku/>
        <w:wordWrap/>
        <w:overflowPunct w:val="0"/>
        <w:topLinePunct w:val="0"/>
        <w:autoSpaceDE w:val="0"/>
        <w:autoSpaceDN w:val="0"/>
        <w:bidi w:val="0"/>
        <w:adjustRightInd w:val="0"/>
        <w:snapToGrid w:val="0"/>
        <w:ind w:firstLine="0" w:firstLineChars="0"/>
        <w:textAlignment w:val="auto"/>
        <w:rPr>
          <w:rFonts w:hint="default" w:ascii="Times New Roman" w:hAnsi="Times New Roman" w:eastAsia="宋体" w:cs="Times New Roman"/>
          <w:color w:val="auto"/>
          <w:sz w:val="44"/>
          <w:szCs w:val="44"/>
          <w:highlight w:val="none"/>
        </w:rPr>
      </w:pPr>
    </w:p>
    <w:p w14:paraId="2685F8B9">
      <w:pPr>
        <w:keepNext w:val="0"/>
        <w:keepLines w:val="0"/>
        <w:pageBreakBefore w:val="0"/>
        <w:widowControl w:val="0"/>
        <w:kinsoku/>
        <w:wordWrap/>
        <w:overflowPunct w:val="0"/>
        <w:topLinePunct w:val="0"/>
        <w:autoSpaceDE w:val="0"/>
        <w:autoSpaceDN w:val="0"/>
        <w:bidi w:val="0"/>
        <w:adjustRightInd w:val="0"/>
        <w:snapToGrid w:val="0"/>
        <w:ind w:firstLine="0" w:firstLineChars="0"/>
        <w:textAlignment w:val="auto"/>
        <w:rPr>
          <w:rFonts w:hint="default" w:ascii="Times New Roman" w:hAnsi="Times New Roman" w:eastAsia="宋体" w:cs="Times New Roman"/>
          <w:color w:val="auto"/>
          <w:sz w:val="44"/>
          <w:szCs w:val="44"/>
          <w:highlight w:val="none"/>
          <w:lang w:eastAsia="zh-CN"/>
        </w:rPr>
      </w:pPr>
    </w:p>
    <w:p w14:paraId="224D1DB5">
      <w:pPr>
        <w:keepNext w:val="0"/>
        <w:keepLines w:val="0"/>
        <w:pageBreakBefore w:val="0"/>
        <w:widowControl w:val="0"/>
        <w:kinsoku/>
        <w:wordWrap/>
        <w:overflowPunct w:val="0"/>
        <w:topLinePunct w:val="0"/>
        <w:autoSpaceDE w:val="0"/>
        <w:autoSpaceDN w:val="0"/>
        <w:bidi w:val="0"/>
        <w:adjustRightInd w:val="0"/>
        <w:snapToGrid w:val="0"/>
        <w:ind w:firstLine="0" w:firstLineChars="0"/>
        <w:textAlignment w:val="auto"/>
        <w:rPr>
          <w:rFonts w:hint="default" w:ascii="Times New Roman" w:hAnsi="Times New Roman" w:eastAsia="宋体" w:cs="Times New Roman"/>
          <w:color w:val="auto"/>
          <w:sz w:val="44"/>
          <w:szCs w:val="44"/>
          <w:highlight w:val="none"/>
        </w:rPr>
      </w:pPr>
    </w:p>
    <w:bookmarkEnd w:id="0"/>
    <w:p w14:paraId="43655C28">
      <w:pPr>
        <w:adjustRightInd w:val="0"/>
        <w:snapToGrid w:val="0"/>
        <w:spacing w:line="288" w:lineRule="auto"/>
        <w:ind w:left="3082" w:leftChars="684" w:hanging="1440" w:hangingChars="400"/>
        <w:rPr>
          <w:rFonts w:hint="default" w:ascii="Times New Roman" w:hAnsi="Times New Roman" w:eastAsia="宋体" w:cs="Times New Roman"/>
          <w:color w:val="auto"/>
          <w:sz w:val="36"/>
          <w:szCs w:val="36"/>
          <w:highlight w:val="none"/>
          <w:u w:val="single"/>
        </w:rPr>
      </w:pPr>
    </w:p>
    <w:p w14:paraId="14B29CC6">
      <w:pPr>
        <w:keepNext w:val="0"/>
        <w:keepLines w:val="0"/>
        <w:pageBreakBefore w:val="0"/>
        <w:widowControl w:val="0"/>
        <w:kinsoku/>
        <w:wordWrap w:val="0"/>
        <w:overflowPunct w:val="0"/>
        <w:topLinePunct w:val="0"/>
        <w:autoSpaceDE w:val="0"/>
        <w:autoSpaceDN w:val="0"/>
        <w:bidi w:val="0"/>
        <w:adjustRightInd w:val="0"/>
        <w:snapToGrid w:val="0"/>
        <w:spacing w:line="240" w:lineRule="auto"/>
        <w:ind w:left="1807" w:leftChars="0" w:hanging="1807" w:hangingChars="500"/>
        <w:jc w:val="right"/>
        <w:textAlignment w:val="auto"/>
        <w:rPr>
          <w:rFonts w:hint="default" w:ascii="Times New Roman" w:hAnsi="Times New Roman" w:eastAsia="宋体" w:cs="Times New Roman"/>
          <w:b/>
          <w:bCs/>
          <w:snapToGrid w:val="0"/>
          <w:color w:val="auto"/>
          <w:sz w:val="36"/>
          <w:szCs w:val="36"/>
          <w:highlight w:val="none"/>
          <w:u w:val="single"/>
          <w:lang w:val="en-US" w:eastAsia="zh-CN"/>
        </w:rPr>
      </w:pPr>
      <w:r>
        <w:rPr>
          <w:rFonts w:hint="default" w:ascii="Times New Roman" w:hAnsi="Times New Roman" w:eastAsia="宋体" w:cs="Times New Roman"/>
          <w:b/>
          <w:bCs/>
          <w:snapToGrid w:val="0"/>
          <w:color w:val="auto"/>
          <w:sz w:val="36"/>
          <w:szCs w:val="36"/>
          <w:highlight w:val="none"/>
        </w:rPr>
        <w:t>项目名称：</w:t>
      </w:r>
      <w:r>
        <w:rPr>
          <w:rFonts w:hint="default" w:ascii="Times New Roman" w:hAnsi="Times New Roman" w:eastAsia="宋体" w:cs="Times New Roman"/>
          <w:b/>
          <w:bCs/>
          <w:snapToGrid w:val="0"/>
          <w:color w:val="auto"/>
          <w:sz w:val="36"/>
          <w:szCs w:val="36"/>
          <w:highlight w:val="none"/>
          <w:u w:val="single"/>
          <w:lang w:val="en-US" w:eastAsia="zh-CN"/>
        </w:rPr>
        <w:t xml:space="preserve"> </w:t>
      </w:r>
      <w:r>
        <w:rPr>
          <w:rFonts w:hint="default" w:ascii="Times New Roman" w:hAnsi="Times New Roman" w:eastAsia="宋体" w:cs="Times New Roman"/>
          <w:b/>
          <w:bCs/>
          <w:snapToGrid w:val="0"/>
          <w:color w:val="auto"/>
          <w:sz w:val="36"/>
          <w:szCs w:val="36"/>
          <w:highlight w:val="none"/>
          <w:u w:val="single"/>
          <w:lang w:eastAsia="zh-CN"/>
        </w:rPr>
        <w:t>新疆美康惠农科技发展有限公司有机肥</w:t>
      </w:r>
      <w:r>
        <w:rPr>
          <w:rFonts w:hint="default" w:ascii="Times New Roman" w:hAnsi="Times New Roman" w:eastAsia="宋体" w:cs="Times New Roman"/>
          <w:b/>
          <w:bCs/>
          <w:snapToGrid w:val="0"/>
          <w:color w:val="auto"/>
          <w:sz w:val="36"/>
          <w:szCs w:val="36"/>
          <w:highlight w:val="none"/>
          <w:u w:val="single"/>
          <w:lang w:val="en-US" w:eastAsia="zh-CN"/>
        </w:rPr>
        <w:t xml:space="preserve"> </w:t>
      </w:r>
    </w:p>
    <w:p w14:paraId="0B73CCC5">
      <w:pPr>
        <w:keepNext w:val="0"/>
        <w:keepLines w:val="0"/>
        <w:pageBreakBefore w:val="0"/>
        <w:widowControl w:val="0"/>
        <w:kinsoku/>
        <w:wordWrap w:val="0"/>
        <w:overflowPunct w:val="0"/>
        <w:topLinePunct w:val="0"/>
        <w:autoSpaceDE w:val="0"/>
        <w:autoSpaceDN w:val="0"/>
        <w:bidi w:val="0"/>
        <w:adjustRightInd w:val="0"/>
        <w:snapToGrid w:val="0"/>
        <w:spacing w:line="240" w:lineRule="auto"/>
        <w:ind w:left="1807" w:leftChars="0" w:hanging="1807" w:hangingChars="500"/>
        <w:jc w:val="right"/>
        <w:textAlignment w:val="auto"/>
        <w:rPr>
          <w:rFonts w:hint="default" w:ascii="Times New Roman" w:hAnsi="Times New Roman" w:eastAsia="宋体" w:cs="Times New Roman"/>
          <w:b/>
          <w:bCs/>
          <w:snapToGrid w:val="0"/>
          <w:color w:val="auto"/>
          <w:sz w:val="36"/>
          <w:szCs w:val="36"/>
          <w:highlight w:val="none"/>
          <w:u w:val="single"/>
          <w:lang w:val="en-US" w:eastAsia="zh-CN"/>
        </w:rPr>
      </w:pPr>
      <w:r>
        <w:rPr>
          <w:rFonts w:hint="default" w:ascii="Times New Roman" w:hAnsi="Times New Roman" w:eastAsia="宋体" w:cs="Times New Roman"/>
          <w:b/>
          <w:bCs/>
          <w:snapToGrid w:val="0"/>
          <w:color w:val="auto"/>
          <w:sz w:val="36"/>
          <w:szCs w:val="36"/>
          <w:highlight w:val="none"/>
          <w:u w:val="single"/>
          <w:lang w:val="en-US" w:eastAsia="zh-CN"/>
        </w:rPr>
        <w:t xml:space="preserve">             </w:t>
      </w:r>
      <w:r>
        <w:rPr>
          <w:rFonts w:hint="default" w:ascii="Times New Roman" w:hAnsi="Times New Roman" w:eastAsia="宋体" w:cs="Times New Roman"/>
          <w:b/>
          <w:bCs/>
          <w:snapToGrid w:val="0"/>
          <w:color w:val="auto"/>
          <w:sz w:val="36"/>
          <w:szCs w:val="36"/>
          <w:highlight w:val="none"/>
          <w:u w:val="single"/>
          <w:lang w:eastAsia="zh-CN"/>
        </w:rPr>
        <w:t>建设项目</w:t>
      </w:r>
      <w:r>
        <w:rPr>
          <w:rFonts w:hint="default" w:ascii="Times New Roman" w:hAnsi="Times New Roman" w:eastAsia="宋体" w:cs="Times New Roman"/>
          <w:b/>
          <w:bCs/>
          <w:snapToGrid w:val="0"/>
          <w:color w:val="auto"/>
          <w:sz w:val="36"/>
          <w:szCs w:val="36"/>
          <w:highlight w:val="none"/>
          <w:u w:val="single"/>
          <w:lang w:val="en-US" w:eastAsia="zh-CN"/>
        </w:rPr>
        <w:t xml:space="preserve">              </w:t>
      </w:r>
    </w:p>
    <w:p w14:paraId="348542B7">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left"/>
        <w:textAlignment w:val="auto"/>
        <w:rPr>
          <w:rFonts w:hint="default" w:ascii="Times New Roman" w:hAnsi="Times New Roman" w:eastAsia="宋体" w:cs="Times New Roman"/>
          <w:b/>
          <w:bCs/>
          <w:snapToGrid w:val="0"/>
          <w:color w:val="auto"/>
          <w:sz w:val="36"/>
          <w:szCs w:val="36"/>
          <w:highlight w:val="none"/>
          <w:u w:val="single"/>
          <w:lang w:eastAsia="zh-CN"/>
        </w:rPr>
      </w:pPr>
      <w:r>
        <w:rPr>
          <w:rFonts w:hint="default" w:ascii="Times New Roman" w:hAnsi="Times New Roman" w:eastAsia="宋体" w:cs="Times New Roman"/>
          <w:b/>
          <w:bCs/>
          <w:snapToGrid w:val="0"/>
          <w:color w:val="auto"/>
          <w:sz w:val="36"/>
          <w:szCs w:val="36"/>
          <w:highlight w:val="none"/>
        </w:rPr>
        <w:t>建设单位（盖章）：</w:t>
      </w:r>
      <w:r>
        <w:rPr>
          <w:rFonts w:hint="default" w:ascii="Times New Roman" w:hAnsi="Times New Roman" w:eastAsia="宋体" w:cs="Times New Roman"/>
          <w:b/>
          <w:bCs/>
          <w:snapToGrid w:val="0"/>
          <w:color w:val="auto"/>
          <w:sz w:val="36"/>
          <w:szCs w:val="36"/>
          <w:highlight w:val="none"/>
          <w:u w:val="single"/>
          <w:lang w:eastAsia="zh-CN"/>
        </w:rPr>
        <w:t>新疆美康惠农科技发展有限公司</w:t>
      </w:r>
    </w:p>
    <w:p w14:paraId="3FF3C28E">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left"/>
        <w:textAlignment w:val="auto"/>
        <w:rPr>
          <w:rFonts w:hint="default" w:ascii="Times New Roman" w:hAnsi="Times New Roman" w:eastAsia="宋体" w:cs="Times New Roman"/>
          <w:b/>
          <w:bCs/>
          <w:snapToGrid w:val="0"/>
          <w:color w:val="auto"/>
          <w:sz w:val="30"/>
          <w:szCs w:val="30"/>
          <w:highlight w:val="none"/>
          <w:lang w:val="en-US" w:eastAsia="zh-CN"/>
        </w:rPr>
      </w:pPr>
      <w:r>
        <w:rPr>
          <w:rFonts w:hint="default" w:ascii="Times New Roman" w:hAnsi="Times New Roman" w:eastAsia="宋体" w:cs="Times New Roman"/>
          <w:b/>
          <w:bCs/>
          <w:snapToGrid w:val="0"/>
          <w:color w:val="auto"/>
          <w:sz w:val="36"/>
          <w:szCs w:val="36"/>
          <w:highlight w:val="none"/>
        </w:rPr>
        <w:t>编制日期：</w:t>
      </w:r>
      <w:r>
        <w:rPr>
          <w:rFonts w:hint="default" w:ascii="Times New Roman" w:hAnsi="Times New Roman" w:eastAsia="宋体" w:cs="Times New Roman"/>
          <w:b/>
          <w:bCs/>
          <w:snapToGrid w:val="0"/>
          <w:color w:val="auto"/>
          <w:sz w:val="36"/>
          <w:szCs w:val="36"/>
          <w:highlight w:val="none"/>
          <w:u w:val="single"/>
        </w:rPr>
        <w:tab/>
      </w:r>
      <w:r>
        <w:rPr>
          <w:rFonts w:hint="default" w:ascii="Times New Roman" w:hAnsi="Times New Roman" w:eastAsia="宋体" w:cs="Times New Roman"/>
          <w:b/>
          <w:bCs/>
          <w:snapToGrid w:val="0"/>
          <w:color w:val="auto"/>
          <w:sz w:val="36"/>
          <w:szCs w:val="36"/>
          <w:highlight w:val="none"/>
          <w:u w:val="single"/>
          <w:lang w:val="en-US" w:eastAsia="zh-CN"/>
        </w:rPr>
        <w:t xml:space="preserve">            </w:t>
      </w:r>
      <w:r>
        <w:rPr>
          <w:rFonts w:hint="default" w:ascii="Times New Roman" w:hAnsi="Times New Roman" w:eastAsia="宋体" w:cs="Times New Roman"/>
          <w:b/>
          <w:bCs/>
          <w:snapToGrid w:val="0"/>
          <w:color w:val="auto"/>
          <w:sz w:val="36"/>
          <w:szCs w:val="36"/>
          <w:highlight w:val="none"/>
          <w:u w:val="single"/>
        </w:rPr>
        <w:t>2025年</w:t>
      </w:r>
      <w:r>
        <w:rPr>
          <w:rFonts w:hint="default" w:ascii="Times New Roman" w:hAnsi="Times New Roman" w:eastAsia="宋体" w:cs="Times New Roman"/>
          <w:b/>
          <w:bCs/>
          <w:snapToGrid w:val="0"/>
          <w:color w:val="auto"/>
          <w:sz w:val="36"/>
          <w:szCs w:val="36"/>
          <w:highlight w:val="none"/>
          <w:u w:val="single"/>
          <w:lang w:val="en-US" w:eastAsia="zh-CN"/>
        </w:rPr>
        <w:t>11</w:t>
      </w:r>
      <w:r>
        <w:rPr>
          <w:rFonts w:hint="default" w:ascii="Times New Roman" w:hAnsi="Times New Roman" w:eastAsia="宋体" w:cs="Times New Roman"/>
          <w:b/>
          <w:bCs/>
          <w:snapToGrid w:val="0"/>
          <w:color w:val="auto"/>
          <w:sz w:val="36"/>
          <w:szCs w:val="36"/>
          <w:highlight w:val="none"/>
          <w:u w:val="single"/>
        </w:rPr>
        <w:t>月</w:t>
      </w:r>
      <w:r>
        <w:rPr>
          <w:rFonts w:hint="default" w:ascii="Times New Roman" w:hAnsi="Times New Roman" w:eastAsia="宋体" w:cs="Times New Roman"/>
          <w:b/>
          <w:bCs/>
          <w:snapToGrid w:val="0"/>
          <w:color w:val="auto"/>
          <w:sz w:val="36"/>
          <w:szCs w:val="36"/>
          <w:highlight w:val="none"/>
          <w:u w:val="single"/>
          <w:lang w:val="en-US" w:eastAsia="zh-CN"/>
        </w:rPr>
        <w:t xml:space="preserve">             </w:t>
      </w:r>
    </w:p>
    <w:p w14:paraId="215A2C44">
      <w:pPr>
        <w:jc w:val="center"/>
        <w:rPr>
          <w:rFonts w:hint="default" w:ascii="Times New Roman" w:hAnsi="Times New Roman" w:eastAsia="宋体" w:cs="Times New Roman"/>
          <w:b/>
          <w:bCs/>
          <w:snapToGrid w:val="0"/>
          <w:color w:val="auto"/>
          <w:sz w:val="30"/>
          <w:szCs w:val="30"/>
          <w:highlight w:val="none"/>
        </w:rPr>
      </w:pPr>
    </w:p>
    <w:p w14:paraId="63236757">
      <w:pPr>
        <w:jc w:val="center"/>
        <w:rPr>
          <w:rFonts w:hint="default" w:ascii="Times New Roman" w:hAnsi="Times New Roman" w:eastAsia="宋体" w:cs="Times New Roman"/>
          <w:snapToGrid w:val="0"/>
          <w:color w:val="auto"/>
          <w:sz w:val="30"/>
          <w:szCs w:val="30"/>
          <w:highlight w:val="none"/>
        </w:rPr>
      </w:pPr>
    </w:p>
    <w:p w14:paraId="54550BD9">
      <w:pPr>
        <w:widowControl w:val="0"/>
        <w:overflowPunct w:val="0"/>
        <w:autoSpaceDE w:val="0"/>
        <w:autoSpaceDN w:val="0"/>
        <w:adjustRightInd w:val="0"/>
        <w:snapToGrid w:val="0"/>
        <w:spacing w:before="0" w:after="0" w:line="360" w:lineRule="exact"/>
        <w:ind w:left="0" w:right="0" w:firstLine="560" w:firstLineChars="200"/>
        <w:jc w:val="center"/>
        <w:rPr>
          <w:rFonts w:hint="default" w:ascii="Times New Roman" w:hAnsi="Times New Roman" w:eastAsia="宋体" w:cs="Times New Roman"/>
          <w:snapToGrid w:val="0"/>
          <w:color w:val="auto"/>
          <w:sz w:val="28"/>
          <w:szCs w:val="21"/>
          <w:lang w:val="en-US" w:eastAsia="zh-CN" w:bidi="ar-SA"/>
        </w:rPr>
      </w:pPr>
    </w:p>
    <w:p w14:paraId="0A998FBF">
      <w:pPr>
        <w:pStyle w:val="2"/>
        <w:rPr>
          <w:rFonts w:hint="default" w:ascii="Times New Roman" w:hAnsi="Times New Roman" w:eastAsia="宋体" w:cs="Times New Roman"/>
          <w:snapToGrid w:val="0"/>
          <w:color w:val="auto"/>
          <w:sz w:val="28"/>
          <w:szCs w:val="21"/>
          <w:lang w:val="en-US" w:eastAsia="zh-CN" w:bidi="ar-SA"/>
        </w:rPr>
      </w:pPr>
    </w:p>
    <w:p w14:paraId="3C931E9E">
      <w:pPr>
        <w:rPr>
          <w:rFonts w:hint="default" w:ascii="Times New Roman" w:hAnsi="Times New Roman" w:eastAsia="宋体" w:cs="Times New Roman"/>
          <w:snapToGrid w:val="0"/>
          <w:color w:val="auto"/>
          <w:sz w:val="28"/>
          <w:szCs w:val="21"/>
          <w:lang w:val="en-US" w:eastAsia="zh-CN" w:bidi="ar-SA"/>
        </w:rPr>
      </w:pPr>
    </w:p>
    <w:p w14:paraId="1427F246">
      <w:pPr>
        <w:pStyle w:val="2"/>
        <w:rPr>
          <w:rFonts w:hint="default" w:ascii="Times New Roman" w:hAnsi="Times New Roman" w:eastAsia="宋体" w:cs="Times New Roman"/>
          <w:snapToGrid w:val="0"/>
          <w:color w:val="auto"/>
          <w:sz w:val="28"/>
          <w:szCs w:val="21"/>
          <w:lang w:val="en-US" w:eastAsia="zh-CN" w:bidi="ar-SA"/>
        </w:rPr>
      </w:pPr>
    </w:p>
    <w:p w14:paraId="467E8C5A">
      <w:pPr>
        <w:rPr>
          <w:rFonts w:hint="default" w:ascii="Times New Roman" w:hAnsi="Times New Roman" w:eastAsia="宋体" w:cs="Times New Roman"/>
          <w:color w:val="auto"/>
          <w:lang w:val="en-US" w:eastAsia="zh-CN"/>
        </w:rPr>
      </w:pPr>
    </w:p>
    <w:p w14:paraId="2444A781">
      <w:pPr>
        <w:overflowPunct w:val="0"/>
        <w:autoSpaceDE w:val="0"/>
        <w:autoSpaceDN w:val="0"/>
        <w:adjustRightInd w:val="0"/>
        <w:snapToGrid w:val="0"/>
        <w:spacing w:before="50" w:after="0" w:line="500" w:lineRule="exact"/>
        <w:ind w:left="0" w:leftChars="0" w:right="464" w:firstLine="0" w:firstLineChars="0"/>
        <w:jc w:val="center"/>
        <w:rPr>
          <w:rFonts w:hint="default" w:ascii="Times New Roman" w:hAnsi="Times New Roman" w:eastAsia="宋体" w:cs="Times New Roman"/>
          <w:b/>
          <w:bCs/>
          <w:color w:val="auto"/>
          <w:sz w:val="36"/>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r>
        <w:rPr>
          <w:rFonts w:hint="default" w:ascii="Times New Roman" w:hAnsi="Times New Roman" w:eastAsia="宋体" w:cs="Times New Roman"/>
          <w:b/>
          <w:bCs/>
          <w:color w:val="auto"/>
          <w:sz w:val="36"/>
          <w:lang w:val="en-US" w:eastAsia="zh-CN"/>
        </w:rPr>
        <w:t>中</w:t>
      </w:r>
      <w:r>
        <w:rPr>
          <w:rFonts w:hint="default" w:ascii="Times New Roman" w:hAnsi="Times New Roman" w:eastAsia="宋体" w:cs="Times New Roman"/>
          <w:b/>
          <w:bCs/>
          <w:color w:val="auto"/>
          <w:sz w:val="36"/>
        </w:rPr>
        <w:t>华人民共和国生态环境部制</w:t>
      </w:r>
    </w:p>
    <w:tbl>
      <w:tblPr>
        <w:tblStyle w:val="23"/>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60"/>
        <w:gridCol w:w="4162"/>
      </w:tblGrid>
      <w:tr w14:paraId="0E38B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7" w:hRule="atLeast"/>
        </w:trPr>
        <w:tc>
          <w:tcPr>
            <w:tcW w:w="4360" w:type="dxa"/>
            <w:tcBorders>
              <w:tl2br w:val="nil"/>
              <w:tr2bl w:val="nil"/>
            </w:tcBorders>
            <w:vAlign w:val="center"/>
          </w:tcPr>
          <w:p w14:paraId="5F80D1D2">
            <w:pPr>
              <w:overflowPunct w:val="0"/>
              <w:autoSpaceDE w:val="0"/>
              <w:autoSpaceDN w:val="0"/>
              <w:adjustRightInd w:val="0"/>
              <w:snapToGrid w:val="0"/>
              <w:spacing w:before="0" w:after="0" w:line="240" w:lineRule="auto"/>
              <w:ind w:left="0" w:leftChars="0" w:right="0" w:firstLine="0" w:firstLineChars="0"/>
              <w:jc w:val="center"/>
              <w:rPr>
                <w:rFonts w:hint="default" w:ascii="Times New Roman" w:hAnsi="Times New Roman" w:eastAsia="宋体" w:cs="Times New Roman"/>
                <w:b/>
                <w:color w:val="auto"/>
                <w:kern w:val="1"/>
                <w:sz w:val="32"/>
                <w:szCs w:val="32"/>
                <w:lang w:eastAsia="zh-CN"/>
              </w:rPr>
            </w:pPr>
            <w:r>
              <w:rPr>
                <w:rFonts w:hint="default" w:ascii="Times New Roman" w:hAnsi="Times New Roman" w:eastAsia="宋体" w:cs="Times New Roman"/>
                <w:b/>
                <w:color w:val="auto"/>
                <w:kern w:val="1"/>
                <w:sz w:val="32"/>
                <w:szCs w:val="32"/>
                <w:lang w:eastAsia="zh-CN"/>
              </w:rPr>
              <w:drawing>
                <wp:inline distT="0" distB="0" distL="114300" distR="114300">
                  <wp:extent cx="2613660" cy="1960245"/>
                  <wp:effectExtent l="0" t="0" r="5715" b="1905"/>
                  <wp:docPr id="29" name="图片 29" descr="IMG_20250830_102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IMG_20250830_102915"/>
                          <pic:cNvPicPr>
                            <a:picLocks noChangeAspect="1"/>
                          </pic:cNvPicPr>
                        </pic:nvPicPr>
                        <pic:blipFill>
                          <a:blip r:embed="rId17"/>
                          <a:stretch>
                            <a:fillRect/>
                          </a:stretch>
                        </pic:blipFill>
                        <pic:spPr>
                          <a:xfrm>
                            <a:off x="0" y="0"/>
                            <a:ext cx="2613660" cy="1960245"/>
                          </a:xfrm>
                          <a:prstGeom prst="rect">
                            <a:avLst/>
                          </a:prstGeom>
                        </pic:spPr>
                      </pic:pic>
                    </a:graphicData>
                  </a:graphic>
                </wp:inline>
              </w:drawing>
            </w:r>
          </w:p>
        </w:tc>
        <w:tc>
          <w:tcPr>
            <w:tcW w:w="4162" w:type="dxa"/>
            <w:tcBorders>
              <w:tl2br w:val="nil"/>
              <w:tr2bl w:val="nil"/>
            </w:tcBorders>
            <w:vAlign w:val="center"/>
          </w:tcPr>
          <w:p w14:paraId="28E15A0F">
            <w:pPr>
              <w:overflowPunct w:val="0"/>
              <w:autoSpaceDE w:val="0"/>
              <w:autoSpaceDN w:val="0"/>
              <w:adjustRightInd w:val="0"/>
              <w:snapToGrid w:val="0"/>
              <w:spacing w:before="0" w:after="0" w:line="240" w:lineRule="auto"/>
              <w:ind w:left="0" w:leftChars="0" w:right="0" w:firstLine="0" w:firstLineChars="0"/>
              <w:jc w:val="center"/>
              <w:rPr>
                <w:rFonts w:hint="default" w:ascii="Times New Roman" w:hAnsi="Times New Roman" w:eastAsia="宋体" w:cs="Times New Roman"/>
                <w:b/>
                <w:color w:val="auto"/>
                <w:kern w:val="1"/>
                <w:sz w:val="32"/>
                <w:szCs w:val="32"/>
                <w:lang w:eastAsia="zh-CN"/>
              </w:rPr>
            </w:pPr>
            <w:r>
              <w:rPr>
                <w:rFonts w:hint="default" w:ascii="Times New Roman" w:hAnsi="Times New Roman" w:eastAsia="宋体" w:cs="Times New Roman"/>
                <w:b/>
                <w:color w:val="auto"/>
                <w:kern w:val="1"/>
                <w:sz w:val="32"/>
                <w:szCs w:val="32"/>
                <w:lang w:eastAsia="zh-CN"/>
              </w:rPr>
              <w:drawing>
                <wp:inline distT="0" distB="0" distL="114300" distR="114300">
                  <wp:extent cx="2502535" cy="1877060"/>
                  <wp:effectExtent l="0" t="0" r="2540" b="8890"/>
                  <wp:docPr id="37" name="图片 37" descr="TimePhoto_20250830_102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TimePhoto_20250830_102244"/>
                          <pic:cNvPicPr>
                            <a:picLocks noChangeAspect="1"/>
                          </pic:cNvPicPr>
                        </pic:nvPicPr>
                        <pic:blipFill>
                          <a:blip r:embed="rId18"/>
                          <a:stretch>
                            <a:fillRect/>
                          </a:stretch>
                        </pic:blipFill>
                        <pic:spPr>
                          <a:xfrm>
                            <a:off x="0" y="0"/>
                            <a:ext cx="2502535" cy="1877060"/>
                          </a:xfrm>
                          <a:prstGeom prst="rect">
                            <a:avLst/>
                          </a:prstGeom>
                        </pic:spPr>
                      </pic:pic>
                    </a:graphicData>
                  </a:graphic>
                </wp:inline>
              </w:drawing>
            </w:r>
          </w:p>
        </w:tc>
      </w:tr>
      <w:tr w14:paraId="79A66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0" w:type="dxa"/>
            <w:tcBorders>
              <w:tl2br w:val="nil"/>
              <w:tr2bl w:val="nil"/>
            </w:tcBorders>
            <w:vAlign w:val="center"/>
          </w:tcPr>
          <w:p w14:paraId="698E83A8">
            <w:pPr>
              <w:keepNext w:val="0"/>
              <w:keepLines w:val="0"/>
              <w:pageBreakBefore w:val="0"/>
              <w:widowControl w:val="0"/>
              <w:kinsoku/>
              <w:wordWrap/>
              <w:overflowPunct/>
              <w:topLinePunct w:val="0"/>
              <w:autoSpaceDE/>
              <w:autoSpaceDN/>
              <w:bidi w:val="0"/>
              <w:adjustRightInd/>
              <w:snapToGrid/>
              <w:spacing w:before="0" w:after="0" w:line="480" w:lineRule="exact"/>
              <w:ind w:left="0" w:leftChars="0" w:right="0" w:firstLine="0" w:firstLineChars="0"/>
              <w:jc w:val="center"/>
              <w:textAlignment w:val="auto"/>
              <w:rPr>
                <w:rFonts w:hint="default" w:ascii="Times New Roman" w:hAnsi="Times New Roman" w:eastAsia="宋体" w:cs="Times New Roman"/>
                <w:bCs/>
                <w:color w:val="auto"/>
                <w:kern w:val="1"/>
                <w:sz w:val="28"/>
                <w:szCs w:val="28"/>
                <w:lang w:val="en-US" w:eastAsia="zh-CN"/>
              </w:rPr>
            </w:pPr>
            <w:r>
              <w:rPr>
                <w:rFonts w:hint="default" w:ascii="Times New Roman" w:hAnsi="Times New Roman" w:eastAsia="宋体" w:cs="Times New Roman"/>
                <w:bCs/>
                <w:color w:val="auto"/>
                <w:kern w:val="1"/>
                <w:sz w:val="28"/>
                <w:szCs w:val="28"/>
                <w:lang w:eastAsia="zh-CN"/>
              </w:rPr>
              <w:t>项目区</w:t>
            </w:r>
            <w:r>
              <w:rPr>
                <w:rFonts w:hint="default" w:ascii="Times New Roman" w:hAnsi="Times New Roman" w:eastAsia="宋体" w:cs="Times New Roman"/>
                <w:bCs/>
                <w:color w:val="auto"/>
                <w:kern w:val="1"/>
                <w:sz w:val="28"/>
                <w:szCs w:val="28"/>
                <w:lang w:val="en-US" w:eastAsia="zh-CN"/>
              </w:rPr>
              <w:t>东侧</w:t>
            </w:r>
          </w:p>
        </w:tc>
        <w:tc>
          <w:tcPr>
            <w:tcW w:w="4162" w:type="dxa"/>
            <w:tcBorders>
              <w:tl2br w:val="nil"/>
              <w:tr2bl w:val="nil"/>
            </w:tcBorders>
            <w:vAlign w:val="center"/>
          </w:tcPr>
          <w:p w14:paraId="6382BE2D">
            <w:pPr>
              <w:keepNext w:val="0"/>
              <w:keepLines w:val="0"/>
              <w:pageBreakBefore w:val="0"/>
              <w:widowControl w:val="0"/>
              <w:kinsoku/>
              <w:wordWrap/>
              <w:overflowPunct/>
              <w:topLinePunct w:val="0"/>
              <w:autoSpaceDE/>
              <w:autoSpaceDN/>
              <w:bidi w:val="0"/>
              <w:adjustRightInd/>
              <w:snapToGrid/>
              <w:spacing w:before="0" w:after="0" w:line="480" w:lineRule="exact"/>
              <w:ind w:left="0" w:leftChars="0" w:right="0" w:firstLine="0" w:firstLineChars="0"/>
              <w:jc w:val="center"/>
              <w:textAlignment w:val="auto"/>
              <w:rPr>
                <w:rFonts w:hint="default" w:ascii="Times New Roman" w:hAnsi="Times New Roman" w:eastAsia="宋体" w:cs="Times New Roman"/>
                <w:bCs/>
                <w:color w:val="auto"/>
                <w:kern w:val="1"/>
                <w:sz w:val="28"/>
                <w:szCs w:val="28"/>
                <w:lang w:val="en-US" w:eastAsia="zh-CN"/>
              </w:rPr>
            </w:pPr>
            <w:r>
              <w:rPr>
                <w:rFonts w:hint="default" w:ascii="Times New Roman" w:hAnsi="Times New Roman" w:eastAsia="宋体" w:cs="Times New Roman"/>
                <w:bCs/>
                <w:color w:val="auto"/>
                <w:kern w:val="1"/>
                <w:sz w:val="28"/>
                <w:szCs w:val="28"/>
                <w:lang w:eastAsia="zh-CN"/>
              </w:rPr>
              <w:t>项目区</w:t>
            </w:r>
            <w:r>
              <w:rPr>
                <w:rFonts w:hint="default" w:ascii="Times New Roman" w:hAnsi="Times New Roman" w:eastAsia="宋体" w:cs="Times New Roman"/>
                <w:bCs/>
                <w:color w:val="auto"/>
                <w:kern w:val="1"/>
                <w:sz w:val="28"/>
                <w:szCs w:val="28"/>
                <w:lang w:val="en-US" w:eastAsia="zh-CN"/>
              </w:rPr>
              <w:t>西侧</w:t>
            </w:r>
          </w:p>
        </w:tc>
      </w:tr>
      <w:tr w14:paraId="2397B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3" w:hRule="atLeast"/>
        </w:trPr>
        <w:tc>
          <w:tcPr>
            <w:tcW w:w="4360" w:type="dxa"/>
            <w:tcBorders>
              <w:tl2br w:val="nil"/>
              <w:tr2bl w:val="nil"/>
            </w:tcBorders>
            <w:vAlign w:val="center"/>
          </w:tcPr>
          <w:p w14:paraId="56B514A4">
            <w:pPr>
              <w:overflowPunct w:val="0"/>
              <w:autoSpaceDE w:val="0"/>
              <w:autoSpaceDN w:val="0"/>
              <w:adjustRightInd w:val="0"/>
              <w:snapToGrid w:val="0"/>
              <w:spacing w:before="0" w:after="0" w:line="240" w:lineRule="auto"/>
              <w:ind w:left="0" w:leftChars="0" w:right="0" w:firstLine="0" w:firstLineChars="0"/>
              <w:jc w:val="center"/>
              <w:rPr>
                <w:rFonts w:hint="default" w:ascii="Times New Roman" w:hAnsi="Times New Roman" w:eastAsia="宋体" w:cs="Times New Roman"/>
                <w:bCs/>
                <w:color w:val="auto"/>
                <w:kern w:val="1"/>
                <w:sz w:val="28"/>
                <w:szCs w:val="28"/>
                <w:lang w:eastAsia="zh-CN"/>
              </w:rPr>
            </w:pPr>
            <w:r>
              <w:rPr>
                <w:rFonts w:hint="default" w:ascii="Times New Roman" w:hAnsi="Times New Roman" w:eastAsia="宋体" w:cs="Times New Roman"/>
                <w:b/>
                <w:color w:val="auto"/>
                <w:kern w:val="1"/>
                <w:sz w:val="32"/>
                <w:szCs w:val="32"/>
                <w:lang w:eastAsia="zh-CN"/>
              </w:rPr>
              <w:drawing>
                <wp:inline distT="0" distB="0" distL="114300" distR="114300">
                  <wp:extent cx="2496820" cy="1872615"/>
                  <wp:effectExtent l="0" t="0" r="8255" b="3810"/>
                  <wp:docPr id="32" name="图片 32" descr="IMG_20250830_102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IMG_20250830_102917"/>
                          <pic:cNvPicPr>
                            <a:picLocks noChangeAspect="1"/>
                          </pic:cNvPicPr>
                        </pic:nvPicPr>
                        <pic:blipFill>
                          <a:blip r:embed="rId19"/>
                          <a:stretch>
                            <a:fillRect/>
                          </a:stretch>
                        </pic:blipFill>
                        <pic:spPr>
                          <a:xfrm>
                            <a:off x="0" y="0"/>
                            <a:ext cx="2496820" cy="1872615"/>
                          </a:xfrm>
                          <a:prstGeom prst="rect">
                            <a:avLst/>
                          </a:prstGeom>
                        </pic:spPr>
                      </pic:pic>
                    </a:graphicData>
                  </a:graphic>
                </wp:inline>
              </w:drawing>
            </w:r>
          </w:p>
        </w:tc>
        <w:tc>
          <w:tcPr>
            <w:tcW w:w="4162" w:type="dxa"/>
            <w:tcBorders>
              <w:tl2br w:val="nil"/>
              <w:tr2bl w:val="nil"/>
            </w:tcBorders>
            <w:vAlign w:val="center"/>
          </w:tcPr>
          <w:p w14:paraId="65261C5B">
            <w:pPr>
              <w:overflowPunct w:val="0"/>
              <w:autoSpaceDE w:val="0"/>
              <w:autoSpaceDN w:val="0"/>
              <w:adjustRightInd w:val="0"/>
              <w:snapToGrid w:val="0"/>
              <w:spacing w:before="0" w:after="0" w:line="240" w:lineRule="auto"/>
              <w:ind w:left="0" w:leftChars="0" w:right="0" w:firstLine="0" w:firstLineChars="0"/>
              <w:jc w:val="center"/>
              <w:rPr>
                <w:rFonts w:hint="default" w:ascii="Times New Roman" w:hAnsi="Times New Roman" w:eastAsia="宋体" w:cs="Times New Roman"/>
                <w:bCs/>
                <w:color w:val="auto"/>
                <w:kern w:val="1"/>
                <w:sz w:val="28"/>
                <w:szCs w:val="28"/>
                <w:lang w:eastAsia="zh-CN"/>
              </w:rPr>
            </w:pPr>
            <w:r>
              <w:rPr>
                <w:rFonts w:hint="default" w:ascii="Times New Roman" w:hAnsi="Times New Roman" w:eastAsia="宋体" w:cs="Times New Roman"/>
                <w:bCs/>
                <w:color w:val="auto"/>
                <w:kern w:val="1"/>
                <w:sz w:val="28"/>
                <w:szCs w:val="28"/>
                <w:lang w:eastAsia="zh-CN"/>
              </w:rPr>
              <w:drawing>
                <wp:inline distT="0" distB="0" distL="114300" distR="114300">
                  <wp:extent cx="2496820" cy="1872615"/>
                  <wp:effectExtent l="0" t="0" r="8255" b="3810"/>
                  <wp:docPr id="40" name="图片 40" descr="IMG_20250830_102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IMG_20250830_102919"/>
                          <pic:cNvPicPr>
                            <a:picLocks noChangeAspect="1"/>
                          </pic:cNvPicPr>
                        </pic:nvPicPr>
                        <pic:blipFill>
                          <a:blip r:embed="rId20"/>
                          <a:stretch>
                            <a:fillRect/>
                          </a:stretch>
                        </pic:blipFill>
                        <pic:spPr>
                          <a:xfrm>
                            <a:off x="0" y="0"/>
                            <a:ext cx="2496820" cy="1872615"/>
                          </a:xfrm>
                          <a:prstGeom prst="rect">
                            <a:avLst/>
                          </a:prstGeom>
                        </pic:spPr>
                      </pic:pic>
                    </a:graphicData>
                  </a:graphic>
                </wp:inline>
              </w:drawing>
            </w:r>
          </w:p>
        </w:tc>
      </w:tr>
      <w:tr w14:paraId="4864D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0" w:type="dxa"/>
            <w:tcBorders>
              <w:tl2br w:val="nil"/>
              <w:tr2bl w:val="nil"/>
            </w:tcBorders>
            <w:vAlign w:val="center"/>
          </w:tcPr>
          <w:p w14:paraId="1AF0B7E9">
            <w:pPr>
              <w:keepNext w:val="0"/>
              <w:keepLines w:val="0"/>
              <w:pageBreakBefore w:val="0"/>
              <w:widowControl w:val="0"/>
              <w:kinsoku/>
              <w:wordWrap/>
              <w:overflowPunct/>
              <w:topLinePunct w:val="0"/>
              <w:autoSpaceDE/>
              <w:autoSpaceDN/>
              <w:bidi w:val="0"/>
              <w:adjustRightInd/>
              <w:snapToGrid/>
              <w:spacing w:before="0" w:after="0" w:line="480" w:lineRule="exact"/>
              <w:ind w:left="0" w:leftChars="0" w:right="0" w:firstLine="0" w:firstLineChars="0"/>
              <w:jc w:val="center"/>
              <w:textAlignment w:val="auto"/>
              <w:rPr>
                <w:rFonts w:hint="default" w:ascii="Times New Roman" w:hAnsi="Times New Roman" w:eastAsia="宋体" w:cs="Times New Roman"/>
                <w:bCs/>
                <w:color w:val="auto"/>
                <w:kern w:val="1"/>
                <w:sz w:val="28"/>
                <w:szCs w:val="28"/>
                <w:lang w:val="en-US" w:eastAsia="zh-CN"/>
              </w:rPr>
            </w:pPr>
            <w:r>
              <w:rPr>
                <w:rFonts w:hint="default" w:ascii="Times New Roman" w:hAnsi="Times New Roman" w:eastAsia="宋体" w:cs="Times New Roman"/>
                <w:bCs/>
                <w:color w:val="auto"/>
                <w:kern w:val="1"/>
                <w:sz w:val="28"/>
                <w:szCs w:val="28"/>
                <w:lang w:eastAsia="zh-CN"/>
              </w:rPr>
              <w:t>项目区</w:t>
            </w:r>
            <w:r>
              <w:rPr>
                <w:rFonts w:hint="default" w:ascii="Times New Roman" w:hAnsi="Times New Roman" w:eastAsia="宋体" w:cs="Times New Roman"/>
                <w:bCs/>
                <w:color w:val="auto"/>
                <w:kern w:val="1"/>
                <w:sz w:val="28"/>
                <w:szCs w:val="28"/>
                <w:lang w:val="en-US" w:eastAsia="zh-CN"/>
              </w:rPr>
              <w:t>南侧</w:t>
            </w:r>
          </w:p>
        </w:tc>
        <w:tc>
          <w:tcPr>
            <w:tcW w:w="4162" w:type="dxa"/>
            <w:tcBorders>
              <w:tl2br w:val="nil"/>
              <w:tr2bl w:val="nil"/>
            </w:tcBorders>
            <w:vAlign w:val="center"/>
          </w:tcPr>
          <w:p w14:paraId="1F479221">
            <w:pPr>
              <w:keepNext w:val="0"/>
              <w:keepLines w:val="0"/>
              <w:pageBreakBefore w:val="0"/>
              <w:widowControl w:val="0"/>
              <w:kinsoku/>
              <w:wordWrap/>
              <w:overflowPunct/>
              <w:topLinePunct w:val="0"/>
              <w:autoSpaceDE/>
              <w:autoSpaceDN/>
              <w:bidi w:val="0"/>
              <w:adjustRightInd/>
              <w:snapToGrid/>
              <w:spacing w:before="0" w:after="0" w:line="480" w:lineRule="exact"/>
              <w:ind w:left="0" w:leftChars="0" w:right="0" w:firstLine="0" w:firstLineChars="0"/>
              <w:jc w:val="center"/>
              <w:textAlignment w:val="auto"/>
              <w:rPr>
                <w:rFonts w:hint="default" w:ascii="Times New Roman" w:hAnsi="Times New Roman" w:eastAsia="宋体" w:cs="Times New Roman"/>
                <w:bCs/>
                <w:color w:val="auto"/>
                <w:kern w:val="1"/>
                <w:sz w:val="28"/>
                <w:szCs w:val="28"/>
                <w:lang w:val="en-US" w:eastAsia="zh-CN"/>
              </w:rPr>
            </w:pPr>
            <w:r>
              <w:rPr>
                <w:rFonts w:hint="default" w:ascii="Times New Roman" w:hAnsi="Times New Roman" w:eastAsia="宋体" w:cs="Times New Roman"/>
                <w:bCs/>
                <w:color w:val="auto"/>
                <w:kern w:val="1"/>
                <w:sz w:val="28"/>
                <w:szCs w:val="28"/>
                <w:lang w:eastAsia="zh-CN"/>
              </w:rPr>
              <w:t>项目区</w:t>
            </w:r>
            <w:r>
              <w:rPr>
                <w:rFonts w:hint="default" w:ascii="Times New Roman" w:hAnsi="Times New Roman" w:eastAsia="宋体" w:cs="Times New Roman"/>
                <w:bCs/>
                <w:color w:val="auto"/>
                <w:kern w:val="1"/>
                <w:sz w:val="28"/>
                <w:szCs w:val="28"/>
                <w:lang w:val="en-US" w:eastAsia="zh-CN"/>
              </w:rPr>
              <w:t>北侧</w:t>
            </w:r>
          </w:p>
        </w:tc>
      </w:tr>
      <w:tr w14:paraId="29F6A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8" w:hRule="atLeast"/>
        </w:trPr>
        <w:tc>
          <w:tcPr>
            <w:tcW w:w="4360" w:type="dxa"/>
            <w:tcBorders>
              <w:tl2br w:val="nil"/>
              <w:tr2bl w:val="nil"/>
            </w:tcBorders>
            <w:vAlign w:val="center"/>
          </w:tcPr>
          <w:p w14:paraId="6E8BF3FD">
            <w:pPr>
              <w:overflowPunct w:val="0"/>
              <w:autoSpaceDE w:val="0"/>
              <w:autoSpaceDN w:val="0"/>
              <w:adjustRightInd w:val="0"/>
              <w:snapToGrid w:val="0"/>
              <w:spacing w:before="0" w:after="0" w:line="240" w:lineRule="auto"/>
              <w:ind w:left="0" w:leftChars="0" w:right="0" w:firstLine="0" w:firstLineChars="0"/>
              <w:jc w:val="center"/>
              <w:rPr>
                <w:rFonts w:hint="default" w:ascii="Times New Roman" w:hAnsi="Times New Roman" w:eastAsia="宋体" w:cs="Times New Roman"/>
                <w:bCs/>
                <w:color w:val="auto"/>
                <w:kern w:val="1"/>
                <w:sz w:val="28"/>
                <w:szCs w:val="28"/>
                <w:lang w:eastAsia="zh-CN"/>
              </w:rPr>
            </w:pPr>
            <w:r>
              <w:rPr>
                <w:rFonts w:hint="default" w:ascii="Times New Roman" w:hAnsi="Times New Roman" w:eastAsia="宋体" w:cs="Times New Roman"/>
                <w:bCs/>
                <w:color w:val="auto"/>
                <w:kern w:val="1"/>
                <w:sz w:val="28"/>
                <w:szCs w:val="28"/>
                <w:lang w:eastAsia="zh-CN"/>
              </w:rPr>
              <w:drawing>
                <wp:inline distT="0" distB="0" distL="114300" distR="114300">
                  <wp:extent cx="2613660" cy="1960245"/>
                  <wp:effectExtent l="0" t="0" r="5715" b="1905"/>
                  <wp:docPr id="4" name="图片 4" descr="IMG_20250830_10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0250830_101157"/>
                          <pic:cNvPicPr>
                            <a:picLocks noChangeAspect="1"/>
                          </pic:cNvPicPr>
                        </pic:nvPicPr>
                        <pic:blipFill>
                          <a:blip r:embed="rId21"/>
                          <a:stretch>
                            <a:fillRect/>
                          </a:stretch>
                        </pic:blipFill>
                        <pic:spPr>
                          <a:xfrm>
                            <a:off x="0" y="0"/>
                            <a:ext cx="2613660" cy="1960245"/>
                          </a:xfrm>
                          <a:prstGeom prst="rect">
                            <a:avLst/>
                          </a:prstGeom>
                        </pic:spPr>
                      </pic:pic>
                    </a:graphicData>
                  </a:graphic>
                </wp:inline>
              </w:drawing>
            </w:r>
          </w:p>
        </w:tc>
        <w:tc>
          <w:tcPr>
            <w:tcW w:w="4162" w:type="dxa"/>
            <w:tcBorders>
              <w:tl2br w:val="nil"/>
              <w:tr2bl w:val="nil"/>
            </w:tcBorders>
            <w:vAlign w:val="center"/>
          </w:tcPr>
          <w:p w14:paraId="0B8F7558">
            <w:pPr>
              <w:overflowPunct w:val="0"/>
              <w:autoSpaceDE w:val="0"/>
              <w:autoSpaceDN w:val="0"/>
              <w:adjustRightInd w:val="0"/>
              <w:snapToGrid w:val="0"/>
              <w:spacing w:before="0" w:after="0" w:line="240" w:lineRule="auto"/>
              <w:ind w:left="0" w:leftChars="0" w:right="0" w:firstLine="0" w:firstLineChars="0"/>
              <w:jc w:val="center"/>
              <w:rPr>
                <w:rFonts w:hint="default" w:ascii="Times New Roman" w:hAnsi="Times New Roman" w:eastAsia="宋体" w:cs="Times New Roman"/>
                <w:bCs/>
                <w:color w:val="auto"/>
                <w:kern w:val="1"/>
                <w:sz w:val="28"/>
                <w:szCs w:val="28"/>
                <w:lang w:val="en-US" w:eastAsia="zh-CN"/>
              </w:rPr>
            </w:pPr>
            <w:r>
              <w:rPr>
                <w:rFonts w:hint="default" w:ascii="Times New Roman" w:hAnsi="Times New Roman" w:eastAsia="宋体" w:cs="Times New Roman"/>
                <w:bCs/>
                <w:color w:val="auto"/>
                <w:kern w:val="1"/>
                <w:sz w:val="28"/>
                <w:szCs w:val="28"/>
                <w:lang w:val="en-US" w:eastAsia="zh-CN"/>
              </w:rPr>
              <w:drawing>
                <wp:inline distT="0" distB="0" distL="114300" distR="114300">
                  <wp:extent cx="2496820" cy="1872615"/>
                  <wp:effectExtent l="0" t="0" r="8255" b="3810"/>
                  <wp:docPr id="28" name="图片 28" descr="IMG_20250830_10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IMG_20250830_101203"/>
                          <pic:cNvPicPr>
                            <a:picLocks noChangeAspect="1"/>
                          </pic:cNvPicPr>
                        </pic:nvPicPr>
                        <pic:blipFill>
                          <a:blip r:embed="rId22"/>
                          <a:stretch>
                            <a:fillRect/>
                          </a:stretch>
                        </pic:blipFill>
                        <pic:spPr>
                          <a:xfrm>
                            <a:off x="0" y="0"/>
                            <a:ext cx="2496820" cy="1872615"/>
                          </a:xfrm>
                          <a:prstGeom prst="rect">
                            <a:avLst/>
                          </a:prstGeom>
                        </pic:spPr>
                      </pic:pic>
                    </a:graphicData>
                  </a:graphic>
                </wp:inline>
              </w:drawing>
            </w:r>
          </w:p>
        </w:tc>
      </w:tr>
      <w:tr w14:paraId="55ABF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60" w:type="dxa"/>
            <w:tcBorders>
              <w:tl2br w:val="nil"/>
              <w:tr2bl w:val="nil"/>
            </w:tcBorders>
            <w:vAlign w:val="center"/>
          </w:tcPr>
          <w:p w14:paraId="14600D7C">
            <w:pPr>
              <w:keepNext w:val="0"/>
              <w:keepLines w:val="0"/>
              <w:pageBreakBefore w:val="0"/>
              <w:widowControl w:val="0"/>
              <w:kinsoku/>
              <w:wordWrap/>
              <w:overflowPunct/>
              <w:topLinePunct w:val="0"/>
              <w:autoSpaceDE/>
              <w:autoSpaceDN/>
              <w:bidi w:val="0"/>
              <w:adjustRightInd/>
              <w:snapToGrid/>
              <w:spacing w:before="0" w:after="0" w:line="480" w:lineRule="exact"/>
              <w:ind w:left="0" w:leftChars="0" w:right="0" w:firstLine="0" w:firstLineChars="0"/>
              <w:jc w:val="center"/>
              <w:textAlignment w:val="auto"/>
              <w:rPr>
                <w:rFonts w:hint="default" w:ascii="Times New Roman" w:hAnsi="Times New Roman" w:eastAsia="宋体" w:cs="Times New Roman"/>
                <w:bCs/>
                <w:color w:val="auto"/>
                <w:kern w:val="1"/>
                <w:sz w:val="28"/>
                <w:szCs w:val="28"/>
                <w:lang w:val="en-US"/>
              </w:rPr>
            </w:pPr>
            <w:r>
              <w:rPr>
                <w:rFonts w:hint="default" w:ascii="Times New Roman" w:hAnsi="Times New Roman" w:eastAsia="宋体" w:cs="Times New Roman"/>
                <w:bCs/>
                <w:color w:val="auto"/>
                <w:kern w:val="1"/>
                <w:sz w:val="28"/>
                <w:szCs w:val="28"/>
                <w:lang w:val="en-US" w:eastAsia="zh-CN"/>
              </w:rPr>
              <w:t>生产车间现状</w:t>
            </w:r>
          </w:p>
        </w:tc>
        <w:tc>
          <w:tcPr>
            <w:tcW w:w="4162" w:type="dxa"/>
            <w:tcBorders>
              <w:tl2br w:val="nil"/>
              <w:tr2bl w:val="nil"/>
            </w:tcBorders>
            <w:vAlign w:val="center"/>
          </w:tcPr>
          <w:p w14:paraId="53E0F87C">
            <w:pPr>
              <w:keepNext w:val="0"/>
              <w:keepLines w:val="0"/>
              <w:pageBreakBefore w:val="0"/>
              <w:widowControl w:val="0"/>
              <w:kinsoku/>
              <w:wordWrap/>
              <w:overflowPunct/>
              <w:topLinePunct w:val="0"/>
              <w:autoSpaceDE/>
              <w:autoSpaceDN/>
              <w:bidi w:val="0"/>
              <w:adjustRightInd/>
              <w:snapToGrid/>
              <w:spacing w:before="0" w:after="0" w:line="480" w:lineRule="exact"/>
              <w:ind w:left="0" w:leftChars="0" w:right="0" w:firstLine="0" w:firstLineChars="0"/>
              <w:jc w:val="center"/>
              <w:textAlignment w:val="auto"/>
              <w:rPr>
                <w:rFonts w:hint="default" w:ascii="Times New Roman" w:hAnsi="Times New Roman" w:eastAsia="宋体" w:cs="Times New Roman"/>
                <w:bCs/>
                <w:color w:val="auto"/>
                <w:kern w:val="1"/>
                <w:sz w:val="28"/>
                <w:szCs w:val="28"/>
                <w:lang w:val="en-US"/>
              </w:rPr>
            </w:pPr>
            <w:r>
              <w:rPr>
                <w:rFonts w:hint="default" w:ascii="Times New Roman" w:hAnsi="Times New Roman" w:eastAsia="宋体" w:cs="Times New Roman"/>
                <w:bCs/>
                <w:color w:val="auto"/>
                <w:kern w:val="1"/>
                <w:sz w:val="28"/>
                <w:szCs w:val="28"/>
                <w:lang w:val="en-US" w:eastAsia="zh-CN"/>
              </w:rPr>
              <w:t>发酵罐区</w:t>
            </w:r>
          </w:p>
        </w:tc>
      </w:tr>
    </w:tbl>
    <w:p w14:paraId="3813CDE5">
      <w:pPr>
        <w:rPr>
          <w:rFonts w:hint="default" w:ascii="Times New Roman" w:hAnsi="Times New Roman" w:eastAsia="宋体" w:cs="Times New Roman"/>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sdt>
      <w:sdtPr>
        <w:rPr>
          <w:rFonts w:hint="default" w:ascii="Times New Roman" w:hAnsi="Times New Roman" w:eastAsia="宋体" w:cs="Times New Roman"/>
          <w:b/>
          <w:bCs/>
          <w:color w:val="auto"/>
          <w:sz w:val="30"/>
          <w:szCs w:val="30"/>
          <w:lang w:val="en-US" w:eastAsia="zh-CN" w:bidi="ar-SA"/>
        </w:rPr>
        <w:id w:val="147477224"/>
        <w15:color w:val="DBDBDB"/>
        <w:docPartObj>
          <w:docPartGallery w:val="Table of Contents"/>
          <w:docPartUnique/>
        </w:docPartObj>
      </w:sdtPr>
      <w:sdtEndPr>
        <w:rPr>
          <w:rFonts w:hint="default" w:ascii="Times New Roman" w:hAnsi="Times New Roman" w:eastAsia="宋体" w:cs="Times New Roman"/>
          <w:b/>
          <w:bCs/>
          <w:color w:val="auto"/>
          <w:sz w:val="24"/>
          <w:szCs w:val="22"/>
          <w:lang w:val="en-US" w:eastAsia="zh-CN" w:bidi="ar-SA"/>
        </w:rPr>
      </w:sdtEndPr>
      <w:sdtContent>
        <w:p w14:paraId="1E42AF6A">
          <w:pPr>
            <w:spacing w:before="0" w:beforeLines="0" w:after="0" w:afterLines="0" w:line="480" w:lineRule="auto"/>
            <w:ind w:left="0" w:leftChars="0" w:right="0" w:rightChars="0" w:firstLine="0" w:firstLineChars="0"/>
            <w:jc w:val="center"/>
            <w:rPr>
              <w:rFonts w:hint="default" w:ascii="Times New Roman" w:hAnsi="Times New Roman" w:eastAsia="宋体" w:cs="Times New Roman"/>
              <w:b/>
              <w:bCs/>
              <w:color w:val="auto"/>
              <w:sz w:val="30"/>
              <w:szCs w:val="30"/>
            </w:rPr>
          </w:pPr>
          <w:r>
            <w:rPr>
              <w:rFonts w:hint="default" w:ascii="Times New Roman" w:hAnsi="Times New Roman" w:eastAsia="宋体" w:cs="Times New Roman"/>
              <w:b/>
              <w:bCs/>
              <w:color w:val="auto"/>
              <w:sz w:val="30"/>
              <w:szCs w:val="30"/>
            </w:rPr>
            <w:t>目</w:t>
          </w:r>
          <w:r>
            <w:rPr>
              <w:rFonts w:hint="default" w:ascii="Times New Roman" w:hAnsi="Times New Roman" w:eastAsia="宋体" w:cs="Times New Roman"/>
              <w:b/>
              <w:bCs/>
              <w:color w:val="auto"/>
              <w:sz w:val="30"/>
              <w:szCs w:val="30"/>
              <w:lang w:val="en-US" w:eastAsia="zh-CN"/>
            </w:rPr>
            <w:t xml:space="preserve">  </w:t>
          </w:r>
          <w:r>
            <w:rPr>
              <w:rFonts w:hint="default" w:ascii="Times New Roman" w:hAnsi="Times New Roman" w:eastAsia="宋体" w:cs="Times New Roman"/>
              <w:b/>
              <w:bCs/>
              <w:color w:val="auto"/>
              <w:sz w:val="30"/>
              <w:szCs w:val="30"/>
            </w:rPr>
            <w:t>录</w:t>
          </w:r>
        </w:p>
        <w:p w14:paraId="551B2542">
          <w:pPr>
            <w:pStyle w:val="16"/>
            <w:tabs>
              <w:tab w:val="right" w:leader="dot" w:pos="8306"/>
            </w:tabs>
            <w:spacing w:line="360" w:lineRule="auto"/>
            <w:rPr>
              <w:rFonts w:hint="default" w:ascii="Times New Roman" w:hAnsi="Times New Roman" w:eastAsia="宋体" w:cs="Times New Roman"/>
              <w:color w:val="auto"/>
            </w:rPr>
          </w:pPr>
          <w:r>
            <w:rPr>
              <w:rFonts w:hint="default" w:ascii="Times New Roman" w:hAnsi="Times New Roman" w:eastAsia="宋体" w:cs="Times New Roman"/>
              <w:color w:val="auto"/>
              <w:sz w:val="24"/>
              <w:szCs w:val="24"/>
              <w:lang w:val="en-US" w:eastAsia="zh-CN" w:bidi="ar-SA"/>
            </w:rPr>
            <w:fldChar w:fldCharType="begin"/>
          </w:r>
          <w:r>
            <w:rPr>
              <w:rFonts w:hint="default" w:ascii="Times New Roman" w:hAnsi="Times New Roman" w:eastAsia="宋体" w:cs="Times New Roman"/>
              <w:color w:val="auto"/>
              <w:sz w:val="24"/>
              <w:szCs w:val="24"/>
              <w:lang w:val="en-US" w:eastAsia="zh-CN" w:bidi="ar-SA"/>
            </w:rPr>
            <w:instrText xml:space="preserve">TOC \o "1-1" \h \u </w:instrText>
          </w:r>
          <w:r>
            <w:rPr>
              <w:rFonts w:hint="default" w:ascii="Times New Roman" w:hAnsi="Times New Roman" w:eastAsia="宋体" w:cs="Times New Roman"/>
              <w:color w:val="auto"/>
              <w:sz w:val="24"/>
              <w:szCs w:val="24"/>
              <w:lang w:val="en-US" w:eastAsia="zh-CN" w:bidi="ar-SA"/>
            </w:rPr>
            <w:fldChar w:fldCharType="separate"/>
          </w:r>
          <w:r>
            <w:rPr>
              <w:rFonts w:hint="default" w:ascii="Times New Roman" w:hAnsi="Times New Roman" w:eastAsia="宋体" w:cs="Times New Roman"/>
              <w:color w:val="auto"/>
              <w:szCs w:val="24"/>
              <w:lang w:val="en-US" w:eastAsia="zh-CN" w:bidi="ar-SA"/>
            </w:rPr>
            <w:fldChar w:fldCharType="begin"/>
          </w:r>
          <w:r>
            <w:rPr>
              <w:rFonts w:hint="default" w:ascii="Times New Roman" w:hAnsi="Times New Roman" w:eastAsia="宋体" w:cs="Times New Roman"/>
              <w:color w:val="auto"/>
              <w:szCs w:val="24"/>
              <w:lang w:val="en-US" w:eastAsia="zh-CN" w:bidi="ar-SA"/>
            </w:rPr>
            <w:instrText xml:space="preserve"> HYPERLINK \l _Toc22768 </w:instrText>
          </w:r>
          <w:r>
            <w:rPr>
              <w:rFonts w:hint="default" w:ascii="Times New Roman" w:hAnsi="Times New Roman" w:eastAsia="宋体" w:cs="Times New Roman"/>
              <w:color w:val="auto"/>
              <w:szCs w:val="24"/>
              <w:lang w:val="en-US" w:eastAsia="zh-CN" w:bidi="ar-SA"/>
            </w:rPr>
            <w:fldChar w:fldCharType="separate"/>
          </w:r>
          <w:r>
            <w:rPr>
              <w:rFonts w:hint="default" w:ascii="Times New Roman" w:hAnsi="Times New Roman" w:eastAsia="宋体" w:cs="Times New Roman"/>
              <w:color w:val="auto"/>
              <w:kern w:val="44"/>
              <w:szCs w:val="22"/>
              <w:lang w:val="en-US" w:eastAsia="zh-CN" w:bidi="ar-SA"/>
            </w:rPr>
            <w:t>一、建设项目基本情况</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_Toc22768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szCs w:val="24"/>
              <w:lang w:val="en-US" w:eastAsia="zh-CN" w:bidi="ar-SA"/>
            </w:rPr>
            <w:fldChar w:fldCharType="end"/>
          </w:r>
        </w:p>
        <w:p w14:paraId="55F462E5">
          <w:pPr>
            <w:pStyle w:val="16"/>
            <w:tabs>
              <w:tab w:val="right" w:leader="dot" w:pos="8306"/>
            </w:tabs>
            <w:spacing w:line="360" w:lineRule="auto"/>
            <w:rPr>
              <w:rFonts w:hint="default" w:ascii="Times New Roman" w:hAnsi="Times New Roman" w:eastAsia="宋体" w:cs="Times New Roman"/>
              <w:color w:val="auto"/>
            </w:rPr>
          </w:pPr>
          <w:r>
            <w:rPr>
              <w:rFonts w:hint="default" w:ascii="Times New Roman" w:hAnsi="Times New Roman" w:eastAsia="宋体" w:cs="Times New Roman"/>
              <w:color w:val="auto"/>
              <w:szCs w:val="24"/>
              <w:lang w:val="en-US" w:eastAsia="zh-CN"/>
            </w:rPr>
            <w:fldChar w:fldCharType="begin"/>
          </w:r>
          <w:r>
            <w:rPr>
              <w:rFonts w:hint="default" w:ascii="Times New Roman" w:hAnsi="Times New Roman" w:eastAsia="宋体" w:cs="Times New Roman"/>
              <w:color w:val="auto"/>
              <w:szCs w:val="24"/>
              <w:lang w:val="en-US" w:eastAsia="zh-CN"/>
            </w:rPr>
            <w:instrText xml:space="preserve"> HYPERLINK \l _Toc10432 </w:instrText>
          </w:r>
          <w:r>
            <w:rPr>
              <w:rFonts w:hint="default" w:ascii="Times New Roman" w:hAnsi="Times New Roman" w:eastAsia="宋体" w:cs="Times New Roman"/>
              <w:color w:val="auto"/>
              <w:szCs w:val="24"/>
              <w:lang w:val="en-US" w:eastAsia="zh-CN"/>
            </w:rPr>
            <w:fldChar w:fldCharType="separate"/>
          </w:r>
          <w:r>
            <w:rPr>
              <w:rFonts w:hint="default" w:ascii="Times New Roman" w:hAnsi="Times New Roman" w:eastAsia="宋体" w:cs="Times New Roman"/>
              <w:color w:val="auto"/>
              <w:kern w:val="44"/>
              <w:szCs w:val="22"/>
              <w:lang w:val="en-US" w:eastAsia="zh-CN" w:bidi="ar-SA"/>
            </w:rPr>
            <w:t>二、建设项目工程分析</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_Toc10432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18</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szCs w:val="24"/>
              <w:lang w:val="en-US" w:eastAsia="zh-CN"/>
            </w:rPr>
            <w:fldChar w:fldCharType="end"/>
          </w:r>
        </w:p>
        <w:p w14:paraId="03B1A07A">
          <w:pPr>
            <w:pStyle w:val="16"/>
            <w:tabs>
              <w:tab w:val="right" w:leader="dot" w:pos="8306"/>
            </w:tabs>
            <w:spacing w:line="360" w:lineRule="auto"/>
            <w:rPr>
              <w:rFonts w:hint="default" w:ascii="Times New Roman" w:hAnsi="Times New Roman" w:eastAsia="宋体" w:cs="Times New Roman"/>
              <w:color w:val="auto"/>
            </w:rPr>
          </w:pPr>
          <w:r>
            <w:rPr>
              <w:rFonts w:hint="default" w:ascii="Times New Roman" w:hAnsi="Times New Roman" w:eastAsia="宋体" w:cs="Times New Roman"/>
              <w:color w:val="auto"/>
              <w:szCs w:val="24"/>
              <w:lang w:val="en-US" w:eastAsia="zh-CN"/>
            </w:rPr>
            <w:fldChar w:fldCharType="begin"/>
          </w:r>
          <w:r>
            <w:rPr>
              <w:rFonts w:hint="default" w:ascii="Times New Roman" w:hAnsi="Times New Roman" w:eastAsia="宋体" w:cs="Times New Roman"/>
              <w:color w:val="auto"/>
              <w:szCs w:val="24"/>
              <w:lang w:val="en-US" w:eastAsia="zh-CN"/>
            </w:rPr>
            <w:instrText xml:space="preserve"> HYPERLINK \l _Toc20831 </w:instrText>
          </w:r>
          <w:r>
            <w:rPr>
              <w:rFonts w:hint="default" w:ascii="Times New Roman" w:hAnsi="Times New Roman" w:eastAsia="宋体" w:cs="Times New Roman"/>
              <w:color w:val="auto"/>
              <w:szCs w:val="24"/>
              <w:lang w:val="en-US" w:eastAsia="zh-CN"/>
            </w:rPr>
            <w:fldChar w:fldCharType="separate"/>
          </w:r>
          <w:r>
            <w:rPr>
              <w:rFonts w:hint="default" w:ascii="Times New Roman" w:hAnsi="Times New Roman" w:eastAsia="宋体" w:cs="Times New Roman"/>
              <w:color w:val="auto"/>
              <w:kern w:val="44"/>
              <w:szCs w:val="22"/>
              <w:lang w:val="en-US" w:eastAsia="zh-CN" w:bidi="ar-SA"/>
            </w:rPr>
            <w:t>三、区域环境质量现状、环境保护目标及评价标准</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_Toc20831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36</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szCs w:val="24"/>
              <w:lang w:val="en-US" w:eastAsia="zh-CN"/>
            </w:rPr>
            <w:fldChar w:fldCharType="end"/>
          </w:r>
        </w:p>
        <w:p w14:paraId="3785887A">
          <w:pPr>
            <w:pStyle w:val="16"/>
            <w:tabs>
              <w:tab w:val="right" w:leader="dot" w:pos="8306"/>
            </w:tabs>
            <w:spacing w:line="360" w:lineRule="auto"/>
            <w:rPr>
              <w:rFonts w:hint="default" w:ascii="Times New Roman" w:hAnsi="Times New Roman" w:eastAsia="宋体" w:cs="Times New Roman"/>
              <w:color w:val="auto"/>
            </w:rPr>
          </w:pPr>
          <w:r>
            <w:rPr>
              <w:rFonts w:hint="default" w:ascii="Times New Roman" w:hAnsi="Times New Roman" w:eastAsia="宋体" w:cs="Times New Roman"/>
              <w:color w:val="auto"/>
              <w:szCs w:val="24"/>
              <w:lang w:val="en-US" w:eastAsia="zh-CN"/>
            </w:rPr>
            <w:fldChar w:fldCharType="begin"/>
          </w:r>
          <w:r>
            <w:rPr>
              <w:rFonts w:hint="default" w:ascii="Times New Roman" w:hAnsi="Times New Roman" w:eastAsia="宋体" w:cs="Times New Roman"/>
              <w:color w:val="auto"/>
              <w:szCs w:val="24"/>
              <w:lang w:val="en-US" w:eastAsia="zh-CN"/>
            </w:rPr>
            <w:instrText xml:space="preserve"> HYPERLINK \l _Toc5806 </w:instrText>
          </w:r>
          <w:r>
            <w:rPr>
              <w:rFonts w:hint="default" w:ascii="Times New Roman" w:hAnsi="Times New Roman" w:eastAsia="宋体" w:cs="Times New Roman"/>
              <w:color w:val="auto"/>
              <w:szCs w:val="24"/>
              <w:lang w:val="en-US" w:eastAsia="zh-CN"/>
            </w:rPr>
            <w:fldChar w:fldCharType="separate"/>
          </w:r>
          <w:r>
            <w:rPr>
              <w:rFonts w:hint="default" w:ascii="Times New Roman" w:hAnsi="Times New Roman" w:eastAsia="宋体" w:cs="Times New Roman"/>
              <w:color w:val="auto"/>
              <w:kern w:val="44"/>
              <w:szCs w:val="22"/>
              <w:lang w:val="en-US" w:eastAsia="zh-CN" w:bidi="ar-SA"/>
            </w:rPr>
            <w:t>四、主要环境影响和保护措施</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_Toc5806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45</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szCs w:val="24"/>
              <w:lang w:val="en-US" w:eastAsia="zh-CN"/>
            </w:rPr>
            <w:fldChar w:fldCharType="end"/>
          </w:r>
        </w:p>
        <w:p w14:paraId="4DE5C3EF">
          <w:pPr>
            <w:pStyle w:val="16"/>
            <w:tabs>
              <w:tab w:val="right" w:leader="dot" w:pos="8306"/>
            </w:tabs>
            <w:spacing w:line="360" w:lineRule="auto"/>
            <w:rPr>
              <w:rFonts w:hint="default" w:ascii="Times New Roman" w:hAnsi="Times New Roman" w:eastAsia="宋体" w:cs="Times New Roman"/>
              <w:color w:val="auto"/>
            </w:rPr>
          </w:pPr>
          <w:r>
            <w:rPr>
              <w:rFonts w:hint="default" w:ascii="Times New Roman" w:hAnsi="Times New Roman" w:eastAsia="宋体" w:cs="Times New Roman"/>
              <w:color w:val="auto"/>
              <w:szCs w:val="24"/>
              <w:lang w:val="en-US" w:eastAsia="zh-CN"/>
            </w:rPr>
            <w:fldChar w:fldCharType="begin"/>
          </w:r>
          <w:r>
            <w:rPr>
              <w:rFonts w:hint="default" w:ascii="Times New Roman" w:hAnsi="Times New Roman" w:eastAsia="宋体" w:cs="Times New Roman"/>
              <w:color w:val="auto"/>
              <w:szCs w:val="24"/>
              <w:lang w:val="en-US" w:eastAsia="zh-CN"/>
            </w:rPr>
            <w:instrText xml:space="preserve"> HYPERLINK \l _Toc30678 </w:instrText>
          </w:r>
          <w:r>
            <w:rPr>
              <w:rFonts w:hint="default" w:ascii="Times New Roman" w:hAnsi="Times New Roman" w:eastAsia="宋体" w:cs="Times New Roman"/>
              <w:color w:val="auto"/>
              <w:szCs w:val="24"/>
              <w:lang w:val="en-US" w:eastAsia="zh-CN"/>
            </w:rPr>
            <w:fldChar w:fldCharType="separate"/>
          </w:r>
          <w:r>
            <w:rPr>
              <w:rFonts w:hint="default" w:ascii="Times New Roman" w:hAnsi="Times New Roman" w:eastAsia="宋体" w:cs="Times New Roman"/>
              <w:color w:val="auto"/>
              <w:kern w:val="44"/>
              <w:szCs w:val="22"/>
              <w:lang w:val="en-US" w:eastAsia="zh-CN" w:bidi="ar-SA"/>
            </w:rPr>
            <w:t>五、环境保护措施监督检查清单</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_Toc30678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95</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szCs w:val="24"/>
              <w:lang w:val="en-US" w:eastAsia="zh-CN"/>
            </w:rPr>
            <w:fldChar w:fldCharType="end"/>
          </w:r>
        </w:p>
        <w:p w14:paraId="2F3632D1">
          <w:pPr>
            <w:pStyle w:val="16"/>
            <w:tabs>
              <w:tab w:val="right" w:leader="dot" w:pos="8306"/>
            </w:tabs>
            <w:spacing w:line="360" w:lineRule="auto"/>
            <w:rPr>
              <w:rFonts w:hint="default" w:ascii="Times New Roman" w:hAnsi="Times New Roman" w:eastAsia="宋体" w:cs="Times New Roman"/>
              <w:color w:val="auto"/>
            </w:rPr>
          </w:pPr>
          <w:r>
            <w:rPr>
              <w:rFonts w:hint="default" w:ascii="Times New Roman" w:hAnsi="Times New Roman" w:eastAsia="宋体" w:cs="Times New Roman"/>
              <w:color w:val="auto"/>
              <w:szCs w:val="24"/>
              <w:lang w:val="en-US" w:eastAsia="zh-CN"/>
            </w:rPr>
            <w:fldChar w:fldCharType="begin"/>
          </w:r>
          <w:r>
            <w:rPr>
              <w:rFonts w:hint="default" w:ascii="Times New Roman" w:hAnsi="Times New Roman" w:eastAsia="宋体" w:cs="Times New Roman"/>
              <w:color w:val="auto"/>
              <w:szCs w:val="24"/>
              <w:lang w:val="en-US" w:eastAsia="zh-CN"/>
            </w:rPr>
            <w:instrText xml:space="preserve"> HYPERLINK \l _Toc32300 </w:instrText>
          </w:r>
          <w:r>
            <w:rPr>
              <w:rFonts w:hint="default" w:ascii="Times New Roman" w:hAnsi="Times New Roman" w:eastAsia="宋体" w:cs="Times New Roman"/>
              <w:color w:val="auto"/>
              <w:szCs w:val="24"/>
              <w:lang w:val="en-US" w:eastAsia="zh-CN"/>
            </w:rPr>
            <w:fldChar w:fldCharType="separate"/>
          </w:r>
          <w:r>
            <w:rPr>
              <w:rFonts w:hint="default" w:ascii="Times New Roman" w:hAnsi="Times New Roman" w:eastAsia="宋体" w:cs="Times New Roman"/>
              <w:color w:val="auto"/>
              <w:kern w:val="44"/>
              <w:szCs w:val="22"/>
              <w:lang w:val="en-US" w:eastAsia="zh-CN" w:bidi="ar-SA"/>
            </w:rPr>
            <w:t>六、结论</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_Toc32300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99</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szCs w:val="24"/>
              <w:lang w:val="en-US" w:eastAsia="zh-CN"/>
            </w:rPr>
            <w:fldChar w:fldCharType="end"/>
          </w:r>
        </w:p>
        <w:p w14:paraId="2B814D6B">
          <w:pPr>
            <w:pStyle w:val="16"/>
            <w:tabs>
              <w:tab w:val="right" w:leader="dot" w:pos="8306"/>
            </w:tabs>
            <w:spacing w:line="360" w:lineRule="auto"/>
            <w:rPr>
              <w:rFonts w:hint="default" w:ascii="Times New Roman" w:hAnsi="Times New Roman" w:eastAsia="宋体" w:cs="Times New Roman"/>
              <w:color w:val="auto"/>
            </w:rPr>
          </w:pPr>
          <w:r>
            <w:rPr>
              <w:rFonts w:hint="default" w:ascii="Times New Roman" w:hAnsi="Times New Roman" w:eastAsia="宋体" w:cs="Times New Roman"/>
              <w:color w:val="auto"/>
              <w:szCs w:val="24"/>
              <w:lang w:val="en-US" w:eastAsia="zh-CN"/>
            </w:rPr>
            <w:fldChar w:fldCharType="begin"/>
          </w:r>
          <w:r>
            <w:rPr>
              <w:rFonts w:hint="default" w:ascii="Times New Roman" w:hAnsi="Times New Roman" w:eastAsia="宋体" w:cs="Times New Roman"/>
              <w:color w:val="auto"/>
              <w:szCs w:val="24"/>
              <w:lang w:val="en-US" w:eastAsia="zh-CN"/>
            </w:rPr>
            <w:instrText xml:space="preserve"> HYPERLINK \l _Toc28398 </w:instrText>
          </w:r>
          <w:r>
            <w:rPr>
              <w:rFonts w:hint="default" w:ascii="Times New Roman" w:hAnsi="Times New Roman" w:eastAsia="宋体" w:cs="Times New Roman"/>
              <w:color w:val="auto"/>
              <w:szCs w:val="24"/>
              <w:lang w:val="en-US" w:eastAsia="zh-CN"/>
            </w:rPr>
            <w:fldChar w:fldCharType="separate"/>
          </w:r>
          <w:r>
            <w:rPr>
              <w:rFonts w:hint="default" w:ascii="Times New Roman" w:hAnsi="Times New Roman" w:eastAsia="宋体" w:cs="Times New Roman"/>
              <w:snapToGrid w:val="0"/>
              <w:color w:val="auto"/>
              <w:kern w:val="0"/>
              <w:szCs w:val="32"/>
              <w:highlight w:val="none"/>
              <w:lang w:val="en-US" w:eastAsia="zh-CN" w:bidi="ar-SA"/>
            </w:rPr>
            <w:t>附表</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_Toc28398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100</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szCs w:val="24"/>
              <w:lang w:val="en-US" w:eastAsia="zh-CN"/>
            </w:rPr>
            <w:fldChar w:fldCharType="end"/>
          </w:r>
        </w:p>
        <w:p w14:paraId="3B5EADE0">
          <w:pPr>
            <w:pStyle w:val="16"/>
            <w:tabs>
              <w:tab w:val="right" w:leader="dot" w:pos="8306"/>
            </w:tabs>
            <w:spacing w:line="360" w:lineRule="auto"/>
            <w:rPr>
              <w:rFonts w:hint="default" w:ascii="Times New Roman" w:hAnsi="Times New Roman" w:eastAsia="宋体" w:cs="Times New Roman"/>
              <w:color w:val="auto"/>
            </w:rPr>
          </w:pPr>
          <w:r>
            <w:rPr>
              <w:rFonts w:hint="default" w:ascii="Times New Roman" w:hAnsi="Times New Roman" w:eastAsia="宋体" w:cs="Times New Roman"/>
              <w:color w:val="auto"/>
              <w:szCs w:val="24"/>
              <w:lang w:val="en-US" w:eastAsia="zh-CN"/>
            </w:rPr>
            <w:fldChar w:fldCharType="begin"/>
          </w:r>
          <w:r>
            <w:rPr>
              <w:rFonts w:hint="default" w:ascii="Times New Roman" w:hAnsi="Times New Roman" w:eastAsia="宋体" w:cs="Times New Roman"/>
              <w:color w:val="auto"/>
              <w:szCs w:val="24"/>
              <w:lang w:val="en-US" w:eastAsia="zh-CN"/>
            </w:rPr>
            <w:instrText xml:space="preserve"> HYPERLINK \l _Toc19914 </w:instrText>
          </w:r>
          <w:r>
            <w:rPr>
              <w:rFonts w:hint="default" w:ascii="Times New Roman" w:hAnsi="Times New Roman" w:eastAsia="宋体" w:cs="Times New Roman"/>
              <w:color w:val="auto"/>
              <w:szCs w:val="24"/>
              <w:lang w:val="en-US" w:eastAsia="zh-CN"/>
            </w:rPr>
            <w:fldChar w:fldCharType="separate"/>
          </w:r>
          <w:r>
            <w:rPr>
              <w:rFonts w:hint="default" w:ascii="Times New Roman" w:hAnsi="Times New Roman" w:eastAsia="宋体" w:cs="Times New Roman"/>
              <w:bCs/>
              <w:color w:val="auto"/>
              <w:szCs w:val="28"/>
              <w:lang w:val="en-US" w:eastAsia="zh-CN"/>
            </w:rPr>
            <w:t>建设项目污染物排放量汇总表</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_Toc19914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100</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szCs w:val="24"/>
              <w:lang w:val="en-US" w:eastAsia="zh-CN"/>
            </w:rPr>
            <w:fldChar w:fldCharType="end"/>
          </w:r>
        </w:p>
        <w:p w14:paraId="358D4533">
          <w:pPr>
            <w:numPr>
              <w:ilvl w:val="0"/>
              <w:numId w:val="0"/>
            </w:numPr>
            <w:bidi w:val="0"/>
            <w:spacing w:line="360" w:lineRule="auto"/>
            <w:ind w:leftChars="0" w:right="0" w:rightChars="0"/>
            <w:jc w:val="center"/>
            <w:rPr>
              <w:rFonts w:hint="default" w:ascii="Times New Roman" w:hAnsi="Times New Roman" w:eastAsia="宋体" w:cs="Times New Roman"/>
              <w:b/>
              <w:bCs/>
              <w:color w:val="auto"/>
              <w:sz w:val="24"/>
              <w:szCs w:val="22"/>
              <w:lang w:val="en-US" w:eastAsia="zh-CN" w:bidi="ar-SA"/>
            </w:rPr>
          </w:pPr>
          <w:r>
            <w:rPr>
              <w:rFonts w:hint="default" w:ascii="Times New Roman" w:hAnsi="Times New Roman" w:eastAsia="宋体" w:cs="Times New Roman"/>
              <w:color w:val="auto"/>
              <w:szCs w:val="24"/>
              <w:lang w:val="en-US" w:eastAsia="zh-CN"/>
            </w:rPr>
            <w:fldChar w:fldCharType="end"/>
          </w:r>
        </w:p>
      </w:sdtContent>
    </w:sdt>
    <w:p w14:paraId="5680A842">
      <w:pPr>
        <w:bidi w:val="0"/>
        <w:rPr>
          <w:rFonts w:hint="default" w:ascii="Times New Roman" w:hAnsi="Times New Roman" w:eastAsia="宋体" w:cs="Times New Roman"/>
          <w:color w:val="auto"/>
          <w:sz w:val="24"/>
          <w:szCs w:val="22"/>
          <w:lang w:val="en-US" w:eastAsia="zh-CN" w:bidi="ar-SA"/>
        </w:rPr>
      </w:pPr>
    </w:p>
    <w:p w14:paraId="725F4E92">
      <w:pPr>
        <w:bidi w:val="0"/>
        <w:rPr>
          <w:rFonts w:hint="default" w:ascii="Times New Roman" w:hAnsi="Times New Roman" w:eastAsia="宋体" w:cs="Times New Roman"/>
          <w:color w:val="auto"/>
          <w:lang w:val="en-US" w:eastAsia="zh-CN"/>
        </w:rPr>
      </w:pPr>
    </w:p>
    <w:p w14:paraId="4FB76AAB">
      <w:pPr>
        <w:bidi w:val="0"/>
        <w:rPr>
          <w:rFonts w:hint="default" w:ascii="Times New Roman" w:hAnsi="Times New Roman" w:eastAsia="宋体" w:cs="Times New Roman"/>
          <w:color w:val="auto"/>
          <w:lang w:val="en-US" w:eastAsia="zh-CN"/>
        </w:rPr>
      </w:pPr>
    </w:p>
    <w:p w14:paraId="1E2E9032">
      <w:pPr>
        <w:bidi w:val="0"/>
        <w:rPr>
          <w:rFonts w:hint="default" w:ascii="Times New Roman" w:hAnsi="Times New Roman" w:eastAsia="宋体" w:cs="Times New Roman"/>
          <w:color w:val="auto"/>
          <w:lang w:val="en-US" w:eastAsia="zh-CN"/>
        </w:rPr>
      </w:pPr>
    </w:p>
    <w:p w14:paraId="2ED437C8">
      <w:pPr>
        <w:bidi w:val="0"/>
        <w:rPr>
          <w:rFonts w:hint="default" w:ascii="Times New Roman" w:hAnsi="Times New Roman" w:eastAsia="宋体" w:cs="Times New Roman"/>
          <w:color w:val="auto"/>
          <w:lang w:val="en-US" w:eastAsia="zh-CN"/>
        </w:rPr>
      </w:pPr>
    </w:p>
    <w:p w14:paraId="76065935">
      <w:pPr>
        <w:bidi w:val="0"/>
        <w:rPr>
          <w:rFonts w:hint="default" w:ascii="Times New Roman" w:hAnsi="Times New Roman" w:eastAsia="宋体" w:cs="Times New Roman"/>
          <w:color w:val="auto"/>
          <w:lang w:val="en-US" w:eastAsia="zh-CN"/>
        </w:rPr>
      </w:pPr>
    </w:p>
    <w:p w14:paraId="7D4ACAF3">
      <w:pPr>
        <w:tabs>
          <w:tab w:val="center" w:pos="4153"/>
        </w:tabs>
        <w:bidi w:val="0"/>
        <w:jc w:val="left"/>
        <w:rPr>
          <w:rFonts w:hint="default" w:ascii="Times New Roman" w:hAnsi="Times New Roman" w:eastAsia="宋体" w:cs="Times New Roman"/>
          <w:color w:val="auto"/>
          <w:lang w:val="en-US" w:eastAsia="zh-CN"/>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r>
        <w:rPr>
          <w:rFonts w:hint="default" w:ascii="Times New Roman" w:hAnsi="Times New Roman" w:eastAsia="宋体" w:cs="Times New Roman"/>
          <w:color w:val="auto"/>
          <w:lang w:val="en-US" w:eastAsia="zh-CN"/>
        </w:rPr>
        <w:tab/>
      </w:r>
    </w:p>
    <w:p w14:paraId="73D17BDB">
      <w:pPr>
        <w:widowControl w:val="0"/>
        <w:numPr>
          <w:ilvl w:val="0"/>
          <w:numId w:val="0"/>
        </w:numPr>
        <w:overflowPunct w:val="0"/>
        <w:autoSpaceDE w:val="0"/>
        <w:autoSpaceDN w:val="0"/>
        <w:bidi w:val="0"/>
        <w:adjustRightInd w:val="0"/>
        <w:snapToGrid w:val="0"/>
        <w:spacing w:before="0" w:after="0" w:line="560" w:lineRule="exact"/>
        <w:ind w:left="0" w:leftChars="0" w:right="0" w:rightChars="0" w:firstLine="0" w:firstLineChars="0"/>
        <w:jc w:val="center"/>
        <w:outlineLvl w:val="0"/>
        <w:rPr>
          <w:rFonts w:hint="default" w:ascii="Times New Roman" w:hAnsi="Times New Roman" w:eastAsia="宋体" w:cs="Times New Roman"/>
          <w:b/>
          <w:color w:val="auto"/>
          <w:kern w:val="44"/>
          <w:sz w:val="28"/>
          <w:szCs w:val="22"/>
          <w:lang w:val="en-US" w:eastAsia="zh-CN" w:bidi="ar-SA"/>
        </w:rPr>
      </w:pPr>
      <w:bookmarkStart w:id="1" w:name="_Toc22768"/>
      <w:bookmarkStart w:id="2" w:name="_Toc28497"/>
      <w:bookmarkStart w:id="3" w:name="_Toc14616"/>
      <w:r>
        <w:rPr>
          <w:rFonts w:hint="default" w:ascii="Times New Roman" w:hAnsi="Times New Roman" w:eastAsia="宋体" w:cs="Times New Roman"/>
          <w:b/>
          <w:color w:val="auto"/>
          <w:kern w:val="44"/>
          <w:sz w:val="28"/>
          <w:szCs w:val="22"/>
          <w:lang w:val="en-US" w:eastAsia="zh-CN" w:bidi="ar-SA"/>
        </w:rPr>
        <w:t>一、建设项目基本情况</w:t>
      </w:r>
      <w:bookmarkEnd w:id="1"/>
      <w:bookmarkEnd w:id="2"/>
      <w:bookmarkEnd w:id="3"/>
    </w:p>
    <w:tbl>
      <w:tblPr>
        <w:tblStyle w:val="2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6"/>
        <w:gridCol w:w="2196"/>
        <w:gridCol w:w="1683"/>
        <w:gridCol w:w="3296"/>
      </w:tblGrid>
      <w:tr w14:paraId="0FF7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96" w:type="dxa"/>
            <w:vAlign w:val="center"/>
          </w:tcPr>
          <w:p w14:paraId="403625A9">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right="0" w:firstLine="0" w:firstLineChars="0"/>
              <w:jc w:val="center"/>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建设项目名称</w:t>
            </w:r>
          </w:p>
        </w:tc>
        <w:tc>
          <w:tcPr>
            <w:tcW w:w="7175" w:type="dxa"/>
            <w:gridSpan w:val="3"/>
            <w:vAlign w:val="center"/>
          </w:tcPr>
          <w:p w14:paraId="3E1496E4">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right="0" w:firstLine="0" w:firstLineChars="0"/>
              <w:jc w:val="center"/>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新疆美康惠农科技发展有限公司有机肥建设项目</w:t>
            </w:r>
          </w:p>
        </w:tc>
      </w:tr>
      <w:tr w14:paraId="3D08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96" w:type="dxa"/>
            <w:vAlign w:val="center"/>
          </w:tcPr>
          <w:p w14:paraId="015BE4AD">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0" w:after="0" w:line="320" w:lineRule="exact"/>
              <w:ind w:right="0" w:rightChars="0"/>
              <w:jc w:val="center"/>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项目代码</w:t>
            </w:r>
          </w:p>
        </w:tc>
        <w:tc>
          <w:tcPr>
            <w:tcW w:w="7175" w:type="dxa"/>
            <w:gridSpan w:val="3"/>
            <w:vAlign w:val="center"/>
          </w:tcPr>
          <w:p w14:paraId="02EBED6A">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0" w:after="0" w:line="320" w:lineRule="exact"/>
              <w:ind w:right="0" w:rightChars="0"/>
              <w:jc w:val="center"/>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w:t>
            </w:r>
          </w:p>
        </w:tc>
      </w:tr>
      <w:tr w14:paraId="5BE8D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96" w:type="dxa"/>
            <w:vAlign w:val="center"/>
          </w:tcPr>
          <w:p w14:paraId="4FD21B81">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0" w:after="0" w:line="320" w:lineRule="exact"/>
              <w:ind w:right="0" w:rightChars="0"/>
              <w:jc w:val="center"/>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建设单位联系人</w:t>
            </w:r>
          </w:p>
        </w:tc>
        <w:tc>
          <w:tcPr>
            <w:tcW w:w="2196" w:type="dxa"/>
            <w:vAlign w:val="center"/>
          </w:tcPr>
          <w:p w14:paraId="14262F89">
            <w:pPr>
              <w:ind w:firstLine="0" w:firstLineChars="0"/>
              <w:jc w:val="center"/>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吕东作</w:t>
            </w:r>
          </w:p>
        </w:tc>
        <w:tc>
          <w:tcPr>
            <w:tcW w:w="1683" w:type="dxa"/>
            <w:vAlign w:val="center"/>
          </w:tcPr>
          <w:p w14:paraId="709E7BD6">
            <w:pPr>
              <w:ind w:firstLine="0" w:firstLineChars="0"/>
              <w:jc w:val="center"/>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Cs w:val="24"/>
                <w:highlight w:val="none"/>
              </w:rPr>
              <w:t>联系方式</w:t>
            </w:r>
          </w:p>
        </w:tc>
        <w:tc>
          <w:tcPr>
            <w:tcW w:w="3296" w:type="dxa"/>
            <w:vAlign w:val="center"/>
          </w:tcPr>
          <w:p w14:paraId="529A3CBF">
            <w:pPr>
              <w:ind w:firstLine="0" w:firstLineChars="0"/>
              <w:jc w:val="center"/>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Cs w:val="24"/>
                <w:highlight w:val="none"/>
                <w:lang w:val="en-US" w:eastAsia="zh-CN"/>
              </w:rPr>
              <w:t>18999150055</w:t>
            </w:r>
          </w:p>
        </w:tc>
      </w:tr>
      <w:tr w14:paraId="6D4C7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96" w:type="dxa"/>
            <w:vAlign w:val="center"/>
          </w:tcPr>
          <w:p w14:paraId="7A950121">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0" w:after="0" w:line="320" w:lineRule="exact"/>
              <w:ind w:right="0" w:rightChars="0"/>
              <w:jc w:val="center"/>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建设地点</w:t>
            </w:r>
          </w:p>
        </w:tc>
        <w:tc>
          <w:tcPr>
            <w:tcW w:w="7175" w:type="dxa"/>
            <w:gridSpan w:val="3"/>
            <w:vAlign w:val="center"/>
          </w:tcPr>
          <w:p w14:paraId="559777AA">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0" w:after="0" w:line="320" w:lineRule="exact"/>
              <w:ind w:right="0" w:rightChars="0"/>
              <w:jc w:val="center"/>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vertAlign w:val="baseline"/>
                <w:lang w:val="en-US" w:eastAsia="zh-CN" w:bidi="ar-SA"/>
              </w:rPr>
              <w:t>新疆维吾尔自治区昌吉回族自治州玛纳斯县玛纳斯镇</w:t>
            </w:r>
          </w:p>
        </w:tc>
      </w:tr>
      <w:tr w14:paraId="4865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96" w:type="dxa"/>
            <w:vAlign w:val="center"/>
          </w:tcPr>
          <w:p w14:paraId="189E9E8F">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0" w:after="0" w:line="320" w:lineRule="exact"/>
              <w:ind w:right="0" w:rightChars="0"/>
              <w:jc w:val="center"/>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地理坐标</w:t>
            </w:r>
          </w:p>
        </w:tc>
        <w:tc>
          <w:tcPr>
            <w:tcW w:w="7175" w:type="dxa"/>
            <w:gridSpan w:val="3"/>
            <w:vAlign w:val="center"/>
          </w:tcPr>
          <w:p w14:paraId="0036AE89">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0" w:after="0" w:line="320" w:lineRule="exact"/>
              <w:ind w:right="0" w:right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zCs w:val="21"/>
                <w:highlight w:val="none"/>
                <w:lang w:val="en-US" w:eastAsia="zh-CN"/>
              </w:rPr>
              <w:t>东经：</w:t>
            </w:r>
            <w:r>
              <w:rPr>
                <w:rFonts w:hint="default" w:ascii="Times New Roman" w:hAnsi="Times New Roman" w:eastAsia="宋体" w:cs="Times New Roman"/>
                <w:color w:val="auto"/>
                <w:szCs w:val="21"/>
                <w:highlight w:val="none"/>
              </w:rPr>
              <w:t>86°18′05.344″</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lang w:val="en-US" w:eastAsia="zh-CN"/>
              </w:rPr>
              <w:t>北纬</w:t>
            </w:r>
            <w:r>
              <w:rPr>
                <w:rFonts w:hint="default" w:ascii="Times New Roman" w:hAnsi="Times New Roman" w:eastAsia="宋体" w:cs="Times New Roman"/>
                <w:color w:val="auto"/>
                <w:szCs w:val="21"/>
                <w:highlight w:val="none"/>
              </w:rPr>
              <w:t>44°19′44.816″</w:t>
            </w:r>
          </w:p>
        </w:tc>
      </w:tr>
      <w:tr w14:paraId="29B44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96" w:type="dxa"/>
            <w:vAlign w:val="center"/>
          </w:tcPr>
          <w:p w14:paraId="714C66D1">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国民经济行业类别</w:t>
            </w:r>
          </w:p>
        </w:tc>
        <w:tc>
          <w:tcPr>
            <w:tcW w:w="2196" w:type="dxa"/>
            <w:vAlign w:val="center"/>
          </w:tcPr>
          <w:p w14:paraId="1C1F0C8D">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right="0" w:firstLine="0" w:firstLineChars="0"/>
              <w:jc w:val="center"/>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2625有机肥料及微生物肥料制造</w:t>
            </w:r>
          </w:p>
        </w:tc>
        <w:tc>
          <w:tcPr>
            <w:tcW w:w="1683" w:type="dxa"/>
            <w:vAlign w:val="center"/>
          </w:tcPr>
          <w:p w14:paraId="21BCC50A">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right="0" w:firstLine="0" w:firstLineChars="0"/>
              <w:jc w:val="center"/>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建设项目行业类别</w:t>
            </w:r>
          </w:p>
        </w:tc>
        <w:tc>
          <w:tcPr>
            <w:tcW w:w="3296" w:type="dxa"/>
            <w:vAlign w:val="center"/>
          </w:tcPr>
          <w:p w14:paraId="67B459A7">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right="0" w:firstLine="0" w:firstLineChars="0"/>
              <w:jc w:val="center"/>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23-45肥料制造262</w:t>
            </w:r>
          </w:p>
        </w:tc>
      </w:tr>
      <w:tr w14:paraId="20E75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96" w:type="dxa"/>
            <w:vAlign w:val="center"/>
          </w:tcPr>
          <w:p w14:paraId="7027AEB9">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4"/>
                <w:szCs w:val="24"/>
                <w:vertAlign w:val="baseline"/>
                <w:lang w:val="en-US" w:eastAsia="zh-CN" w:bidi="ar-SA"/>
              </w:rPr>
            </w:pPr>
            <w:r>
              <w:rPr>
                <w:rFonts w:hint="default" w:ascii="Times New Roman" w:hAnsi="Times New Roman" w:eastAsia="宋体" w:cs="Times New Roman"/>
                <w:color w:val="auto"/>
                <w:sz w:val="24"/>
                <w:szCs w:val="24"/>
                <w:lang w:val="en-US" w:eastAsia="zh-CN" w:bidi="ar-SA"/>
              </w:rPr>
              <w:t>建设性质</w:t>
            </w:r>
          </w:p>
        </w:tc>
        <w:tc>
          <w:tcPr>
            <w:tcW w:w="2196" w:type="dxa"/>
            <w:vAlign w:val="center"/>
          </w:tcPr>
          <w:p w14:paraId="459072EA">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right="0" w:firstLine="0" w:firstLineChars="0"/>
              <w:jc w:val="left"/>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☑新建（重新报批）</w:t>
            </w:r>
          </w:p>
          <w:p w14:paraId="4C825450">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right="0" w:firstLine="0" w:firstLineChars="0"/>
              <w:jc w:val="left"/>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□改建</w:t>
            </w:r>
          </w:p>
          <w:p w14:paraId="0131B9AE">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right="0" w:firstLine="0" w:firstLineChars="0"/>
              <w:jc w:val="left"/>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□扩建</w:t>
            </w:r>
          </w:p>
          <w:p w14:paraId="03D84E86">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left"/>
              <w:textAlignment w:val="auto"/>
              <w:rPr>
                <w:rFonts w:hint="default" w:ascii="Times New Roman" w:hAnsi="Times New Roman" w:eastAsia="宋体" w:cs="Times New Roman"/>
                <w:color w:val="auto"/>
                <w:sz w:val="24"/>
                <w:szCs w:val="24"/>
                <w:vertAlign w:val="baseline"/>
                <w:lang w:val="en-US" w:eastAsia="zh-CN" w:bidi="ar-SA"/>
              </w:rPr>
            </w:pPr>
            <w:r>
              <w:rPr>
                <w:rFonts w:hint="default" w:ascii="Times New Roman" w:hAnsi="Times New Roman" w:eastAsia="宋体" w:cs="Times New Roman"/>
                <w:color w:val="auto"/>
                <w:sz w:val="24"/>
                <w:szCs w:val="24"/>
                <w:lang w:val="en-US" w:eastAsia="zh-CN" w:bidi="ar-SA"/>
              </w:rPr>
              <w:t>□技术改造</w:t>
            </w:r>
          </w:p>
        </w:tc>
        <w:tc>
          <w:tcPr>
            <w:tcW w:w="1683" w:type="dxa"/>
            <w:vAlign w:val="center"/>
          </w:tcPr>
          <w:p w14:paraId="4A4D2ECC">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left"/>
              <w:textAlignment w:val="auto"/>
              <w:rPr>
                <w:rFonts w:hint="default" w:ascii="Times New Roman" w:hAnsi="Times New Roman" w:eastAsia="宋体" w:cs="Times New Roman"/>
                <w:color w:val="auto"/>
                <w:sz w:val="24"/>
                <w:szCs w:val="24"/>
                <w:vertAlign w:val="baseline"/>
                <w:lang w:val="en-US" w:eastAsia="zh-CN" w:bidi="ar-SA"/>
              </w:rPr>
            </w:pPr>
            <w:r>
              <w:rPr>
                <w:rFonts w:hint="default" w:ascii="Times New Roman" w:hAnsi="Times New Roman" w:eastAsia="宋体" w:cs="Times New Roman"/>
                <w:color w:val="auto"/>
                <w:sz w:val="24"/>
                <w:szCs w:val="24"/>
                <w:lang w:val="en-US" w:eastAsia="zh-CN" w:bidi="ar-SA"/>
              </w:rPr>
              <w:t>建设项目申报情形</w:t>
            </w:r>
          </w:p>
        </w:tc>
        <w:tc>
          <w:tcPr>
            <w:tcW w:w="3296" w:type="dxa"/>
            <w:vAlign w:val="center"/>
          </w:tcPr>
          <w:p w14:paraId="6C476216">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right="0" w:firstLine="0" w:firstLineChars="0"/>
              <w:jc w:val="left"/>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□首次申报项目</w:t>
            </w:r>
          </w:p>
          <w:p w14:paraId="451B4D83">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right="0" w:firstLine="0" w:firstLineChars="0"/>
              <w:jc w:val="left"/>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□不予批准后再次申报项目</w:t>
            </w:r>
          </w:p>
          <w:p w14:paraId="7C922378">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right="0" w:firstLine="0" w:firstLineChars="0"/>
              <w:jc w:val="left"/>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□超五年重新审核项目</w:t>
            </w:r>
          </w:p>
          <w:p w14:paraId="7902EC5C">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left"/>
              <w:textAlignment w:val="auto"/>
              <w:rPr>
                <w:rFonts w:hint="default" w:ascii="Times New Roman" w:hAnsi="Times New Roman" w:eastAsia="宋体" w:cs="Times New Roman"/>
                <w:color w:val="auto"/>
                <w:sz w:val="24"/>
                <w:szCs w:val="24"/>
                <w:vertAlign w:val="baseline"/>
                <w:lang w:val="en-US" w:eastAsia="zh-CN" w:bidi="ar-SA"/>
              </w:rPr>
            </w:pPr>
            <w:r>
              <w:rPr>
                <w:rFonts w:hint="default" w:ascii="Times New Roman" w:hAnsi="Times New Roman" w:eastAsia="宋体" w:cs="Times New Roman"/>
                <w:color w:val="auto"/>
                <w:sz w:val="24"/>
                <w:szCs w:val="24"/>
                <w:lang w:val="en-US" w:eastAsia="zh-CN" w:bidi="ar-SA"/>
              </w:rPr>
              <w:t>☑重大变动重新报批项目</w:t>
            </w:r>
          </w:p>
        </w:tc>
      </w:tr>
      <w:tr w14:paraId="7F30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96" w:type="dxa"/>
            <w:vAlign w:val="center"/>
          </w:tcPr>
          <w:p w14:paraId="36E983DA">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4"/>
                <w:szCs w:val="24"/>
                <w:highlight w:val="none"/>
                <w:vertAlign w:val="baseline"/>
                <w:lang w:val="en-US" w:eastAsia="zh-CN" w:bidi="ar-SA"/>
              </w:rPr>
            </w:pPr>
            <w:r>
              <w:rPr>
                <w:rFonts w:hint="default" w:ascii="Times New Roman" w:hAnsi="Times New Roman" w:eastAsia="宋体" w:cs="Times New Roman"/>
                <w:color w:val="auto"/>
                <w:sz w:val="24"/>
                <w:szCs w:val="24"/>
                <w:highlight w:val="none"/>
                <w:lang w:val="en-US" w:eastAsia="zh-CN" w:bidi="ar-SA"/>
              </w:rPr>
              <w:t>项目审批（核准/ 备案）部门（选填）</w:t>
            </w:r>
          </w:p>
        </w:tc>
        <w:tc>
          <w:tcPr>
            <w:tcW w:w="2196" w:type="dxa"/>
            <w:vAlign w:val="center"/>
          </w:tcPr>
          <w:p w14:paraId="40D2E0BA">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4"/>
                <w:szCs w:val="24"/>
                <w:highlight w:val="none"/>
                <w:vertAlign w:val="baseline"/>
                <w:lang w:val="en-US" w:eastAsia="zh-CN" w:bidi="ar-SA"/>
              </w:rPr>
            </w:pPr>
            <w:r>
              <w:rPr>
                <w:rFonts w:hint="default" w:ascii="Times New Roman" w:hAnsi="Times New Roman" w:eastAsia="宋体" w:cs="Times New Roman"/>
                <w:color w:val="auto"/>
                <w:sz w:val="24"/>
                <w:szCs w:val="24"/>
                <w:highlight w:val="none"/>
                <w:lang w:val="en-US" w:eastAsia="zh-CN" w:bidi="ar-SA"/>
              </w:rPr>
              <w:t>/</w:t>
            </w:r>
          </w:p>
        </w:tc>
        <w:tc>
          <w:tcPr>
            <w:tcW w:w="1683" w:type="dxa"/>
            <w:vAlign w:val="center"/>
          </w:tcPr>
          <w:p w14:paraId="6059E018">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4"/>
                <w:szCs w:val="24"/>
                <w:highlight w:val="none"/>
                <w:vertAlign w:val="baseline"/>
                <w:lang w:val="en-US" w:eastAsia="zh-CN" w:bidi="ar-SA"/>
              </w:rPr>
            </w:pPr>
            <w:r>
              <w:rPr>
                <w:rFonts w:hint="default" w:ascii="Times New Roman" w:hAnsi="Times New Roman" w:eastAsia="宋体" w:cs="Times New Roman"/>
                <w:color w:val="auto"/>
                <w:sz w:val="24"/>
                <w:szCs w:val="24"/>
                <w:highlight w:val="none"/>
                <w:lang w:val="en-US" w:eastAsia="zh-CN" w:bidi="ar-SA"/>
              </w:rPr>
              <w:t>项目审批（核准/ 备案）文号（选填）</w:t>
            </w:r>
          </w:p>
        </w:tc>
        <w:tc>
          <w:tcPr>
            <w:tcW w:w="3296" w:type="dxa"/>
            <w:vAlign w:val="center"/>
          </w:tcPr>
          <w:p w14:paraId="6695BAB4">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4"/>
                <w:szCs w:val="24"/>
                <w:highlight w:val="none"/>
                <w:vertAlign w:val="baseline"/>
                <w:lang w:val="en-US" w:eastAsia="zh-CN" w:bidi="ar-SA"/>
              </w:rPr>
            </w:pPr>
            <w:r>
              <w:rPr>
                <w:rFonts w:hint="default" w:ascii="Times New Roman" w:hAnsi="Times New Roman" w:eastAsia="宋体" w:cs="Times New Roman"/>
                <w:color w:val="auto"/>
                <w:sz w:val="24"/>
                <w:szCs w:val="24"/>
                <w:highlight w:val="none"/>
                <w:lang w:val="en-US" w:eastAsia="zh-CN" w:bidi="ar-SA"/>
              </w:rPr>
              <w:t>/</w:t>
            </w:r>
          </w:p>
        </w:tc>
      </w:tr>
      <w:tr w14:paraId="10C78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96" w:type="dxa"/>
            <w:vAlign w:val="center"/>
          </w:tcPr>
          <w:p w14:paraId="1296E4CD">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总投资（万元）</w:t>
            </w:r>
          </w:p>
        </w:tc>
        <w:tc>
          <w:tcPr>
            <w:tcW w:w="2196" w:type="dxa"/>
            <w:vAlign w:val="center"/>
          </w:tcPr>
          <w:p w14:paraId="771B34A2">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4"/>
                <w:szCs w:val="24"/>
                <w:highlight w:val="none"/>
                <w:lang w:val="en-US" w:eastAsia="zh-Hans" w:bidi="ar-SA"/>
              </w:rPr>
            </w:pPr>
            <w:r>
              <w:rPr>
                <w:rFonts w:hint="default" w:ascii="Times New Roman" w:hAnsi="Times New Roman" w:eastAsia="宋体" w:cs="Times New Roman"/>
                <w:color w:val="auto"/>
                <w:sz w:val="24"/>
                <w:szCs w:val="24"/>
                <w:highlight w:val="none"/>
                <w:lang w:val="en-US" w:eastAsia="zh-CN" w:bidi="ar-SA"/>
              </w:rPr>
              <w:t>390</w:t>
            </w:r>
          </w:p>
        </w:tc>
        <w:tc>
          <w:tcPr>
            <w:tcW w:w="1683" w:type="dxa"/>
            <w:vAlign w:val="center"/>
          </w:tcPr>
          <w:p w14:paraId="3879126B">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环保投资（万元）</w:t>
            </w:r>
          </w:p>
        </w:tc>
        <w:tc>
          <w:tcPr>
            <w:tcW w:w="3296" w:type="dxa"/>
            <w:vAlign w:val="center"/>
          </w:tcPr>
          <w:p w14:paraId="0824D9F7">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4"/>
                <w:szCs w:val="24"/>
                <w:highlight w:val="none"/>
                <w:lang w:val="en-US" w:eastAsia="zh-CN" w:bidi="ar-SA"/>
              </w:rPr>
            </w:pPr>
            <w:r>
              <w:rPr>
                <w:rFonts w:hint="eastAsia" w:cs="Times New Roman"/>
                <w:color w:val="auto"/>
                <w:sz w:val="24"/>
                <w:szCs w:val="24"/>
                <w:highlight w:val="none"/>
                <w:lang w:val="en-US" w:eastAsia="zh-CN" w:bidi="ar-SA"/>
              </w:rPr>
              <w:t>37</w:t>
            </w:r>
          </w:p>
        </w:tc>
      </w:tr>
      <w:tr w14:paraId="66B4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96" w:type="dxa"/>
            <w:vAlign w:val="center"/>
          </w:tcPr>
          <w:p w14:paraId="38E819F6">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环保投资占比（%）</w:t>
            </w:r>
          </w:p>
        </w:tc>
        <w:tc>
          <w:tcPr>
            <w:tcW w:w="2196" w:type="dxa"/>
            <w:vAlign w:val="center"/>
          </w:tcPr>
          <w:p w14:paraId="7708987F">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4"/>
                <w:szCs w:val="24"/>
                <w:highlight w:val="none"/>
                <w:lang w:val="en-US" w:eastAsia="zh-CN" w:bidi="ar-SA"/>
              </w:rPr>
            </w:pPr>
            <w:r>
              <w:rPr>
                <w:rFonts w:hint="eastAsia" w:cs="Times New Roman"/>
                <w:color w:val="auto"/>
                <w:sz w:val="24"/>
                <w:szCs w:val="24"/>
                <w:highlight w:val="none"/>
                <w:lang w:val="en-US" w:eastAsia="zh-CN" w:bidi="ar-SA"/>
              </w:rPr>
              <w:t>9.48</w:t>
            </w:r>
          </w:p>
        </w:tc>
        <w:tc>
          <w:tcPr>
            <w:tcW w:w="1683" w:type="dxa"/>
            <w:vAlign w:val="center"/>
          </w:tcPr>
          <w:p w14:paraId="66071521">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施工工期</w:t>
            </w:r>
          </w:p>
        </w:tc>
        <w:tc>
          <w:tcPr>
            <w:tcW w:w="3296" w:type="dxa"/>
            <w:vAlign w:val="center"/>
          </w:tcPr>
          <w:p w14:paraId="7F498128">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1月</w:t>
            </w:r>
          </w:p>
        </w:tc>
      </w:tr>
      <w:tr w14:paraId="32235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96" w:type="dxa"/>
            <w:vAlign w:val="center"/>
          </w:tcPr>
          <w:p w14:paraId="4C3A065A">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是否开工建设</w:t>
            </w:r>
          </w:p>
        </w:tc>
        <w:tc>
          <w:tcPr>
            <w:tcW w:w="2196" w:type="dxa"/>
            <w:vAlign w:val="center"/>
          </w:tcPr>
          <w:p w14:paraId="20007422">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right="0" w:firstLine="0" w:firstLineChars="0"/>
              <w:jc w:val="center"/>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0000FF"/>
                <w:sz w:val="24"/>
                <w:szCs w:val="24"/>
                <w:lang w:val="en-US" w:eastAsia="zh-CN" w:bidi="ar-SA"/>
              </w:rPr>
              <w:t>□否 ☑是：</w:t>
            </w:r>
            <w:r>
              <w:rPr>
                <w:rFonts w:hint="default" w:ascii="Times New Roman" w:hAnsi="Times New Roman" w:eastAsia="宋体" w:cs="Times New Roman"/>
                <w:color w:val="0000FF"/>
                <w:sz w:val="24"/>
                <w:szCs w:val="24"/>
                <w:highlight w:val="none"/>
                <w:lang w:val="en-US" w:eastAsia="zh-CN" w:bidi="ar-SA"/>
              </w:rPr>
              <w:t>生产车间、（变更部分：发酵罐区，新增包装工段）、成品库房等主体工程均已建成，项目属于重新报批项目，不属于未批先建。</w:t>
            </w:r>
          </w:p>
        </w:tc>
        <w:tc>
          <w:tcPr>
            <w:tcW w:w="1683" w:type="dxa"/>
            <w:vAlign w:val="center"/>
          </w:tcPr>
          <w:p w14:paraId="179FA107">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用地（用海）面积（m</w:t>
            </w:r>
            <w:r>
              <w:rPr>
                <w:rFonts w:hint="default" w:ascii="Times New Roman" w:hAnsi="Times New Roman" w:eastAsia="宋体" w:cs="Times New Roman"/>
                <w:color w:val="auto"/>
                <w:sz w:val="24"/>
                <w:szCs w:val="24"/>
                <w:vertAlign w:val="superscript"/>
                <w:lang w:val="en-US" w:eastAsia="zh-CN" w:bidi="ar-SA"/>
              </w:rPr>
              <w:t>2</w:t>
            </w:r>
            <w:r>
              <w:rPr>
                <w:rFonts w:hint="default" w:ascii="Times New Roman" w:hAnsi="Times New Roman" w:eastAsia="宋体" w:cs="Times New Roman"/>
                <w:color w:val="auto"/>
                <w:sz w:val="24"/>
                <w:szCs w:val="24"/>
                <w:lang w:val="en-US" w:eastAsia="zh-CN" w:bidi="ar-SA"/>
              </w:rPr>
              <w:t>）</w:t>
            </w:r>
          </w:p>
        </w:tc>
        <w:tc>
          <w:tcPr>
            <w:tcW w:w="3296" w:type="dxa"/>
            <w:vAlign w:val="center"/>
          </w:tcPr>
          <w:p w14:paraId="079B4545">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9872.63</w:t>
            </w:r>
          </w:p>
        </w:tc>
      </w:tr>
      <w:tr w14:paraId="5A34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896" w:type="dxa"/>
            <w:vAlign w:val="center"/>
          </w:tcPr>
          <w:p w14:paraId="48F3CB01">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专项评价设置情况</w:t>
            </w:r>
          </w:p>
        </w:tc>
        <w:tc>
          <w:tcPr>
            <w:tcW w:w="7175" w:type="dxa"/>
            <w:gridSpan w:val="3"/>
            <w:vAlign w:val="center"/>
          </w:tcPr>
          <w:p w14:paraId="02A7AF03">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无</w:t>
            </w:r>
          </w:p>
        </w:tc>
      </w:tr>
      <w:tr w14:paraId="1A7DF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896" w:type="dxa"/>
            <w:vAlign w:val="center"/>
          </w:tcPr>
          <w:p w14:paraId="174486B3">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规划情况</w:t>
            </w:r>
          </w:p>
        </w:tc>
        <w:tc>
          <w:tcPr>
            <w:tcW w:w="7175" w:type="dxa"/>
            <w:gridSpan w:val="3"/>
            <w:vAlign w:val="center"/>
          </w:tcPr>
          <w:p w14:paraId="0922B128">
            <w:pPr>
              <w:spacing w:line="360" w:lineRule="auto"/>
              <w:jc w:val="center"/>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无</w:t>
            </w:r>
          </w:p>
        </w:tc>
      </w:tr>
      <w:tr w14:paraId="7785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896" w:type="dxa"/>
            <w:vAlign w:val="center"/>
          </w:tcPr>
          <w:p w14:paraId="0E98E467">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规划环境影响评价情况</w:t>
            </w:r>
          </w:p>
        </w:tc>
        <w:tc>
          <w:tcPr>
            <w:tcW w:w="7175" w:type="dxa"/>
            <w:gridSpan w:val="3"/>
            <w:vAlign w:val="center"/>
          </w:tcPr>
          <w:p w14:paraId="65EC8951">
            <w:pPr>
              <w:spacing w:line="360" w:lineRule="auto"/>
              <w:jc w:val="center"/>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无</w:t>
            </w:r>
          </w:p>
        </w:tc>
      </w:tr>
      <w:tr w14:paraId="2D93B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896" w:type="dxa"/>
            <w:vAlign w:val="center"/>
          </w:tcPr>
          <w:p w14:paraId="1C226605">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规划及规划环境影响评价符合性分析</w:t>
            </w:r>
          </w:p>
        </w:tc>
        <w:tc>
          <w:tcPr>
            <w:tcW w:w="7175" w:type="dxa"/>
            <w:gridSpan w:val="3"/>
            <w:vAlign w:val="center"/>
          </w:tcPr>
          <w:p w14:paraId="5056F059">
            <w:pPr>
              <w:keepNext w:val="0"/>
              <w:keepLines w:val="0"/>
              <w:pageBreakBefore w:val="0"/>
              <w:widowControl w:val="0"/>
              <w:kinsoku/>
              <w:wordWrap/>
              <w:overflowPunct w:val="0"/>
              <w:topLinePunct w:val="0"/>
              <w:autoSpaceDE w:val="0"/>
              <w:autoSpaceDN w:val="0"/>
              <w:bidi w:val="0"/>
              <w:adjustRightInd w:val="0"/>
              <w:snapToGrid w:val="0"/>
              <w:spacing w:before="0" w:after="0" w:line="480" w:lineRule="exact"/>
              <w:ind w:left="0" w:leftChars="0" w:right="0" w:rightChars="0" w:firstLine="0" w:firstLineChars="0"/>
              <w:jc w:val="center"/>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无</w:t>
            </w:r>
          </w:p>
        </w:tc>
      </w:tr>
      <w:tr w14:paraId="6E6D7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96" w:type="dxa"/>
            <w:vAlign w:val="center"/>
          </w:tcPr>
          <w:p w14:paraId="548F6763">
            <w:pPr>
              <w:widowControl w:val="0"/>
              <w:overflowPunct w:val="0"/>
              <w:autoSpaceDE w:val="0"/>
              <w:autoSpaceDN w:val="0"/>
              <w:bidi w:val="0"/>
              <w:adjustRightInd w:val="0"/>
              <w:snapToGrid w:val="0"/>
              <w:spacing w:before="0" w:after="0" w:line="400" w:lineRule="exact"/>
              <w:ind w:left="0" w:leftChars="0" w:right="0" w:rightChars="0" w:firstLine="0" w:firstLineChars="0"/>
              <w:jc w:val="center"/>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Hans" w:bidi="ar-SA"/>
              </w:rPr>
              <w:t>其他符合性分析</w:t>
            </w:r>
          </w:p>
        </w:tc>
        <w:tc>
          <w:tcPr>
            <w:tcW w:w="7175" w:type="dxa"/>
            <w:gridSpan w:val="3"/>
            <w:vAlign w:val="center"/>
          </w:tcPr>
          <w:p w14:paraId="5637B211">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right="0"/>
              <w:jc w:val="left"/>
              <w:textAlignment w:val="auto"/>
              <w:outlineLvl w:val="1"/>
              <w:rPr>
                <w:rFonts w:hint="default" w:ascii="Times New Roman" w:hAnsi="Times New Roman" w:eastAsia="宋体" w:cs="Times New Roman"/>
                <w:b/>
                <w:color w:val="auto"/>
                <w:sz w:val="24"/>
                <w:szCs w:val="28"/>
                <w:lang w:val="en-US" w:eastAsia="zh-CN" w:bidi="ar-SA"/>
              </w:rPr>
            </w:pPr>
            <w:r>
              <w:rPr>
                <w:rFonts w:hint="default" w:ascii="Times New Roman" w:hAnsi="Times New Roman" w:eastAsia="宋体" w:cs="Times New Roman"/>
                <w:b/>
                <w:color w:val="auto"/>
                <w:sz w:val="24"/>
                <w:szCs w:val="28"/>
                <w:lang w:val="en-US" w:eastAsia="zh-CN" w:bidi="ar-SA"/>
              </w:rPr>
              <w:t>1、产业政策相符性分析</w:t>
            </w:r>
          </w:p>
          <w:p w14:paraId="17531C57">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根据《产业结构调整指导目录（2024年本）》，本项目属于“第一类 鼓励类 一、农林牧渔业-14.现代畜牧业及水产生态健康养殖：畜禽标准化规模养殖技术开发与应用，农牧渔产品绿色生产技术开发与应用，畜禽养殖废弃物处理和资源化利用（畜禽粪污肥料化、能源化、基料化和垫料化利用，病死畜禽无害化处理），远洋渔业、人工鱼礁、渔政渔港工程、绿色环保功能性渔具示范与应用，新能源渔船，淡水与海水健康养殖及产品深加工，淡水与海水渔业资源增殖与保护，海洋牧场。”因此，本项目的建设符合国家的相关产业政策。</w:t>
            </w:r>
          </w:p>
          <w:p w14:paraId="0667640B">
            <w:pPr>
              <w:overflowPunct w:val="0"/>
              <w:autoSpaceDE w:val="0"/>
              <w:autoSpaceDN w:val="0"/>
              <w:bidi w:val="0"/>
              <w:adjustRightInd w:val="0"/>
              <w:snapToGrid w:val="0"/>
              <w:spacing w:before="0" w:after="0" w:line="360" w:lineRule="auto"/>
              <w:ind w:right="0"/>
              <w:jc w:val="both"/>
              <w:rPr>
                <w:rFonts w:hint="default" w:ascii="Times New Roman" w:hAnsi="Times New Roman" w:eastAsia="宋体" w:cs="Times New Roman"/>
                <w:b/>
                <w:color w:val="auto"/>
                <w:sz w:val="24"/>
                <w:szCs w:val="28"/>
                <w:lang w:val="en-US" w:eastAsia="zh-CN" w:bidi="ar-SA"/>
              </w:rPr>
            </w:pPr>
            <w:r>
              <w:rPr>
                <w:rFonts w:hint="default" w:ascii="Times New Roman" w:hAnsi="Times New Roman" w:eastAsia="宋体" w:cs="Times New Roman"/>
                <w:b/>
                <w:color w:val="auto"/>
                <w:sz w:val="24"/>
                <w:szCs w:val="28"/>
                <w:lang w:val="en-US" w:eastAsia="zh-CN" w:bidi="ar-SA"/>
              </w:rPr>
              <w:t>2、生态环境分区管控符合性</w:t>
            </w:r>
          </w:p>
          <w:p w14:paraId="4FDECA46">
            <w:pPr>
              <w:widowControl/>
              <w:overflowPunct w:val="0"/>
              <w:autoSpaceDE w:val="0"/>
              <w:autoSpaceDN w:val="0"/>
              <w:bidi w:val="0"/>
              <w:adjustRightInd w:val="0"/>
              <w:snapToGrid w:val="0"/>
              <w:spacing w:after="0" w:line="360" w:lineRule="auto"/>
              <w:ind w:firstLine="480" w:firstLineChars="200"/>
              <w:jc w:val="both"/>
              <w:rPr>
                <w:rFonts w:hint="default" w:ascii="Times New Roman" w:hAnsi="Times New Roman" w:eastAsia="宋体" w:cs="Times New Roman"/>
                <w:color w:val="auto"/>
                <w:kern w:val="0"/>
                <w:sz w:val="24"/>
                <w:szCs w:val="24"/>
                <w:lang w:val="en-US" w:eastAsia="zh-CN" w:bidi="en-US"/>
              </w:rPr>
            </w:pPr>
            <w:r>
              <w:rPr>
                <w:rFonts w:hint="default" w:ascii="Times New Roman" w:hAnsi="Times New Roman" w:eastAsia="宋体" w:cs="Times New Roman"/>
                <w:color w:val="auto"/>
                <w:lang w:val="en-US" w:eastAsia="zh-CN"/>
              </w:rPr>
              <w:t>（1）《新疆维吾尔自治区生态环境分区管控动态更新成果》</w:t>
            </w:r>
            <w:r>
              <w:rPr>
                <w:rFonts w:hint="default" w:ascii="Times New Roman" w:hAnsi="Times New Roman" w:eastAsia="宋体" w:cs="Times New Roman"/>
                <w:color w:val="auto"/>
                <w:kern w:val="0"/>
                <w:sz w:val="24"/>
                <w:szCs w:val="24"/>
                <w:lang w:val="en-US" w:eastAsia="zh-CN" w:bidi="en-US"/>
              </w:rPr>
              <w:t>符合性分析</w:t>
            </w:r>
          </w:p>
          <w:p w14:paraId="6C4D523C">
            <w:pPr>
              <w:keepNext w:val="0"/>
              <w:keepLines w:val="0"/>
              <w:pageBreakBefore w:val="0"/>
              <w:suppressLineNumbers w:val="0"/>
              <w:kinsoku/>
              <w:wordWrap/>
              <w:overflowPunct w:val="0"/>
              <w:topLinePunct w:val="0"/>
              <w:autoSpaceDE w:val="0"/>
              <w:autoSpaceDN w:val="0"/>
              <w:bidi w:val="0"/>
              <w:adjustRightInd w:val="0"/>
              <w:snapToGrid w:val="0"/>
              <w:spacing w:before="0" w:beforeAutospacing="0" w:after="0" w:afterAutospacing="0" w:line="480" w:lineRule="exact"/>
              <w:ind w:left="0" w:right="0" w:firstLine="480" w:firstLineChars="200"/>
              <w:jc w:val="both"/>
              <w:textAlignment w:val="auto"/>
              <w:rPr>
                <w:rFonts w:hint="default" w:ascii="Times New Roman" w:hAnsi="Times New Roman" w:eastAsia="宋体" w:cs="Times New Roman"/>
                <w:i w:val="0"/>
                <w:iCs w:val="0"/>
                <w:caps w:val="0"/>
                <w:color w:val="auto"/>
                <w:spacing w:val="0"/>
                <w:kern w:val="0"/>
                <w:sz w:val="24"/>
                <w:szCs w:val="24"/>
                <w:shd w:val="clear" w:color="auto" w:fill="FFFFFF"/>
                <w:lang w:val="en-US" w:eastAsia="zh-CN" w:bidi="ar-SA"/>
              </w:rPr>
            </w:pPr>
            <w:r>
              <w:rPr>
                <w:rFonts w:hint="default" w:ascii="Times New Roman" w:hAnsi="Times New Roman" w:eastAsia="宋体" w:cs="Times New Roman"/>
                <w:color w:val="auto"/>
                <w:lang w:val="en-US" w:eastAsia="zh-CN"/>
              </w:rPr>
              <w:t>本项目与《新疆维吾尔自治区生态环境分区管控动态更新成果》符合性分析见表1.2-1，本项目在新疆维吾尔自治区环境管控单元位置图见</w:t>
            </w:r>
            <w:r>
              <w:rPr>
                <w:rFonts w:hint="eastAsia" w:cs="Times New Roman"/>
                <w:color w:val="auto"/>
                <w:lang w:val="en-US" w:eastAsia="zh-CN"/>
              </w:rPr>
              <w:t>附图1</w:t>
            </w:r>
            <w:r>
              <w:rPr>
                <w:rFonts w:hint="default" w:ascii="Times New Roman" w:hAnsi="Times New Roman" w:eastAsia="宋体" w:cs="Times New Roman"/>
                <w:color w:val="auto"/>
                <w:lang w:val="en-US" w:eastAsia="zh-CN"/>
              </w:rPr>
              <w:t>。</w:t>
            </w:r>
          </w:p>
          <w:p w14:paraId="78550E38">
            <w:pPr>
              <w:keepNext w:val="0"/>
              <w:keepLines w:val="0"/>
              <w:pageBreakBefore w:val="0"/>
              <w:widowControl w:val="0"/>
              <w:suppressLineNumbers w:val="0"/>
              <w:kinsoku/>
              <w:wordWrap/>
              <w:overflowPunct w:val="0"/>
              <w:topLinePunct w:val="0"/>
              <w:autoSpaceDE w:val="0"/>
              <w:autoSpaceDN w:val="0"/>
              <w:bidi w:val="0"/>
              <w:adjustRightInd w:val="0"/>
              <w:snapToGrid w:val="0"/>
              <w:spacing w:before="0" w:beforeAutospacing="0" w:after="0" w:afterAutospacing="0" w:line="480" w:lineRule="exact"/>
              <w:ind w:left="0" w:right="0" w:firstLine="480" w:firstLineChars="200"/>
              <w:jc w:val="left"/>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综上所述，本项目符合《新疆维吾尔自治区生态环境分区管控动态更新成果》。</w:t>
            </w:r>
          </w:p>
          <w:p w14:paraId="40D2171E">
            <w:pPr>
              <w:keepNext w:val="0"/>
              <w:keepLines w:val="0"/>
              <w:pageBreakBefore w:val="0"/>
              <w:kinsoku/>
              <w:wordWrap/>
              <w:topLinePunct w:val="0"/>
              <w:bidi w:val="0"/>
              <w:spacing w:line="480" w:lineRule="exact"/>
              <w:ind w:firstLine="480" w:firstLineChars="200"/>
              <w:textAlignment w:val="auto"/>
              <w:rPr>
                <w:rFonts w:hint="default" w:ascii="Times New Roman" w:hAnsi="Times New Roman" w:eastAsia="宋体" w:cs="Times New Roman"/>
                <w:color w:val="0000FF"/>
                <w:sz w:val="24"/>
                <w:szCs w:val="24"/>
                <w:lang w:val="en-US" w:eastAsia="zh-CN"/>
              </w:rPr>
            </w:pPr>
            <w:r>
              <w:rPr>
                <w:rFonts w:hint="default" w:ascii="Times New Roman" w:hAnsi="Times New Roman" w:eastAsia="宋体" w:cs="Times New Roman"/>
                <w:color w:val="0000FF"/>
                <w:sz w:val="24"/>
                <w:szCs w:val="24"/>
                <w:lang w:val="en-US" w:eastAsia="zh-CN"/>
              </w:rPr>
              <w:t>（2）</w:t>
            </w:r>
            <w:r>
              <w:rPr>
                <w:rFonts w:hint="default" w:ascii="Times New Roman" w:hAnsi="Times New Roman" w:eastAsia="宋体" w:cs="Times New Roman"/>
                <w:color w:val="0000FF"/>
                <w:kern w:val="2"/>
                <w:sz w:val="24"/>
                <w:szCs w:val="24"/>
                <w:highlight w:val="none"/>
                <w:lang w:val="en-US" w:eastAsia="zh-CN" w:bidi="ar-SA"/>
              </w:rPr>
              <w:t>《关于发布昌吉回族自治州生态环境分区管控动态更新成果的公告》</w:t>
            </w:r>
            <w:r>
              <w:rPr>
                <w:rFonts w:hint="default" w:ascii="Times New Roman" w:hAnsi="Times New Roman" w:eastAsia="宋体" w:cs="Times New Roman"/>
                <w:color w:val="0000FF"/>
                <w:lang w:val="en-US" w:eastAsia="zh-CN"/>
              </w:rPr>
              <w:t>符合性分析</w:t>
            </w:r>
          </w:p>
          <w:p w14:paraId="04CADC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按照生态环境部《2023年生态环境分区管控成果动态更新工作方案》（环办环评函〔2023〕81号）等文件要求，昌吉州于202</w:t>
            </w:r>
            <w:r>
              <w:rPr>
                <w:rFonts w:hint="default" w:ascii="Times New Roman" w:hAnsi="Times New Roman" w:eastAsia="宋体" w:cs="Times New Roman"/>
                <w:color w:val="auto"/>
                <w:lang w:val="en-US" w:eastAsia="zh-CN"/>
              </w:rPr>
              <w:t>4</w:t>
            </w:r>
            <w:r>
              <w:rPr>
                <w:rFonts w:hint="default" w:ascii="Times New Roman" w:hAnsi="Times New Roman" w:eastAsia="宋体" w:cs="Times New Roman"/>
                <w:color w:val="auto"/>
                <w:lang w:eastAsia="zh-CN"/>
              </w:rPr>
              <w:t>年</w:t>
            </w:r>
            <w:r>
              <w:rPr>
                <w:rFonts w:hint="default" w:ascii="Times New Roman" w:hAnsi="Times New Roman" w:eastAsia="宋体" w:cs="Times New Roman"/>
                <w:color w:val="auto"/>
                <w:lang w:val="en-US" w:eastAsia="zh-CN"/>
              </w:rPr>
              <w:t>发布“昌吉回族自治州</w:t>
            </w:r>
            <w:r>
              <w:rPr>
                <w:rFonts w:hint="default" w:ascii="Times New Roman" w:hAnsi="Times New Roman" w:eastAsia="宋体" w:cs="Times New Roman"/>
                <w:color w:val="auto"/>
                <w:lang w:eastAsia="zh-CN"/>
              </w:rPr>
              <w:t>生态环境分区管控动态更新成果</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lang w:eastAsia="zh-CN"/>
              </w:rPr>
              <w:t>。</w:t>
            </w:r>
          </w:p>
          <w:p w14:paraId="00A04F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项目位于</w:t>
            </w:r>
            <w:r>
              <w:rPr>
                <w:rFonts w:hint="default" w:ascii="Times New Roman" w:hAnsi="Times New Roman" w:eastAsia="宋体" w:cs="Times New Roman"/>
                <w:color w:val="auto"/>
                <w:lang w:val="en-US" w:eastAsia="zh-CN"/>
              </w:rPr>
              <w:t>昌吉回族自治州玛纳斯县内</w:t>
            </w:r>
            <w:r>
              <w:rPr>
                <w:rFonts w:hint="default" w:ascii="Times New Roman" w:hAnsi="Times New Roman" w:eastAsia="宋体" w:cs="Times New Roman"/>
                <w:color w:val="auto"/>
                <w:lang w:eastAsia="zh-CN"/>
              </w:rPr>
              <w:t>，项目所在地属于昌吉回族自治州</w:t>
            </w:r>
            <w:r>
              <w:rPr>
                <w:rFonts w:hint="default" w:ascii="Times New Roman" w:hAnsi="Times New Roman" w:eastAsia="宋体" w:cs="Times New Roman"/>
                <w:color w:val="auto"/>
                <w:highlight w:val="none"/>
                <w:lang w:eastAsia="zh-CN"/>
              </w:rPr>
              <w:t>生态环境分区管控单元</w:t>
            </w:r>
            <w:r>
              <w:rPr>
                <w:rFonts w:hint="default" w:ascii="Times New Roman" w:hAnsi="Times New Roman" w:eastAsia="宋体" w:cs="Times New Roman"/>
                <w:color w:val="auto"/>
                <w:highlight w:val="none"/>
                <w:lang w:val="en-US" w:eastAsia="zh-CN"/>
              </w:rPr>
              <w:t>中的重点管控单元，管控单元序号为ZH65232420005</w:t>
            </w:r>
            <w:r>
              <w:rPr>
                <w:rFonts w:hint="default" w:ascii="Times New Roman" w:hAnsi="Times New Roman" w:eastAsia="宋体" w:cs="Times New Roman"/>
                <w:color w:val="auto"/>
                <w:highlight w:val="none"/>
                <w:lang w:eastAsia="zh-CN"/>
              </w:rPr>
              <w:t>，符合性分析如下：</w:t>
            </w:r>
          </w:p>
          <w:p w14:paraId="7FCF66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①生态保护红线</w:t>
            </w:r>
          </w:p>
          <w:p w14:paraId="1CF63B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eastAsia="zh-CN"/>
              </w:rPr>
              <w:t>项目选址不涉及生态保护红线，项目所在区域不存在自然保护区、风景名胜区、饮用水水源保护区等需要特别保护的区域，不属于禁止建设开发区和限制建设开发区，符合生态保护红线的要求，不会影响所在区域内生态功能和性质。符合生态保护红线相关要求</w:t>
            </w:r>
            <w:r>
              <w:rPr>
                <w:rFonts w:hint="default" w:ascii="Times New Roman" w:hAnsi="Times New Roman" w:eastAsia="宋体" w:cs="Times New Roman"/>
                <w:color w:val="auto"/>
                <w:lang w:val="en-US" w:eastAsia="zh-CN"/>
              </w:rPr>
              <w:t>。</w:t>
            </w:r>
          </w:p>
          <w:p w14:paraId="67569D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②环境质量底线</w:t>
            </w:r>
          </w:p>
          <w:p w14:paraId="4031C4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本项目所在地大气环境为环境空气质量功能二类地区，根据</w:t>
            </w:r>
            <w:r>
              <w:rPr>
                <w:rFonts w:hint="default" w:ascii="Times New Roman" w:hAnsi="Times New Roman" w:eastAsia="宋体" w:cs="Times New Roman"/>
                <w:color w:val="0000FF"/>
                <w:sz w:val="24"/>
                <w:szCs w:val="24"/>
                <w:highlight w:val="none"/>
                <w:lang w:val="en-US" w:eastAsia="zh-CN"/>
              </w:rPr>
              <w:t>玛纳斯县2024全年公布数据</w:t>
            </w:r>
            <w:r>
              <w:rPr>
                <w:rFonts w:hint="default" w:ascii="Times New Roman" w:hAnsi="Times New Roman" w:eastAsia="宋体" w:cs="Times New Roman"/>
                <w:color w:val="0000FF"/>
                <w:lang w:val="en-US" w:eastAsia="zh-CN"/>
              </w:rPr>
              <w:t>，评价区域内大气环境中除PM</w:t>
            </w:r>
            <w:r>
              <w:rPr>
                <w:rFonts w:hint="default" w:ascii="Times New Roman" w:hAnsi="Times New Roman" w:eastAsia="宋体" w:cs="Times New Roman"/>
                <w:color w:val="0000FF"/>
                <w:vertAlign w:val="subscript"/>
                <w:lang w:val="en-US" w:eastAsia="zh-CN"/>
              </w:rPr>
              <w:t>10</w:t>
            </w:r>
            <w:r>
              <w:rPr>
                <w:rFonts w:hint="default" w:ascii="Times New Roman" w:hAnsi="Times New Roman" w:eastAsia="宋体" w:cs="Times New Roman"/>
                <w:color w:val="0000FF"/>
                <w:lang w:val="en-US" w:eastAsia="zh-CN"/>
              </w:rPr>
              <w:t>、PM</w:t>
            </w:r>
            <w:r>
              <w:rPr>
                <w:rFonts w:hint="default" w:ascii="Times New Roman" w:hAnsi="Times New Roman" w:eastAsia="宋体" w:cs="Times New Roman"/>
                <w:color w:val="0000FF"/>
                <w:vertAlign w:val="subscript"/>
                <w:lang w:val="en-US" w:eastAsia="zh-CN"/>
              </w:rPr>
              <w:t>2.5</w:t>
            </w:r>
            <w:r>
              <w:rPr>
                <w:rFonts w:hint="default" w:ascii="Times New Roman" w:hAnsi="Times New Roman" w:eastAsia="宋体" w:cs="Times New Roman"/>
                <w:color w:val="0000FF"/>
                <w:lang w:val="en-US" w:eastAsia="zh-CN"/>
              </w:rPr>
              <w:t>外，SO</w:t>
            </w:r>
            <w:r>
              <w:rPr>
                <w:rFonts w:hint="default" w:ascii="Times New Roman" w:hAnsi="Times New Roman" w:eastAsia="宋体" w:cs="Times New Roman"/>
                <w:color w:val="0000FF"/>
                <w:vertAlign w:val="subscript"/>
                <w:lang w:val="en-US" w:eastAsia="zh-CN"/>
              </w:rPr>
              <w:t>2</w:t>
            </w:r>
            <w:r>
              <w:rPr>
                <w:rFonts w:hint="default" w:ascii="Times New Roman" w:hAnsi="Times New Roman" w:eastAsia="宋体" w:cs="Times New Roman"/>
                <w:color w:val="0000FF"/>
                <w:lang w:val="en-US" w:eastAsia="zh-CN"/>
              </w:rPr>
              <w:t>、NO</w:t>
            </w:r>
            <w:r>
              <w:rPr>
                <w:rFonts w:hint="default" w:ascii="Times New Roman" w:hAnsi="Times New Roman" w:eastAsia="宋体" w:cs="Times New Roman"/>
                <w:color w:val="0000FF"/>
                <w:vertAlign w:val="subscript"/>
                <w:lang w:val="en-US" w:eastAsia="zh-CN"/>
              </w:rPr>
              <w:t>2</w:t>
            </w:r>
            <w:r>
              <w:rPr>
                <w:rFonts w:hint="default" w:ascii="Times New Roman" w:hAnsi="Times New Roman" w:eastAsia="宋体" w:cs="Times New Roman"/>
                <w:color w:val="0000FF"/>
                <w:lang w:val="en-US" w:eastAsia="zh-CN"/>
              </w:rPr>
              <w:t>、O</w:t>
            </w:r>
            <w:r>
              <w:rPr>
                <w:rFonts w:hint="default" w:ascii="Times New Roman" w:hAnsi="Times New Roman" w:eastAsia="宋体" w:cs="Times New Roman"/>
                <w:color w:val="0000FF"/>
                <w:vertAlign w:val="subscript"/>
                <w:lang w:val="en-US" w:eastAsia="zh-CN"/>
              </w:rPr>
              <w:t>3</w:t>
            </w:r>
            <w:r>
              <w:rPr>
                <w:rFonts w:hint="default" w:ascii="Times New Roman" w:hAnsi="Times New Roman" w:eastAsia="宋体" w:cs="Times New Roman"/>
                <w:color w:val="0000FF"/>
                <w:lang w:val="en-US" w:eastAsia="zh-CN"/>
              </w:rPr>
              <w:t>、CO项基本污染物满足《环境空气质量标准》（GB3095-2012）中二级标准要求，项目所在区域属于达标区。</w:t>
            </w:r>
          </w:p>
          <w:p w14:paraId="5F05BB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highlight w:val="none"/>
                <w:lang w:val="en-US" w:eastAsia="zh-CN"/>
              </w:rPr>
              <w:t>本项目发酵恶臭废气设置</w:t>
            </w:r>
            <w:r>
              <w:rPr>
                <w:rFonts w:hint="default" w:ascii="Times New Roman" w:hAnsi="Times New Roman" w:eastAsia="宋体" w:cs="Times New Roman"/>
                <w:color w:val="0000FF"/>
                <w:lang w:val="en-US" w:eastAsia="zh-CN"/>
              </w:rPr>
              <w:t>集气罩+生物除臭塔（滴滤法）+15m排气筒</w:t>
            </w:r>
            <w:r>
              <w:rPr>
                <w:rFonts w:hint="eastAsia" w:cs="Times New Roman"/>
                <w:color w:val="0000FF"/>
                <w:lang w:val="en-US" w:eastAsia="zh-CN"/>
              </w:rPr>
              <w:t>（DA001）</w:t>
            </w:r>
            <w:r>
              <w:rPr>
                <w:rFonts w:hint="default" w:ascii="Times New Roman" w:hAnsi="Times New Roman" w:eastAsia="宋体" w:cs="Times New Roman"/>
                <w:color w:val="0000FF"/>
                <w:highlight w:val="none"/>
                <w:lang w:val="en-US" w:eastAsia="zh-CN"/>
              </w:rPr>
              <w:t>排放，满足《恶臭污染物排放标准》（GB14554-93）表2 恶臭污染物排放标准值；成品车间筛分、包装产生的粉尘均设置布袋除尘处理后经1根15m高排气筒</w:t>
            </w:r>
            <w:r>
              <w:rPr>
                <w:rFonts w:hint="eastAsia" w:cs="Times New Roman"/>
                <w:color w:val="0000FF"/>
                <w:lang w:val="en-US" w:eastAsia="zh-CN"/>
              </w:rPr>
              <w:t>（DA002）</w:t>
            </w:r>
            <w:r>
              <w:rPr>
                <w:rFonts w:hint="default" w:ascii="Times New Roman" w:hAnsi="Times New Roman" w:eastAsia="宋体" w:cs="Times New Roman"/>
                <w:color w:val="0000FF"/>
                <w:highlight w:val="none"/>
                <w:lang w:val="en-US" w:eastAsia="zh-CN"/>
              </w:rPr>
              <w:t>排放，满足《大气污染物综合排放标准》（GB16297-1996）表2中二级标准</w:t>
            </w:r>
            <w:r>
              <w:rPr>
                <w:rFonts w:hint="eastAsia" w:cs="Times New Roman"/>
                <w:color w:val="0000FF"/>
                <w:lang w:val="en-US" w:eastAsia="zh-CN"/>
              </w:rPr>
              <w:t>，</w:t>
            </w:r>
            <w:r>
              <w:rPr>
                <w:rFonts w:hint="default" w:ascii="Times New Roman" w:hAnsi="Times New Roman" w:eastAsia="宋体" w:cs="Times New Roman"/>
                <w:color w:val="0000FF"/>
                <w:lang w:val="en-US" w:eastAsia="zh-CN"/>
              </w:rPr>
              <w:t>对环境空气影响较小，不会降低区域环境空气质量。</w:t>
            </w:r>
          </w:p>
          <w:p w14:paraId="6F1B95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本项目不设置生活区，且运营期间不会产生生产废水，因此，本项目不会影响区域水环境质量。</w:t>
            </w:r>
          </w:p>
          <w:p w14:paraId="52511D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厂区分区防渗建设，不会影响区域土壤环境质量。</w:t>
            </w:r>
          </w:p>
          <w:p w14:paraId="548B8F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采取的环保措施能确保拟建项目污染物对环境质量的影响降到最小，不突破所在区域环境质量底线。</w:t>
            </w:r>
          </w:p>
          <w:p w14:paraId="6386FA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③资源利用上线相符性</w:t>
            </w:r>
          </w:p>
          <w:p w14:paraId="1C008B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强化节约集约利用，持续提升资源能源利用效率，水资源、土地资源、能源消耗等达到自治区、自治州下达的总量和强度控制目标。加快区域低碳发展，积极推动昌吉市国家级低碳试点城市，发挥低碳试点示范和引领作用。</w:t>
            </w:r>
          </w:p>
          <w:p w14:paraId="55B3FC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本项目生产运行过程中会损耗一定量的电能源。能源损耗量相对区域资源利用总量较少，不会超出资源利用上线。项目土地性质为工业用地，土地利用不会突破区域土地资源上线。符合资源利用上线要求。</w:t>
            </w:r>
          </w:p>
          <w:p w14:paraId="3E9B16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④生态环境准入清单</w:t>
            </w:r>
          </w:p>
          <w:p w14:paraId="4A89DC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新疆维吾尔自治区28个国家重点生态功能区县（市）产业准入负面清单主要包括阿尔泰山地森林草原生态功能区、阿尔金草原荒漠化防治生态功能区、塔里木河荒漠化防治生态功能区，本项目位于玛纳斯县，不属于新疆维吾尔自治区28个国家重点生态功能区县（市）产业准入负面清单中的地区，所以本项目符合新疆维吾尔自治区28个国家重点生态功能区县（市）产业准入负面清单要求。</w:t>
            </w:r>
          </w:p>
          <w:p w14:paraId="733E78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本项目位于</w:t>
            </w:r>
            <w:r>
              <w:rPr>
                <w:rFonts w:hint="default" w:ascii="Times New Roman" w:hAnsi="Times New Roman" w:eastAsia="宋体" w:cs="Times New Roman"/>
                <w:color w:val="auto"/>
                <w:lang w:val="en-US" w:eastAsia="zh-CN"/>
              </w:rPr>
              <w:t>玛纳斯县</w:t>
            </w:r>
            <w:r>
              <w:rPr>
                <w:rFonts w:hint="default" w:ascii="Times New Roman" w:hAnsi="Times New Roman" w:eastAsia="宋体" w:cs="Times New Roman"/>
                <w:color w:val="auto"/>
                <w:lang w:eastAsia="zh-CN"/>
              </w:rPr>
              <w:t>，本项目与环境管控单元生态环境准入清单符合性分析见表</w:t>
            </w:r>
            <w:r>
              <w:rPr>
                <w:rFonts w:hint="default" w:ascii="Times New Roman" w:hAnsi="Times New Roman" w:eastAsia="宋体" w:cs="Times New Roman"/>
                <w:color w:val="auto"/>
                <w:lang w:val="en-US" w:eastAsia="zh-CN"/>
              </w:rPr>
              <w:t>1.2-2</w:t>
            </w:r>
            <w:r>
              <w:rPr>
                <w:rFonts w:hint="default" w:ascii="Times New Roman" w:hAnsi="Times New Roman" w:eastAsia="宋体" w:cs="Times New Roman"/>
                <w:color w:val="auto"/>
                <w:lang w:eastAsia="zh-CN"/>
              </w:rPr>
              <w:t>。本项目在生态环境分区管控方案中的位置见</w:t>
            </w:r>
            <w:r>
              <w:rPr>
                <w:rFonts w:hint="eastAsia" w:cs="Times New Roman"/>
                <w:color w:val="auto"/>
                <w:lang w:val="en-US" w:eastAsia="zh-CN"/>
              </w:rPr>
              <w:t>附图2</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综上所述，本项目符合《昌吉回族自治州“三线一单”生态环境分区管控方案及生态环境准入清单》（昌州政办发〔2021〕41号）相关要求。</w:t>
            </w:r>
          </w:p>
          <w:p w14:paraId="13C1914C">
            <w:pPr>
              <w:keepNext w:val="0"/>
              <w:keepLines w:val="0"/>
              <w:pageBreakBefore w:val="0"/>
              <w:kinsoku/>
              <w:wordWrap/>
              <w:topLinePunct w:val="0"/>
              <w:bidi w:val="0"/>
              <w:spacing w:line="480" w:lineRule="exact"/>
              <w:textAlignment w:val="auto"/>
              <w:rPr>
                <w:rFonts w:hint="default" w:ascii="Times New Roman" w:hAnsi="Times New Roman" w:eastAsia="宋体" w:cs="Times New Roman"/>
                <w:b/>
                <w:bCs/>
                <w:color w:val="auto"/>
                <w:sz w:val="24"/>
                <w:szCs w:val="24"/>
                <w:lang w:val="en-US" w:eastAsia="zh-CN"/>
              </w:rPr>
            </w:pPr>
            <w:r>
              <w:rPr>
                <w:rFonts w:hint="eastAsia" w:cs="Times New Roman"/>
                <w:b/>
                <w:bCs/>
                <w:color w:val="auto"/>
                <w:sz w:val="24"/>
                <w:szCs w:val="24"/>
                <w:lang w:val="en-US" w:eastAsia="zh-CN"/>
              </w:rPr>
              <w:t>3、</w:t>
            </w:r>
            <w:r>
              <w:rPr>
                <w:rFonts w:hint="default" w:ascii="Times New Roman" w:hAnsi="Times New Roman" w:eastAsia="宋体" w:cs="Times New Roman"/>
                <w:b/>
                <w:bCs/>
                <w:color w:val="auto"/>
                <w:sz w:val="24"/>
                <w:szCs w:val="24"/>
                <w:lang w:val="en-US" w:eastAsia="zh-CN"/>
              </w:rPr>
              <w:t>与《新疆维吾尔自治区七大片区“三线一单”生态环境分区管控要求》（2021年版）符合性分析</w:t>
            </w:r>
          </w:p>
          <w:p w14:paraId="4974B775">
            <w:pPr>
              <w:keepNext w:val="0"/>
              <w:keepLines w:val="0"/>
              <w:pageBreakBefore w:val="0"/>
              <w:widowControl w:val="0"/>
              <w:kinsoku/>
              <w:wordWrap/>
              <w:overflowPunct/>
              <w:topLinePunct w:val="0"/>
              <w:autoSpaceDE/>
              <w:autoSpaceDN/>
              <w:bidi w:val="0"/>
              <w:adjustRightInd/>
              <w:snapToGrid/>
              <w:spacing w:line="480" w:lineRule="exact"/>
              <w:ind w:firstLine="510"/>
              <w:jc w:val="left"/>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按照《新疆维吾尔自治区“三线一单”生态环境分区管控方案》，全区划分为七大片区，包括北疆北部（塔城地区、阿勒泰地区）、伊犁河谷、克奎乌-博州、乌昌石、吐哈、天山南坡（巴州、阿克苏地区）和南疆三地州片区，新疆维吾尔自治区生态环境厅制定《新疆维吾尔自治区七大片区“三线一单”生态环境分区管控要求》。本项目位于乌昌石片区，本项目在七大片区范围图位置见</w:t>
            </w:r>
            <w:r>
              <w:rPr>
                <w:rFonts w:hint="eastAsia" w:cs="Times New Roman"/>
                <w:color w:val="auto"/>
                <w:lang w:val="en-US" w:eastAsia="zh-CN"/>
              </w:rPr>
              <w:t>附图9</w:t>
            </w:r>
            <w:r>
              <w:rPr>
                <w:rFonts w:hint="default" w:ascii="Times New Roman" w:hAnsi="Times New Roman" w:eastAsia="宋体" w:cs="Times New Roman"/>
                <w:color w:val="auto"/>
                <w:lang w:val="en-US" w:eastAsia="zh-CN"/>
              </w:rPr>
              <w:t>。</w:t>
            </w:r>
          </w:p>
          <w:p w14:paraId="4C3AB844">
            <w:pPr>
              <w:keepNext w:val="0"/>
              <w:keepLines w:val="0"/>
              <w:pageBreakBefore w:val="0"/>
              <w:widowControl w:val="0"/>
              <w:kinsoku/>
              <w:wordWrap/>
              <w:overflowPunct/>
              <w:topLinePunct w:val="0"/>
              <w:autoSpaceDE/>
              <w:autoSpaceDN/>
              <w:bidi w:val="0"/>
              <w:adjustRightInd/>
              <w:snapToGrid/>
              <w:spacing w:line="480" w:lineRule="exact"/>
              <w:ind w:firstLine="510"/>
              <w:jc w:val="left"/>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乌昌石片区包括乌鲁木齐市、昌吉回族自治州和沙湾市。除国家规划项目外，乌鲁木齐市七区一县、昌吉市、阜康市、玛纳斯县、呼图壁县、沙湾市建成区及周边敏感区域内不再布局建设煤化工、电解铝、燃煤纯发电机组、金属硅、碳化硅、聚氯乙烯（电石法）、焦炭（含半焦）等新增产能项目。具备风光电清洁供暖建设条件的区域原则上不新批热电联产项目。坚持属地负责与区域大气污染联防联控相结合，以明显降低细颗粒物浓度为重点，协同推进“乌-昌-石”同防同治区域大气环境治理。强化与生产建设兵团第六师、第八师、第十一师、第十二师的同防同治，所有新建、改建、扩建工业项目执行最严格的大气污染物排放标准，强化氮氧化物深度治理，确保区域环境空气质量持续改善。</w:t>
            </w:r>
          </w:p>
          <w:p w14:paraId="31E3FEA2">
            <w:pPr>
              <w:keepNext w:val="0"/>
              <w:keepLines w:val="0"/>
              <w:pageBreakBefore w:val="0"/>
              <w:widowControl w:val="0"/>
              <w:kinsoku/>
              <w:wordWrap/>
              <w:overflowPunct/>
              <w:topLinePunct w:val="0"/>
              <w:autoSpaceDE/>
              <w:autoSpaceDN/>
              <w:bidi w:val="0"/>
              <w:adjustRightInd/>
              <w:snapToGrid/>
              <w:spacing w:line="480" w:lineRule="exact"/>
              <w:ind w:firstLine="510"/>
              <w:jc w:val="left"/>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强化挥发性有机物污染防治措施。推广使用低挥发性有机物原辅料，推动有条件的园区（工业集聚区）建设集中喷涂工程中心，配备高效治污设施，替代企业独立喷涂工序。</w:t>
            </w:r>
          </w:p>
          <w:p w14:paraId="2384601F">
            <w:pPr>
              <w:keepNext w:val="0"/>
              <w:keepLines w:val="0"/>
              <w:pageBreakBefore w:val="0"/>
              <w:widowControl w:val="0"/>
              <w:kinsoku/>
              <w:wordWrap/>
              <w:overflowPunct/>
              <w:topLinePunct w:val="0"/>
              <w:autoSpaceDE/>
              <w:autoSpaceDN/>
              <w:bidi w:val="0"/>
              <w:adjustRightInd/>
              <w:snapToGrid/>
              <w:spacing w:line="480" w:lineRule="exact"/>
              <w:ind w:firstLine="510"/>
              <w:jc w:val="left"/>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强化企业清洁生产改造，推进节水型企业、节水型工业园区建设，提高资源集约节约利用水平。积极推进地下水超采治理，逐步压减地下水超采量，实现地下水采补平衡。</w:t>
            </w:r>
          </w:p>
          <w:p w14:paraId="2FD88975">
            <w:pPr>
              <w:keepNext w:val="0"/>
              <w:keepLines w:val="0"/>
              <w:pageBreakBefore w:val="0"/>
              <w:widowControl w:val="0"/>
              <w:kinsoku/>
              <w:wordWrap/>
              <w:overflowPunct/>
              <w:topLinePunct w:val="0"/>
              <w:autoSpaceDE/>
              <w:autoSpaceDN/>
              <w:bidi w:val="0"/>
              <w:adjustRightInd/>
              <w:snapToGrid/>
              <w:spacing w:line="480" w:lineRule="exact"/>
              <w:ind w:firstLine="510"/>
              <w:jc w:val="left"/>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强化油（气）资源开发区土壤环境污染综合整治。加强涉重金属行业污染防控与工业废物处理处置。</w:t>
            </w:r>
          </w:p>
          <w:p w14:paraId="2F15D0BD">
            <w:pPr>
              <w:keepNext w:val="0"/>
              <w:keepLines w:val="0"/>
              <w:pageBreakBefore w:val="0"/>
              <w:widowControl w:val="0"/>
              <w:kinsoku/>
              <w:wordWrap/>
              <w:overflowPunct/>
              <w:topLinePunct w:val="0"/>
              <w:autoSpaceDE/>
              <w:autoSpaceDN/>
              <w:bidi w:val="0"/>
              <w:adjustRightInd/>
              <w:snapToGrid/>
              <w:spacing w:line="480" w:lineRule="exact"/>
              <w:ind w:firstLine="510"/>
              <w:jc w:val="left"/>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煤炭、石油、天然气开发单位应当制定生态保护和恢复治理方案，并予以实施。生态保护和恢复治理方案内容应当向社会公布，接受社会监督。</w:t>
            </w:r>
          </w:p>
          <w:p w14:paraId="6191CA39">
            <w:pPr>
              <w:keepNext w:val="0"/>
              <w:keepLines w:val="0"/>
              <w:pageBreakBefore w:val="0"/>
              <w:widowControl w:val="0"/>
              <w:kinsoku/>
              <w:wordWrap/>
              <w:overflowPunct/>
              <w:topLinePunct w:val="0"/>
              <w:autoSpaceDE/>
              <w:autoSpaceDN/>
              <w:bidi w:val="0"/>
              <w:adjustRightInd/>
              <w:snapToGrid/>
              <w:spacing w:line="480" w:lineRule="exact"/>
              <w:ind w:firstLine="51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本项目位于</w:t>
            </w:r>
            <w:r>
              <w:rPr>
                <w:rFonts w:hint="default" w:ascii="Times New Roman" w:hAnsi="Times New Roman" w:eastAsia="宋体" w:cs="Times New Roman"/>
                <w:color w:val="auto"/>
                <w:sz w:val="24"/>
                <w:szCs w:val="24"/>
                <w:vertAlign w:val="baseline"/>
                <w:lang w:val="en-US" w:eastAsia="zh-CN" w:bidi="ar-SA"/>
              </w:rPr>
              <w:t>昌吉回族自治州玛纳斯县玛纳斯镇</w:t>
            </w:r>
            <w:r>
              <w:rPr>
                <w:rFonts w:hint="default" w:ascii="Times New Roman" w:hAnsi="Times New Roman" w:eastAsia="宋体" w:cs="Times New Roman"/>
                <w:color w:val="auto"/>
                <w:lang w:val="en-US" w:eastAsia="zh-CN"/>
              </w:rPr>
              <w:t>，属于“乌-昌-石”联防联控区，本项目生产不涉及地下水开采；</w:t>
            </w:r>
            <w:r>
              <w:rPr>
                <w:rFonts w:hint="default" w:ascii="Times New Roman" w:hAnsi="Times New Roman" w:eastAsia="宋体" w:cs="Times New Roman"/>
                <w:color w:val="auto"/>
                <w:highlight w:val="none"/>
                <w:lang w:val="en-US" w:eastAsia="zh-CN"/>
              </w:rPr>
              <w:t>本项目发酵恶臭废气设置</w:t>
            </w:r>
            <w:r>
              <w:rPr>
                <w:rFonts w:hint="default" w:ascii="Times New Roman" w:hAnsi="Times New Roman" w:eastAsia="宋体" w:cs="Times New Roman"/>
                <w:color w:val="0000FF"/>
                <w:lang w:val="en-US" w:eastAsia="zh-CN"/>
              </w:rPr>
              <w:t>集气罩+生物除臭塔（滴滤法）+15m排气筒</w:t>
            </w:r>
            <w:r>
              <w:rPr>
                <w:rFonts w:hint="eastAsia" w:cs="Times New Roman"/>
                <w:color w:val="0000FF"/>
                <w:lang w:val="en-US" w:eastAsia="zh-CN"/>
              </w:rPr>
              <w:t>（DA001）</w:t>
            </w:r>
            <w:r>
              <w:rPr>
                <w:rFonts w:hint="default" w:ascii="Times New Roman" w:hAnsi="Times New Roman" w:eastAsia="宋体" w:cs="Times New Roman"/>
                <w:color w:val="auto"/>
                <w:highlight w:val="none"/>
                <w:lang w:val="en-US" w:eastAsia="zh-CN"/>
              </w:rPr>
              <w:t>排放，满足《恶臭污染物排放标准》（GB14554-93）表2 恶臭污染物排放标准值；成品车间筛分、包装产生的粉尘均设置布袋除尘处理后经1根15m高排气筒</w:t>
            </w:r>
            <w:r>
              <w:rPr>
                <w:rFonts w:hint="eastAsia" w:cs="Times New Roman"/>
                <w:color w:val="0000FF"/>
                <w:lang w:val="en-US" w:eastAsia="zh-CN"/>
              </w:rPr>
              <w:t>（DA002）</w:t>
            </w:r>
            <w:r>
              <w:rPr>
                <w:rFonts w:hint="default" w:ascii="Times New Roman" w:hAnsi="Times New Roman" w:eastAsia="宋体" w:cs="Times New Roman"/>
                <w:color w:val="auto"/>
                <w:highlight w:val="none"/>
                <w:lang w:val="en-US" w:eastAsia="zh-CN"/>
              </w:rPr>
              <w:t>排放，满足《大气污染物综合排放标准》（GB16297-1996）表2中二级标准，</w:t>
            </w:r>
            <w:r>
              <w:rPr>
                <w:rFonts w:hint="default" w:ascii="Times New Roman" w:hAnsi="Times New Roman" w:eastAsia="宋体" w:cs="Times New Roman"/>
                <w:color w:val="auto"/>
                <w:lang w:val="en-US" w:eastAsia="zh-CN"/>
              </w:rPr>
              <w:t>因此本项目符合《新疆维吾尔自治区七大片区“三线一单”生态环境分区管控要求》（2021年版）乌昌石片区管控要求。</w:t>
            </w:r>
          </w:p>
          <w:p w14:paraId="127324E8">
            <w:pPr>
              <w:keepNext w:val="0"/>
              <w:keepLines w:val="0"/>
              <w:pageBreakBefore w:val="0"/>
              <w:widowControl w:val="0"/>
              <w:kinsoku/>
              <w:wordWrap/>
              <w:overflowPunct w:val="0"/>
              <w:topLinePunct w:val="0"/>
              <w:autoSpaceDE w:val="0"/>
              <w:autoSpaceDN w:val="0"/>
              <w:bidi w:val="0"/>
              <w:adjustRightInd w:val="0"/>
              <w:snapToGrid w:val="0"/>
              <w:spacing w:before="0" w:after="0" w:line="480" w:lineRule="exact"/>
              <w:ind w:right="0"/>
              <w:jc w:val="left"/>
              <w:textAlignment w:val="auto"/>
              <w:outlineLvl w:val="1"/>
              <w:rPr>
                <w:rFonts w:hint="default" w:ascii="Times New Roman" w:hAnsi="Times New Roman" w:eastAsia="宋体" w:cs="Times New Roman"/>
                <w:b/>
                <w:color w:val="0000FF"/>
                <w:sz w:val="24"/>
                <w:szCs w:val="28"/>
                <w:lang w:val="en-US" w:eastAsia="zh-CN" w:bidi="ar-SA"/>
              </w:rPr>
            </w:pPr>
            <w:r>
              <w:rPr>
                <w:rFonts w:hint="default" w:ascii="Times New Roman" w:hAnsi="Times New Roman" w:eastAsia="宋体" w:cs="Times New Roman"/>
                <w:b/>
                <w:color w:val="0000FF"/>
                <w:sz w:val="24"/>
                <w:szCs w:val="28"/>
                <w:lang w:val="en-US" w:eastAsia="zh-CN" w:bidi="ar-SA"/>
              </w:rPr>
              <w:t>4、选址符合性</w:t>
            </w:r>
          </w:p>
          <w:p w14:paraId="646EC629">
            <w:pPr>
              <w:keepNext w:val="0"/>
              <w:keepLines w:val="0"/>
              <w:pageBreakBefore w:val="0"/>
              <w:kinsoku/>
              <w:wordWrap/>
              <w:overflowPunct w:val="0"/>
              <w:topLinePunct w:val="0"/>
              <w:autoSpaceDE w:val="0"/>
              <w:autoSpaceDN w:val="0"/>
              <w:bidi w:val="0"/>
              <w:adjustRightInd w:val="0"/>
              <w:snapToGrid w:val="0"/>
              <w:spacing w:before="0" w:after="0" w:line="480" w:lineRule="exact"/>
              <w:ind w:left="0" w:right="0" w:firstLine="480" w:firstLineChars="200"/>
              <w:jc w:val="left"/>
              <w:textAlignment w:val="auto"/>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（1）选址合理性</w:t>
            </w:r>
          </w:p>
          <w:p w14:paraId="394B331D">
            <w:pPr>
              <w:keepNext w:val="0"/>
              <w:keepLines w:val="0"/>
              <w:pageBreakBefore w:val="0"/>
              <w:kinsoku/>
              <w:wordWrap/>
              <w:overflowPunct w:val="0"/>
              <w:topLinePunct w:val="0"/>
              <w:autoSpaceDE w:val="0"/>
              <w:autoSpaceDN w:val="0"/>
              <w:bidi w:val="0"/>
              <w:adjustRightInd w:val="0"/>
              <w:snapToGrid w:val="0"/>
              <w:spacing w:before="0" w:after="0" w:line="480" w:lineRule="exact"/>
              <w:ind w:left="0" w:right="0" w:firstLine="480" w:firstLineChars="200"/>
              <w:jc w:val="left"/>
              <w:textAlignment w:val="auto"/>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本项目选址位于新疆维吾尔自治区昌吉回族自治州玛纳斯县玛纳斯镇，占地面积为</w:t>
            </w:r>
            <w:r>
              <w:rPr>
                <w:rFonts w:hint="default" w:ascii="Times New Roman" w:hAnsi="Times New Roman" w:eastAsia="宋体" w:cs="Times New Roman"/>
                <w:color w:val="0000FF"/>
                <w:highlight w:val="none"/>
                <w:lang w:val="en-US" w:eastAsia="zh-CN"/>
              </w:rPr>
              <w:t>9872.63m</w:t>
            </w:r>
            <w:r>
              <w:rPr>
                <w:rFonts w:hint="default" w:ascii="Times New Roman" w:hAnsi="Times New Roman" w:eastAsia="宋体" w:cs="Times New Roman"/>
                <w:color w:val="0000FF"/>
                <w:highlight w:val="none"/>
                <w:vertAlign w:val="superscript"/>
                <w:lang w:val="en-US" w:eastAsia="zh-CN"/>
              </w:rPr>
              <w:t>2</w:t>
            </w:r>
            <w:r>
              <w:rPr>
                <w:rFonts w:hint="default" w:ascii="Times New Roman" w:hAnsi="Times New Roman" w:eastAsia="宋体" w:cs="Times New Roman"/>
                <w:color w:val="0000FF"/>
                <w:highlight w:val="none"/>
                <w:lang w:val="en-US" w:eastAsia="zh-CN"/>
              </w:rPr>
              <w:t>。</w:t>
            </w:r>
            <w:r>
              <w:rPr>
                <w:rFonts w:hint="default" w:ascii="Times New Roman" w:hAnsi="Times New Roman" w:eastAsia="宋体" w:cs="Times New Roman"/>
                <w:color w:val="0000FF"/>
                <w:lang w:val="en-US" w:eastAsia="zh-CN"/>
              </w:rPr>
              <w:t>本项目</w:t>
            </w:r>
            <w:r>
              <w:rPr>
                <w:rFonts w:hint="default" w:ascii="Times New Roman" w:hAnsi="Times New Roman" w:eastAsia="宋体" w:cs="Times New Roman"/>
                <w:color w:val="0000FF"/>
                <w:highlight w:val="none"/>
                <w:lang w:val="en-US" w:eastAsia="zh-CN"/>
              </w:rPr>
              <w:t>用地为设施农用地，工</w:t>
            </w:r>
            <w:r>
              <w:rPr>
                <w:rFonts w:hint="default" w:ascii="Times New Roman" w:hAnsi="Times New Roman" w:eastAsia="宋体" w:cs="Times New Roman"/>
                <w:color w:val="0000FF"/>
                <w:lang w:val="en-US" w:eastAsia="zh-CN"/>
              </w:rPr>
              <w:t>程符合国土空间规划和用途管制要求。</w:t>
            </w:r>
          </w:p>
          <w:p w14:paraId="1738AFDF">
            <w:pPr>
              <w:keepNext w:val="0"/>
              <w:keepLines w:val="0"/>
              <w:pageBreakBefore w:val="0"/>
              <w:kinsoku/>
              <w:wordWrap/>
              <w:overflowPunct w:val="0"/>
              <w:topLinePunct w:val="0"/>
              <w:autoSpaceDE w:val="0"/>
              <w:autoSpaceDN w:val="0"/>
              <w:bidi w:val="0"/>
              <w:adjustRightInd w:val="0"/>
              <w:snapToGrid w:val="0"/>
              <w:spacing w:before="0" w:after="0" w:line="480" w:lineRule="exact"/>
              <w:ind w:left="0" w:right="0" w:firstLine="480" w:firstLineChars="200"/>
              <w:jc w:val="left"/>
              <w:textAlignment w:val="auto"/>
              <w:rPr>
                <w:rFonts w:hint="default" w:ascii="Times New Roman" w:hAnsi="Times New Roman" w:eastAsia="宋体" w:cs="Times New Roman"/>
                <w:color w:val="0000FF"/>
                <w:highlight w:val="none"/>
                <w:lang w:val="en-US" w:eastAsia="zh-CN"/>
              </w:rPr>
            </w:pPr>
            <w:r>
              <w:rPr>
                <w:rFonts w:hint="default" w:ascii="Times New Roman" w:hAnsi="Times New Roman" w:eastAsia="宋体" w:cs="Times New Roman"/>
                <w:color w:val="0000FF"/>
                <w:highlight w:val="none"/>
                <w:lang w:val="en-US" w:eastAsia="zh-CN"/>
              </w:rPr>
              <w:t>本项目西侧为新疆玛纳斯县2018年数字农业建设试点项目（蛋鸡产业园），东侧、南侧、北侧均为</w:t>
            </w:r>
            <w:r>
              <w:rPr>
                <w:rFonts w:hint="eastAsia" w:cs="Times New Roman"/>
                <w:color w:val="0000FF"/>
                <w:highlight w:val="none"/>
                <w:lang w:val="en-US" w:eastAsia="zh-CN"/>
              </w:rPr>
              <w:t>基本农田</w:t>
            </w:r>
            <w:r>
              <w:rPr>
                <w:rFonts w:hint="default" w:ascii="Times New Roman" w:hAnsi="Times New Roman" w:eastAsia="宋体" w:cs="Times New Roman"/>
                <w:color w:val="0000FF"/>
                <w:highlight w:val="none"/>
                <w:lang w:val="en-US" w:eastAsia="zh-CN"/>
              </w:rPr>
              <w:t>。</w:t>
            </w:r>
          </w:p>
          <w:p w14:paraId="72C776FC">
            <w:pPr>
              <w:keepNext w:val="0"/>
              <w:keepLines w:val="0"/>
              <w:pageBreakBefore w:val="0"/>
              <w:kinsoku/>
              <w:wordWrap/>
              <w:overflowPunct w:val="0"/>
              <w:topLinePunct w:val="0"/>
              <w:autoSpaceDE w:val="0"/>
              <w:autoSpaceDN w:val="0"/>
              <w:bidi w:val="0"/>
              <w:adjustRightInd w:val="0"/>
              <w:snapToGrid w:val="0"/>
              <w:spacing w:before="0" w:after="0" w:line="480" w:lineRule="exact"/>
              <w:ind w:left="0" w:right="0" w:firstLine="480" w:firstLineChars="200"/>
              <w:jc w:val="left"/>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不在自然保护区、饮用水源保护区和其他需要特殊保护的区域，本项目的建设符合国家、自治区相关法律法规、产业政策要求，采用的工艺、技术和设备符合《产业结构调整指导目录（2024年本）》、《市场准入负面清单（2025年版）》等相关要求，项目使用的工艺、技术和设备均不在国家和自治区淘汰或禁止的范围内，本项目所产生的污染物经相关措施处理后均能达标排放，不会对周边环境产生较大影响。野生动物数量较少且种类单一，无国家和自治区级珍稀濒危保护动植物，项目区及所在区域环境质量现状较好。区域内无珍稀动植物、敏感目标，项目营运期的生产对生态环境不会产生明显影响。本项目没有明显的外环境制约因素，且与区域环境具有相容性。因此，本项目选址基本可行。</w:t>
            </w:r>
          </w:p>
          <w:p w14:paraId="7D9E0B2F">
            <w:pPr>
              <w:keepNext w:val="0"/>
              <w:keepLines w:val="0"/>
              <w:pageBreakBefore w:val="0"/>
              <w:kinsoku/>
              <w:wordWrap/>
              <w:overflowPunct w:val="0"/>
              <w:topLinePunct w:val="0"/>
              <w:autoSpaceDE w:val="0"/>
              <w:autoSpaceDN w:val="0"/>
              <w:bidi w:val="0"/>
              <w:adjustRightInd w:val="0"/>
              <w:snapToGrid w:val="0"/>
              <w:spacing w:before="0" w:after="0" w:line="480" w:lineRule="exact"/>
              <w:ind w:left="0" w:right="0" w:firstLine="480" w:firstLineChars="200"/>
              <w:jc w:val="left"/>
              <w:textAlignment w:val="auto"/>
              <w:rPr>
                <w:rFonts w:hint="default" w:ascii="Times New Roman" w:hAnsi="Times New Roman" w:eastAsia="宋体" w:cs="Times New Roman"/>
                <w:color w:val="auto"/>
                <w:sz w:val="24"/>
                <w:szCs w:val="24"/>
                <w:highlight w:val="none"/>
                <w:shd w:val="clear" w:color="auto" w:fill="FFFFFF"/>
                <w:lang w:val="en-US" w:eastAsia="zh-CN" w:bidi="ar-SA"/>
              </w:rPr>
            </w:pPr>
            <w:r>
              <w:rPr>
                <w:rFonts w:hint="default" w:ascii="Times New Roman" w:hAnsi="Times New Roman" w:eastAsia="宋体" w:cs="Times New Roman"/>
                <w:color w:val="auto"/>
                <w:sz w:val="24"/>
                <w:szCs w:val="24"/>
                <w:highlight w:val="none"/>
                <w:shd w:val="clear" w:color="auto" w:fill="FFFFFF"/>
                <w:lang w:val="en-US" w:eastAsia="zh-CN" w:bidi="ar-SA"/>
              </w:rPr>
              <w:t>（2）环境容量</w:t>
            </w:r>
          </w:p>
          <w:p w14:paraId="493234B2">
            <w:pPr>
              <w:keepNext w:val="0"/>
              <w:keepLines w:val="0"/>
              <w:pageBreakBefore w:val="0"/>
              <w:kinsoku/>
              <w:wordWrap/>
              <w:overflowPunct w:val="0"/>
              <w:topLinePunct w:val="0"/>
              <w:autoSpaceDE w:val="0"/>
              <w:autoSpaceDN w:val="0"/>
              <w:bidi w:val="0"/>
              <w:adjustRightInd w:val="0"/>
              <w:snapToGrid w:val="0"/>
              <w:spacing w:before="0" w:after="0" w:line="480" w:lineRule="exact"/>
              <w:ind w:left="0" w:right="0" w:firstLine="480" w:firstLineChars="200"/>
              <w:jc w:val="left"/>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sz w:val="24"/>
                <w:szCs w:val="24"/>
                <w:highlight w:val="none"/>
                <w:shd w:val="clear" w:color="auto" w:fill="FFFFFF"/>
                <w:lang w:val="en-US" w:eastAsia="zh-CN" w:bidi="ar-SA"/>
              </w:rPr>
              <w:t>项目评价区内现状环境空气评价因子年评价指标</w:t>
            </w:r>
            <w:r>
              <w:rPr>
                <w:rFonts w:hint="eastAsia" w:cs="Times New Roman"/>
                <w:color w:val="auto"/>
                <w:szCs w:val="24"/>
                <w:lang w:val="en-US" w:eastAsia="zh-CN"/>
              </w:rPr>
              <w:t>均达标</w:t>
            </w:r>
            <w:r>
              <w:rPr>
                <w:rFonts w:hint="default" w:ascii="Times New Roman" w:hAnsi="Times New Roman" w:eastAsia="宋体" w:cs="Times New Roman"/>
                <w:color w:val="auto"/>
                <w:sz w:val="24"/>
                <w:szCs w:val="24"/>
                <w:highlight w:val="none"/>
                <w:shd w:val="clear" w:color="auto" w:fill="FFFFFF"/>
                <w:lang w:val="en-US" w:eastAsia="zh-CN" w:bidi="ar-SA"/>
              </w:rPr>
              <w:t>，为达标区，本项目颗粒物在采取措施后，对周边区域环境空气影响较小；</w:t>
            </w:r>
            <w:r>
              <w:rPr>
                <w:rFonts w:hint="default" w:ascii="Times New Roman" w:hAnsi="Times New Roman" w:eastAsia="宋体" w:cs="Times New Roman"/>
                <w:color w:val="auto"/>
                <w:lang w:val="en-US" w:eastAsia="zh-CN"/>
              </w:rPr>
              <w:t>本项目无生产废水，</w:t>
            </w:r>
            <w:r>
              <w:rPr>
                <w:rFonts w:hint="eastAsia" w:cs="Times New Roman"/>
                <w:color w:val="auto"/>
                <w:lang w:val="en-US" w:eastAsia="zh-CN"/>
              </w:rPr>
              <w:t>项目区不设置生活区</w:t>
            </w:r>
            <w:r>
              <w:rPr>
                <w:rFonts w:hint="default" w:ascii="Times New Roman" w:hAnsi="Times New Roman" w:eastAsia="宋体" w:cs="Times New Roman"/>
                <w:color w:val="auto"/>
                <w:lang w:val="en-US" w:eastAsia="zh-CN"/>
              </w:rPr>
              <w:t>，与周围地表水体无直接水力联系，本项目的建设不会对区域地表水环境产生影响；在采取声环境治理措施情况下，对周边声环境保护目标影响较小；</w:t>
            </w:r>
            <w:r>
              <w:rPr>
                <w:rFonts w:hint="default" w:ascii="Times New Roman" w:hAnsi="Times New Roman" w:eastAsia="宋体" w:cs="Times New Roman"/>
                <w:color w:val="auto"/>
                <w:kern w:val="0"/>
                <w:sz w:val="24"/>
                <w:szCs w:val="24"/>
                <w:lang w:val="en-US" w:eastAsia="zh-CN"/>
              </w:rPr>
              <w:t>本项目</w:t>
            </w:r>
            <w:r>
              <w:rPr>
                <w:rFonts w:hint="default" w:ascii="Times New Roman" w:hAnsi="Times New Roman" w:eastAsia="宋体" w:cs="Times New Roman"/>
                <w:color w:val="auto"/>
                <w:sz w:val="24"/>
                <w:szCs w:val="24"/>
                <w:lang w:val="en-US" w:eastAsia="zh-CN" w:bidi="ar-SA"/>
              </w:rPr>
              <w:t>采取严格的分区防渗，对周边地下水、土壤环境影响较小。</w:t>
            </w:r>
          </w:p>
          <w:p w14:paraId="27163044">
            <w:pPr>
              <w:keepNext w:val="0"/>
              <w:keepLines w:val="0"/>
              <w:pageBreakBefore w:val="0"/>
              <w:kinsoku/>
              <w:wordWrap/>
              <w:overflowPunct w:val="0"/>
              <w:topLinePunct w:val="0"/>
              <w:autoSpaceDE w:val="0"/>
              <w:autoSpaceDN w:val="0"/>
              <w:bidi w:val="0"/>
              <w:adjustRightInd w:val="0"/>
              <w:snapToGrid w:val="0"/>
              <w:spacing w:before="0" w:after="0" w:line="480" w:lineRule="exact"/>
              <w:ind w:left="0" w:right="0" w:firstLine="480" w:firstLineChars="200"/>
              <w:jc w:val="left"/>
              <w:textAlignment w:val="auto"/>
              <w:rPr>
                <w:rFonts w:hint="default" w:ascii="Times New Roman" w:hAnsi="Times New Roman" w:eastAsia="宋体" w:cs="Times New Roman"/>
                <w:color w:val="auto"/>
                <w:sz w:val="24"/>
                <w:szCs w:val="24"/>
                <w:highlight w:val="none"/>
                <w:shd w:val="clear" w:color="auto" w:fill="FFFFFF"/>
                <w:lang w:val="en-US" w:eastAsia="zh-CN" w:bidi="ar-SA"/>
              </w:rPr>
            </w:pPr>
            <w:r>
              <w:rPr>
                <w:rFonts w:hint="default" w:ascii="Times New Roman" w:hAnsi="Times New Roman" w:eastAsia="宋体" w:cs="Times New Roman"/>
                <w:color w:val="auto"/>
                <w:sz w:val="24"/>
                <w:szCs w:val="24"/>
                <w:highlight w:val="none"/>
              </w:rPr>
              <w:t>本项目投产后，</w:t>
            </w:r>
            <w:r>
              <w:rPr>
                <w:rFonts w:hint="default" w:ascii="Times New Roman" w:hAnsi="Times New Roman" w:eastAsia="宋体" w:cs="Times New Roman"/>
                <w:color w:val="auto"/>
                <w:sz w:val="24"/>
                <w:szCs w:val="24"/>
                <w:highlight w:val="none"/>
                <w:lang w:val="en-US" w:eastAsia="zh-CN"/>
              </w:rPr>
              <w:t>能够保持</w:t>
            </w:r>
            <w:r>
              <w:rPr>
                <w:rFonts w:hint="default" w:ascii="Times New Roman" w:hAnsi="Times New Roman" w:eastAsia="宋体" w:cs="Times New Roman"/>
                <w:color w:val="auto"/>
                <w:sz w:val="24"/>
                <w:szCs w:val="24"/>
                <w:highlight w:val="none"/>
              </w:rPr>
              <w:t>水、气、声</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土壤等</w:t>
            </w:r>
            <w:r>
              <w:rPr>
                <w:rFonts w:hint="default" w:ascii="Times New Roman" w:hAnsi="Times New Roman" w:eastAsia="宋体" w:cs="Times New Roman"/>
                <w:color w:val="auto"/>
                <w:sz w:val="24"/>
                <w:szCs w:val="24"/>
                <w:highlight w:val="none"/>
              </w:rPr>
              <w:t>环境质量现状</w:t>
            </w:r>
            <w:r>
              <w:rPr>
                <w:rFonts w:hint="default" w:ascii="Times New Roman" w:hAnsi="Times New Roman" w:eastAsia="宋体" w:cs="Times New Roman"/>
                <w:color w:val="auto"/>
                <w:sz w:val="24"/>
                <w:szCs w:val="24"/>
                <w:highlight w:val="none"/>
                <w:lang w:val="en-US" w:eastAsia="zh-CN"/>
              </w:rPr>
              <w:t>不降低</w:t>
            </w:r>
            <w:r>
              <w:rPr>
                <w:rFonts w:hint="default" w:ascii="Times New Roman" w:hAnsi="Times New Roman" w:eastAsia="宋体" w:cs="Times New Roman"/>
                <w:color w:val="auto"/>
                <w:sz w:val="24"/>
                <w:szCs w:val="24"/>
                <w:highlight w:val="none"/>
              </w:rPr>
              <w:t>，污染物达标排放，对区域环境影响不大，区域环境仍可保持现有功能水平。因此，项目选址从环境容量角度分析是可行的</w:t>
            </w:r>
            <w:r>
              <w:rPr>
                <w:rFonts w:hint="default" w:ascii="Times New Roman" w:hAnsi="Times New Roman" w:eastAsia="宋体" w:cs="Times New Roman"/>
                <w:color w:val="auto"/>
                <w:sz w:val="24"/>
                <w:szCs w:val="24"/>
                <w:highlight w:val="none"/>
                <w:lang w:eastAsia="zh-CN"/>
              </w:rPr>
              <w:t>。</w:t>
            </w:r>
          </w:p>
          <w:p w14:paraId="694E6908">
            <w:pPr>
              <w:keepNext w:val="0"/>
              <w:keepLines w:val="0"/>
              <w:pageBreakBefore w:val="0"/>
              <w:kinsoku/>
              <w:wordWrap/>
              <w:overflowPunct w:val="0"/>
              <w:topLinePunct w:val="0"/>
              <w:autoSpaceDE w:val="0"/>
              <w:autoSpaceDN w:val="0"/>
              <w:bidi w:val="0"/>
              <w:adjustRightInd w:val="0"/>
              <w:snapToGrid w:val="0"/>
              <w:spacing w:before="0" w:after="0" w:line="480" w:lineRule="exact"/>
              <w:ind w:left="0" w:right="0" w:firstLine="480" w:firstLineChars="200"/>
              <w:jc w:val="left"/>
              <w:textAlignment w:val="auto"/>
              <w:rPr>
                <w:rFonts w:hint="default" w:ascii="Times New Roman" w:hAnsi="Times New Roman" w:eastAsia="宋体" w:cs="Times New Roman"/>
                <w:color w:val="auto"/>
                <w:sz w:val="24"/>
                <w:szCs w:val="24"/>
                <w:highlight w:val="none"/>
                <w:shd w:val="clear" w:color="auto" w:fill="FFFFFF"/>
                <w:lang w:val="en-US" w:eastAsia="zh-CN" w:bidi="ar-SA"/>
              </w:rPr>
            </w:pPr>
            <w:r>
              <w:rPr>
                <w:rFonts w:hint="default" w:ascii="Times New Roman" w:hAnsi="Times New Roman" w:eastAsia="宋体" w:cs="Times New Roman"/>
                <w:color w:val="auto"/>
                <w:sz w:val="24"/>
                <w:szCs w:val="24"/>
                <w:highlight w:val="none"/>
                <w:shd w:val="clear" w:color="auto" w:fill="FFFFFF"/>
                <w:lang w:val="en-US" w:eastAsia="zh-CN" w:bidi="ar-SA"/>
              </w:rPr>
              <w:t>（3）区域主导风向</w:t>
            </w:r>
          </w:p>
          <w:p w14:paraId="28B49C57">
            <w:pPr>
              <w:keepNext w:val="0"/>
              <w:keepLines w:val="0"/>
              <w:pageBreakBefore w:val="0"/>
              <w:kinsoku/>
              <w:wordWrap/>
              <w:overflowPunct w:val="0"/>
              <w:topLinePunct w:val="0"/>
              <w:autoSpaceDE w:val="0"/>
              <w:autoSpaceDN w:val="0"/>
              <w:bidi w:val="0"/>
              <w:adjustRightInd w:val="0"/>
              <w:snapToGrid w:val="0"/>
              <w:spacing w:before="0" w:after="0" w:line="480" w:lineRule="exact"/>
              <w:ind w:left="0" w:right="0" w:firstLine="480" w:firstLineChars="200"/>
              <w:jc w:val="left"/>
              <w:textAlignment w:val="auto"/>
              <w:rPr>
                <w:rFonts w:hint="default" w:ascii="Times New Roman" w:hAnsi="Times New Roman" w:eastAsia="宋体" w:cs="Times New Roman"/>
                <w:color w:val="auto"/>
                <w:sz w:val="24"/>
                <w:szCs w:val="24"/>
                <w:highlight w:val="none"/>
                <w:shd w:val="clear" w:color="auto" w:fill="FFFFFF"/>
                <w:lang w:val="en-US" w:eastAsia="zh-CN" w:bidi="ar-SA"/>
              </w:rPr>
            </w:pPr>
            <w:r>
              <w:rPr>
                <w:rFonts w:hint="default" w:ascii="Times New Roman" w:hAnsi="Times New Roman" w:eastAsia="宋体" w:cs="Times New Roman"/>
                <w:color w:val="auto"/>
                <w:sz w:val="24"/>
                <w:szCs w:val="24"/>
                <w:highlight w:val="none"/>
                <w:shd w:val="clear" w:color="auto" w:fill="FFFFFF"/>
                <w:lang w:val="en-US" w:eastAsia="zh-CN" w:bidi="ar-SA"/>
              </w:rPr>
              <w:t>区域年主导风向为西</w:t>
            </w:r>
            <w:r>
              <w:rPr>
                <w:rFonts w:hint="eastAsia" w:cs="Times New Roman"/>
                <w:color w:val="auto"/>
                <w:sz w:val="24"/>
                <w:szCs w:val="24"/>
                <w:highlight w:val="none"/>
                <w:shd w:val="clear" w:color="auto" w:fill="FFFFFF"/>
                <w:lang w:val="en-US" w:eastAsia="zh-CN" w:bidi="ar-SA"/>
              </w:rPr>
              <w:t>北</w:t>
            </w:r>
            <w:r>
              <w:rPr>
                <w:rFonts w:hint="default" w:ascii="Times New Roman" w:hAnsi="Times New Roman" w:eastAsia="宋体" w:cs="Times New Roman"/>
                <w:color w:val="auto"/>
                <w:sz w:val="24"/>
                <w:szCs w:val="24"/>
                <w:highlight w:val="none"/>
                <w:shd w:val="clear" w:color="auto" w:fill="FFFFFF"/>
                <w:lang w:val="en-US" w:eastAsia="zh-CN" w:bidi="ar-SA"/>
              </w:rPr>
              <w:t>风，厂界外500米范围内不存在大气环境保护目标，对周边环境影响较小。</w:t>
            </w:r>
          </w:p>
          <w:p w14:paraId="5BCF2D7C">
            <w:pPr>
              <w:keepNext w:val="0"/>
              <w:keepLines w:val="0"/>
              <w:pageBreakBefore w:val="0"/>
              <w:kinsoku/>
              <w:wordWrap/>
              <w:overflowPunct w:val="0"/>
              <w:topLinePunct w:val="0"/>
              <w:autoSpaceDE w:val="0"/>
              <w:autoSpaceDN w:val="0"/>
              <w:bidi w:val="0"/>
              <w:adjustRightInd w:val="0"/>
              <w:snapToGrid w:val="0"/>
              <w:spacing w:before="0" w:after="0" w:line="480" w:lineRule="exact"/>
              <w:ind w:left="0" w:right="0" w:firstLine="480" w:firstLineChars="200"/>
              <w:jc w:val="left"/>
              <w:textAlignment w:val="auto"/>
              <w:rPr>
                <w:rFonts w:hint="default" w:ascii="Times New Roman" w:hAnsi="Times New Roman" w:eastAsia="宋体" w:cs="Times New Roman"/>
                <w:color w:val="auto"/>
                <w:sz w:val="24"/>
                <w:szCs w:val="24"/>
                <w:highlight w:val="none"/>
                <w:shd w:val="clear" w:color="auto" w:fill="FFFFFF"/>
                <w:lang w:val="en-US" w:eastAsia="zh-CN" w:bidi="ar-SA"/>
              </w:rPr>
            </w:pPr>
            <w:r>
              <w:rPr>
                <w:rFonts w:hint="default" w:ascii="Times New Roman" w:hAnsi="Times New Roman" w:eastAsia="宋体" w:cs="Times New Roman"/>
                <w:color w:val="auto"/>
                <w:sz w:val="24"/>
                <w:szCs w:val="24"/>
                <w:highlight w:val="none"/>
                <w:shd w:val="clear" w:color="auto" w:fill="FFFFFF"/>
                <w:lang w:val="en-US" w:eastAsia="zh-CN" w:bidi="ar-SA"/>
              </w:rPr>
              <w:t>（4）防护距离</w:t>
            </w:r>
          </w:p>
          <w:p w14:paraId="6900623A">
            <w:pPr>
              <w:keepNext w:val="0"/>
              <w:keepLines w:val="0"/>
              <w:pageBreakBefore w:val="0"/>
              <w:kinsoku/>
              <w:wordWrap/>
              <w:overflowPunct w:val="0"/>
              <w:topLinePunct w:val="0"/>
              <w:autoSpaceDE w:val="0"/>
              <w:autoSpaceDN w:val="0"/>
              <w:bidi w:val="0"/>
              <w:adjustRightInd w:val="0"/>
              <w:snapToGrid w:val="0"/>
              <w:spacing w:before="0" w:after="0" w:line="480" w:lineRule="exact"/>
              <w:ind w:left="0" w:right="0" w:firstLine="480" w:firstLineChars="200"/>
              <w:jc w:val="left"/>
              <w:textAlignment w:val="auto"/>
              <w:rPr>
                <w:rFonts w:hint="default" w:ascii="Times New Roman" w:hAnsi="Times New Roman" w:eastAsia="宋体" w:cs="Times New Roman"/>
                <w:color w:val="auto"/>
                <w:sz w:val="24"/>
                <w:szCs w:val="24"/>
                <w:highlight w:val="none"/>
                <w:shd w:val="clear" w:color="auto" w:fill="FFFFFF"/>
                <w:lang w:val="en-US" w:eastAsia="zh-CN" w:bidi="ar-SA"/>
              </w:rPr>
            </w:pPr>
            <w:r>
              <w:rPr>
                <w:rFonts w:hint="default" w:ascii="Times New Roman" w:hAnsi="Times New Roman" w:eastAsia="宋体" w:cs="Times New Roman"/>
                <w:color w:val="auto"/>
                <w:sz w:val="24"/>
                <w:szCs w:val="24"/>
                <w:highlight w:val="none"/>
                <w:shd w:val="clear" w:color="auto" w:fill="FFFFFF"/>
                <w:lang w:val="en-US" w:eastAsia="zh-CN" w:bidi="ar-SA"/>
              </w:rPr>
              <w:t>根据《环境影响评价技术导则 大气环境》（HJ2.2-2018）中的大气环境防护距离的要求，本项目厂界浓度满足大气污染物厂界浓度限值，因此本项目的不设置大气环境防护距离。</w:t>
            </w:r>
          </w:p>
          <w:p w14:paraId="690C09CD">
            <w:pPr>
              <w:keepNext w:val="0"/>
              <w:keepLines w:val="0"/>
              <w:pageBreakBefore w:val="0"/>
              <w:kinsoku/>
              <w:wordWrap/>
              <w:overflowPunct w:val="0"/>
              <w:topLinePunct w:val="0"/>
              <w:autoSpaceDE w:val="0"/>
              <w:autoSpaceDN w:val="0"/>
              <w:bidi w:val="0"/>
              <w:adjustRightInd w:val="0"/>
              <w:snapToGrid w:val="0"/>
              <w:spacing w:before="0" w:after="0" w:line="480" w:lineRule="exact"/>
              <w:ind w:left="0" w:right="0" w:firstLine="480" w:firstLineChars="200"/>
              <w:jc w:val="left"/>
              <w:textAlignment w:val="auto"/>
              <w:rPr>
                <w:rFonts w:hint="default" w:ascii="Times New Roman" w:hAnsi="Times New Roman" w:eastAsia="宋体" w:cs="Times New Roman"/>
                <w:color w:val="auto"/>
                <w:sz w:val="24"/>
                <w:szCs w:val="24"/>
                <w:highlight w:val="none"/>
                <w:shd w:val="clear" w:color="auto" w:fill="FFFFFF"/>
                <w:lang w:val="en-US" w:eastAsia="zh-CN" w:bidi="ar-SA"/>
              </w:rPr>
            </w:pPr>
            <w:r>
              <w:rPr>
                <w:rFonts w:hint="default" w:ascii="Times New Roman" w:hAnsi="Times New Roman" w:eastAsia="宋体" w:cs="Times New Roman"/>
                <w:color w:val="auto"/>
                <w:sz w:val="24"/>
                <w:szCs w:val="24"/>
                <w:highlight w:val="none"/>
                <w:shd w:val="clear" w:color="auto" w:fill="FFFFFF"/>
                <w:lang w:val="en-US" w:eastAsia="zh-CN" w:bidi="ar-SA"/>
              </w:rPr>
              <w:t>（5）环境敏感性分析</w:t>
            </w:r>
          </w:p>
          <w:p w14:paraId="1188B448">
            <w:pPr>
              <w:keepNext w:val="0"/>
              <w:keepLines w:val="0"/>
              <w:pageBreakBefore w:val="0"/>
              <w:kinsoku/>
              <w:wordWrap/>
              <w:overflowPunct w:val="0"/>
              <w:topLinePunct w:val="0"/>
              <w:autoSpaceDE w:val="0"/>
              <w:autoSpaceDN w:val="0"/>
              <w:bidi w:val="0"/>
              <w:adjustRightInd w:val="0"/>
              <w:snapToGrid w:val="0"/>
              <w:spacing w:before="0" w:after="0" w:line="480" w:lineRule="exact"/>
              <w:ind w:left="0" w:right="0" w:firstLine="480" w:firstLineChars="200"/>
              <w:jc w:val="left"/>
              <w:textAlignment w:val="auto"/>
              <w:rPr>
                <w:rFonts w:hint="default" w:ascii="Times New Roman" w:hAnsi="Times New Roman" w:eastAsia="宋体" w:cs="Times New Roman"/>
                <w:color w:val="auto"/>
                <w:sz w:val="24"/>
                <w:szCs w:val="24"/>
                <w:highlight w:val="none"/>
                <w:shd w:val="clear" w:color="auto" w:fill="FFFFFF"/>
                <w:lang w:val="en-US" w:eastAsia="zh-CN" w:bidi="ar-SA"/>
              </w:rPr>
            </w:pPr>
            <w:r>
              <w:rPr>
                <w:rFonts w:hint="default" w:ascii="Times New Roman" w:hAnsi="Times New Roman" w:eastAsia="宋体" w:cs="Times New Roman"/>
                <w:color w:val="auto"/>
                <w:sz w:val="24"/>
                <w:szCs w:val="24"/>
                <w:highlight w:val="none"/>
                <w:shd w:val="clear" w:color="auto" w:fill="FFFFFF"/>
                <w:lang w:val="en-US" w:eastAsia="zh-CN" w:bidi="ar-SA"/>
              </w:rPr>
              <w:t>从环境敏感性看，评价区无国家及省级确定的风景名胜、历史遗迹等保护区；无饮用水水源保护区；厂区内无特殊自然观赏价值较高的景观。</w:t>
            </w:r>
          </w:p>
          <w:p w14:paraId="382A3373">
            <w:pPr>
              <w:keepNext w:val="0"/>
              <w:keepLines w:val="0"/>
              <w:pageBreakBefore w:val="0"/>
              <w:kinsoku/>
              <w:wordWrap/>
              <w:overflowPunct w:val="0"/>
              <w:topLinePunct w:val="0"/>
              <w:autoSpaceDE w:val="0"/>
              <w:autoSpaceDN w:val="0"/>
              <w:bidi w:val="0"/>
              <w:adjustRightInd w:val="0"/>
              <w:snapToGrid w:val="0"/>
              <w:spacing w:before="0" w:after="0" w:line="480" w:lineRule="exact"/>
              <w:ind w:left="0" w:right="0" w:firstLine="480" w:firstLineChars="200"/>
              <w:jc w:val="left"/>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sz w:val="24"/>
                <w:szCs w:val="24"/>
                <w:highlight w:val="none"/>
                <w:shd w:val="clear" w:color="auto" w:fill="FFFFFF"/>
                <w:lang w:val="en-US" w:eastAsia="zh-CN" w:bidi="ar-SA"/>
              </w:rPr>
              <w:t>综上所述，本项目选址可行。</w:t>
            </w:r>
          </w:p>
          <w:p w14:paraId="40D1DBC2">
            <w:pPr>
              <w:keepNext w:val="0"/>
              <w:keepLines w:val="0"/>
              <w:pageBreakBefore w:val="0"/>
              <w:widowControl w:val="0"/>
              <w:kinsoku/>
              <w:wordWrap/>
              <w:overflowPunct w:val="0"/>
              <w:topLinePunct w:val="0"/>
              <w:autoSpaceDE w:val="0"/>
              <w:autoSpaceDN w:val="0"/>
              <w:bidi w:val="0"/>
              <w:adjustRightInd w:val="0"/>
              <w:snapToGrid w:val="0"/>
              <w:spacing w:before="0" w:after="0" w:line="480" w:lineRule="exact"/>
              <w:ind w:right="0"/>
              <w:jc w:val="left"/>
              <w:textAlignment w:val="auto"/>
              <w:outlineLvl w:val="1"/>
              <w:rPr>
                <w:rFonts w:hint="default" w:ascii="Times New Roman" w:hAnsi="Times New Roman" w:eastAsia="宋体" w:cs="Times New Roman"/>
                <w:b/>
                <w:color w:val="auto"/>
                <w:sz w:val="24"/>
                <w:szCs w:val="28"/>
                <w:highlight w:val="none"/>
                <w:lang w:val="en-US" w:eastAsia="zh-CN" w:bidi="ar-SA"/>
              </w:rPr>
            </w:pPr>
            <w:r>
              <w:rPr>
                <w:rFonts w:hint="default" w:ascii="Times New Roman" w:hAnsi="Times New Roman" w:eastAsia="宋体" w:cs="Times New Roman"/>
                <w:b/>
                <w:color w:val="auto"/>
                <w:sz w:val="24"/>
                <w:szCs w:val="28"/>
                <w:highlight w:val="none"/>
                <w:lang w:val="en-US" w:eastAsia="zh-CN" w:bidi="ar-SA"/>
              </w:rPr>
              <w:t>5、《新疆生态环境保护“十四五”规划》符合性分析</w:t>
            </w:r>
          </w:p>
          <w:p w14:paraId="354C6187">
            <w:pPr>
              <w:keepNext w:val="0"/>
              <w:keepLines w:val="0"/>
              <w:pageBreakBefore w:val="0"/>
              <w:kinsoku/>
              <w:wordWrap/>
              <w:overflowPunct w:val="0"/>
              <w:topLinePunct w:val="0"/>
              <w:autoSpaceDE w:val="0"/>
              <w:autoSpaceDN w:val="0"/>
              <w:bidi w:val="0"/>
              <w:adjustRightInd w:val="0"/>
              <w:snapToGrid w:val="0"/>
              <w:spacing w:before="0" w:after="0" w:line="480" w:lineRule="exact"/>
              <w:ind w:left="0" w:right="0" w:firstLine="480" w:firstLineChars="200"/>
              <w:jc w:val="lef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严格控制煤炭消费。加强能耗“双控”管理，合理控制能源消费增量，优化能源消费结构，对“乌—昌—石”“奎—独—乌”等重点区域实施新建用煤项目等量或减量替代。合理控制煤电装机规模，有序淘汰煤电落后产能，推进燃煤电厂灵活性和供热改造。按照宜电则电、宜气则气的原则，继续推进“电气化新疆”建设，实施清洁能源行动计划，加快城乡结合部、农村民用和农业生产散烧煤的清洁能源替代，加大可再生能源消纳力度。稳步推进“煤改电”工程，拓展多种清洁供暖方式，提高清洁能源利用水平，暂不能通过清洁供暖替代散煤的地区，严禁使用劣质煤，可利用“洁净煤+节能环保炉具”替代散烧煤，或鼓励在小城镇和农村地区用户使用太阳能供暖系统。</w:t>
            </w:r>
          </w:p>
          <w:p w14:paraId="21F4BE23">
            <w:pPr>
              <w:keepNext w:val="0"/>
              <w:keepLines w:val="0"/>
              <w:pageBreakBefore w:val="0"/>
              <w:widowControl w:val="0"/>
              <w:kinsoku/>
              <w:wordWrap/>
              <w:topLinePunct w:val="0"/>
              <w:bidi w:val="0"/>
              <w:spacing w:line="480" w:lineRule="exact"/>
              <w:ind w:firstLine="480" w:firstLineChars="200"/>
              <w:jc w:val="both"/>
              <w:textAlignment w:val="auto"/>
              <w:rPr>
                <w:rFonts w:hint="default" w:ascii="Times New Roman" w:hAnsi="Times New Roman" w:eastAsia="宋体" w:cs="Times New Roman"/>
                <w:snapToGrid w:val="0"/>
                <w:color w:val="auto"/>
                <w:sz w:val="24"/>
                <w:szCs w:val="21"/>
                <w:highlight w:val="none"/>
                <w:lang w:val="en-US" w:eastAsia="zh-CN" w:bidi="ar-SA"/>
              </w:rPr>
            </w:pPr>
            <w:r>
              <w:rPr>
                <w:rFonts w:hint="default" w:ascii="Times New Roman" w:hAnsi="Times New Roman" w:eastAsia="宋体" w:cs="Times New Roman"/>
                <w:snapToGrid w:val="0"/>
                <w:color w:val="auto"/>
                <w:sz w:val="24"/>
                <w:szCs w:val="21"/>
                <w:highlight w:val="none"/>
                <w:lang w:val="en-US" w:eastAsia="zh-CN" w:bidi="ar-SA"/>
              </w:rPr>
              <w:t>加强恶臭、有毒有害大气污染物防控。加强工业臭气异味治理，开展无异味企业建设，加强垃圾处理、污水处理各环节和畜禽养殖场臭气异味控制，提升恶臭治理水平。加强垃圾焚烧二噁英污染监管。</w:t>
            </w:r>
          </w:p>
          <w:p w14:paraId="22CDB301">
            <w:pPr>
              <w:keepNext w:val="0"/>
              <w:keepLines w:val="0"/>
              <w:pageBreakBefore w:val="0"/>
              <w:widowControl w:val="0"/>
              <w:kinsoku/>
              <w:wordWrap/>
              <w:topLinePunct w:val="0"/>
              <w:bidi w:val="0"/>
              <w:spacing w:line="480" w:lineRule="exact"/>
              <w:ind w:firstLine="480" w:firstLineChars="200"/>
              <w:jc w:val="both"/>
              <w:textAlignment w:val="auto"/>
              <w:rPr>
                <w:rFonts w:hint="default" w:ascii="Times New Roman" w:hAnsi="Times New Roman" w:eastAsia="宋体" w:cs="Times New Roman"/>
                <w:snapToGrid w:val="0"/>
                <w:color w:val="auto"/>
                <w:sz w:val="24"/>
                <w:szCs w:val="21"/>
                <w:highlight w:val="none"/>
                <w:lang w:val="en-US" w:eastAsia="zh-CN" w:bidi="ar-SA"/>
              </w:rPr>
            </w:pPr>
            <w:r>
              <w:rPr>
                <w:rFonts w:hint="default" w:ascii="Times New Roman" w:hAnsi="Times New Roman" w:eastAsia="宋体" w:cs="Times New Roman"/>
                <w:snapToGrid w:val="0"/>
                <w:color w:val="auto"/>
                <w:sz w:val="24"/>
                <w:szCs w:val="21"/>
                <w:highlight w:val="none"/>
                <w:lang w:val="en-US" w:eastAsia="zh-CN" w:bidi="ar-SA"/>
              </w:rPr>
              <w:t>推进扬尘精细化管控。全面推行绿色施工，城市建成区建筑工地扬尘防控标准化管理全覆盖；加强城市道路清扫保洁和洒水抑尘，渣土车实施硬覆盖；推进低尘机械化作业水平，控制道路扬尘污染；强化非道路移动源综合治理；充分运用新型、高效的防尘、降尘、除尘技术，加强矿山粉尘治理。</w:t>
            </w:r>
          </w:p>
          <w:p w14:paraId="19F44E51">
            <w:pPr>
              <w:keepNext w:val="0"/>
              <w:keepLines w:val="0"/>
              <w:pageBreakBefore w:val="0"/>
              <w:widowControl w:val="0"/>
              <w:kinsoku/>
              <w:wordWrap/>
              <w:topLinePunct w:val="0"/>
              <w:bidi w:val="0"/>
              <w:spacing w:line="480" w:lineRule="exact"/>
              <w:ind w:firstLine="480" w:firstLineChars="200"/>
              <w:jc w:val="both"/>
              <w:textAlignment w:val="auto"/>
              <w:rPr>
                <w:rFonts w:hint="default" w:ascii="Times New Roman" w:hAnsi="Times New Roman" w:eastAsia="宋体" w:cs="Times New Roman"/>
                <w:snapToGrid w:val="0"/>
                <w:color w:val="auto"/>
                <w:sz w:val="24"/>
                <w:szCs w:val="21"/>
                <w:highlight w:val="none"/>
                <w:lang w:val="en-US" w:eastAsia="zh-CN" w:bidi="ar-SA"/>
              </w:rPr>
            </w:pPr>
            <w:r>
              <w:rPr>
                <w:rFonts w:hint="default" w:ascii="Times New Roman" w:hAnsi="Times New Roman" w:eastAsia="宋体" w:cs="Times New Roman"/>
                <w:snapToGrid w:val="0"/>
                <w:color w:val="auto"/>
                <w:sz w:val="24"/>
                <w:szCs w:val="21"/>
                <w:highlight w:val="none"/>
                <w:lang w:val="en-US" w:eastAsia="zh-CN" w:bidi="ar-SA"/>
              </w:rPr>
              <w:t>深入推进农业绿色转型，大力发展节水农业，持续推进化肥农药减量增效，实施秸秆综合利用和农膜、农药包装物回收行动，加强畜禽粪污资源化利用；开展农村人居环境整治提升行动，因地制宜推进农村厕所革命、生活垃圾分类和生活污水治理，建立健全农村环境基础设施长效管护机制。</w:t>
            </w:r>
          </w:p>
          <w:p w14:paraId="29B08F7C">
            <w:pPr>
              <w:keepNext w:val="0"/>
              <w:keepLines w:val="0"/>
              <w:pageBreakBefore w:val="0"/>
              <w:widowControl w:val="0"/>
              <w:kinsoku/>
              <w:wordWrap/>
              <w:topLinePunct w:val="0"/>
              <w:bidi w:val="0"/>
              <w:spacing w:line="480" w:lineRule="exact"/>
              <w:ind w:firstLine="480" w:firstLineChars="200"/>
              <w:jc w:val="both"/>
              <w:textAlignment w:val="auto"/>
              <w:rPr>
                <w:rFonts w:hint="default" w:ascii="Times New Roman" w:hAnsi="Times New Roman" w:eastAsia="宋体" w:cs="Times New Roman"/>
                <w:snapToGrid w:val="0"/>
                <w:color w:val="auto"/>
                <w:sz w:val="24"/>
                <w:szCs w:val="21"/>
                <w:highlight w:val="none"/>
                <w:lang w:val="en-US" w:eastAsia="zh-CN" w:bidi="ar-SA"/>
              </w:rPr>
            </w:pPr>
            <w:r>
              <w:rPr>
                <w:rFonts w:hint="default" w:ascii="Times New Roman" w:hAnsi="Times New Roman" w:eastAsia="宋体" w:cs="Times New Roman"/>
                <w:snapToGrid w:val="0"/>
                <w:color w:val="auto"/>
                <w:sz w:val="24"/>
                <w:szCs w:val="21"/>
                <w:highlight w:val="none"/>
                <w:lang w:val="en-US" w:eastAsia="zh-CN" w:bidi="ar-SA"/>
              </w:rPr>
              <w:t>本项目生产采用电加热，生活供热采用电采暖，不消耗燃煤等资源。</w:t>
            </w:r>
            <w:r>
              <w:rPr>
                <w:rFonts w:hint="default" w:ascii="Times New Roman" w:hAnsi="Times New Roman" w:eastAsia="宋体" w:cs="Times New Roman"/>
                <w:color w:val="0000FF"/>
                <w:highlight w:val="none"/>
                <w:lang w:val="en-US" w:eastAsia="zh-CN"/>
              </w:rPr>
              <w:t>本项目发酵恶臭废气设置</w:t>
            </w:r>
            <w:r>
              <w:rPr>
                <w:rFonts w:hint="default" w:ascii="Times New Roman" w:hAnsi="Times New Roman" w:eastAsia="宋体" w:cs="Times New Roman"/>
                <w:color w:val="0000FF"/>
                <w:lang w:val="en-US" w:eastAsia="zh-CN"/>
              </w:rPr>
              <w:t>集气罩+生物除臭塔（滴滤法）+15m排气筒</w:t>
            </w:r>
            <w:r>
              <w:rPr>
                <w:rFonts w:hint="eastAsia" w:cs="Times New Roman"/>
                <w:color w:val="0000FF"/>
                <w:lang w:val="en-US" w:eastAsia="zh-CN"/>
              </w:rPr>
              <w:t>（DA001）</w:t>
            </w:r>
            <w:r>
              <w:rPr>
                <w:rFonts w:hint="default" w:ascii="Times New Roman" w:hAnsi="Times New Roman" w:eastAsia="宋体" w:cs="Times New Roman"/>
                <w:color w:val="0000FF"/>
                <w:highlight w:val="none"/>
                <w:lang w:val="en-US" w:eastAsia="zh-CN"/>
              </w:rPr>
              <w:t>排放，满足《恶臭污染物排放标准》（GB14554-93）表2 恶臭污染物排放标准值；成品车间筛分、包装产生的粉尘均设置布袋除尘处理后经1根15m高排气筒</w:t>
            </w:r>
            <w:r>
              <w:rPr>
                <w:rFonts w:hint="eastAsia" w:cs="Times New Roman"/>
                <w:color w:val="0000FF"/>
                <w:lang w:val="en-US" w:eastAsia="zh-CN"/>
              </w:rPr>
              <w:t>（DA002）</w:t>
            </w:r>
            <w:r>
              <w:rPr>
                <w:rFonts w:hint="default" w:ascii="Times New Roman" w:hAnsi="Times New Roman" w:eastAsia="宋体" w:cs="Times New Roman"/>
                <w:color w:val="0000FF"/>
                <w:highlight w:val="none"/>
                <w:lang w:val="en-US" w:eastAsia="zh-CN"/>
              </w:rPr>
              <w:t>排放，满足《大气污染物综合排放标准》（GB16297-1996）表2中二级标准</w:t>
            </w:r>
            <w:r>
              <w:rPr>
                <w:rFonts w:hint="default" w:ascii="Times New Roman" w:hAnsi="Times New Roman" w:eastAsia="宋体" w:cs="Times New Roman"/>
                <w:snapToGrid w:val="0"/>
                <w:color w:val="auto"/>
                <w:sz w:val="24"/>
                <w:szCs w:val="21"/>
                <w:highlight w:val="none"/>
                <w:lang w:val="en-US" w:eastAsia="zh-CN" w:bidi="ar-SA"/>
              </w:rPr>
              <w:t>。本项目对畜禽粪便进行加工综合利用，能够有效加强畜禽粪污资源化利用。因此本项目符合《新疆生态环境保护“十四五”规划》。</w:t>
            </w:r>
          </w:p>
          <w:p w14:paraId="333CA478">
            <w:pPr>
              <w:keepNext w:val="0"/>
              <w:keepLines w:val="0"/>
              <w:pageBreakBefore w:val="0"/>
              <w:numPr>
                <w:ilvl w:val="0"/>
                <w:numId w:val="0"/>
              </w:numPr>
              <w:kinsoku/>
              <w:wordWrap/>
              <w:overflowPunct w:val="0"/>
              <w:topLinePunct w:val="0"/>
              <w:autoSpaceDE w:val="0"/>
              <w:autoSpaceDN w:val="0"/>
              <w:bidi w:val="0"/>
              <w:adjustRightInd w:val="0"/>
              <w:snapToGrid w:val="0"/>
              <w:spacing w:before="0" w:after="0" w:line="480" w:lineRule="exact"/>
              <w:ind w:right="0" w:rightChars="0"/>
              <w:jc w:val="both"/>
              <w:textAlignment w:val="auto"/>
              <w:rPr>
                <w:rFonts w:hint="default" w:ascii="Times New Roman" w:hAnsi="Times New Roman" w:eastAsia="宋体" w:cs="Times New Roman"/>
                <w:b/>
                <w:snapToGrid w:val="0"/>
                <w:color w:val="auto"/>
                <w:sz w:val="24"/>
                <w:szCs w:val="28"/>
                <w:highlight w:val="none"/>
                <w:lang w:val="en-US" w:eastAsia="zh-CN" w:bidi="ar-SA"/>
              </w:rPr>
            </w:pPr>
            <w:r>
              <w:rPr>
                <w:rFonts w:hint="default" w:ascii="Times New Roman" w:hAnsi="Times New Roman" w:eastAsia="宋体" w:cs="Times New Roman"/>
                <w:b/>
                <w:snapToGrid w:val="0"/>
                <w:color w:val="auto"/>
                <w:sz w:val="24"/>
                <w:szCs w:val="28"/>
                <w:highlight w:val="none"/>
                <w:lang w:val="en-US" w:eastAsia="zh-CN" w:bidi="ar-SA"/>
              </w:rPr>
              <w:t>6、《新疆维吾尔自治区环境保护条例》符合性分析</w:t>
            </w:r>
          </w:p>
          <w:p w14:paraId="60490C32">
            <w:pPr>
              <w:keepNext w:val="0"/>
              <w:keepLines w:val="0"/>
              <w:pageBreakBefore w:val="0"/>
              <w:numPr>
                <w:ilvl w:val="0"/>
                <w:numId w:val="0"/>
              </w:numPr>
              <w:kinsoku/>
              <w:wordWrap/>
              <w:overflowPunct w:val="0"/>
              <w:topLinePunct w:val="0"/>
              <w:autoSpaceDE w:val="0"/>
              <w:autoSpaceDN w:val="0"/>
              <w:bidi w:val="0"/>
              <w:adjustRightInd w:val="0"/>
              <w:snapToGrid w:val="0"/>
              <w:spacing w:before="0" w:after="0" w:line="480" w:lineRule="exact"/>
              <w:ind w:left="0" w:right="0" w:righ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各级人民政府应当采取措施，调整能源结构，淘汰落后产能，加强煤炭清洁高效利用，实施燃煤电厂超低排放和节能改造，鼓励开发利用低污染、无污染的清洁能源。</w:t>
            </w:r>
          </w:p>
          <w:p w14:paraId="7AA92553">
            <w:pPr>
              <w:keepNext w:val="0"/>
              <w:keepLines w:val="0"/>
              <w:pageBreakBefore w:val="0"/>
              <w:numPr>
                <w:ilvl w:val="0"/>
                <w:numId w:val="0"/>
              </w:numPr>
              <w:kinsoku/>
              <w:wordWrap/>
              <w:overflowPunct w:val="0"/>
              <w:topLinePunct w:val="0"/>
              <w:autoSpaceDE w:val="0"/>
              <w:autoSpaceDN w:val="0"/>
              <w:bidi w:val="0"/>
              <w:adjustRightInd w:val="0"/>
              <w:snapToGrid w:val="0"/>
              <w:spacing w:before="0" w:after="0" w:line="480" w:lineRule="exact"/>
              <w:ind w:left="0" w:right="0" w:righ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各级人民政府应当优先保护饮用水水源，加强重点流域、区域、近岸水域水污染防治和湖泊生态环境保护，严格控制缺水地区、水污染严重区域和敏感区域高耗水、高污染行业发展，改善水环境质量。</w:t>
            </w:r>
          </w:p>
          <w:p w14:paraId="01CBDA82">
            <w:pPr>
              <w:keepNext w:val="0"/>
              <w:keepLines w:val="0"/>
              <w:pageBreakBefore w:val="0"/>
              <w:numPr>
                <w:ilvl w:val="0"/>
                <w:numId w:val="0"/>
              </w:numPr>
              <w:kinsoku/>
              <w:wordWrap/>
              <w:overflowPunct w:val="0"/>
              <w:topLinePunct w:val="0"/>
              <w:autoSpaceDE w:val="0"/>
              <w:autoSpaceDN w:val="0"/>
              <w:bidi w:val="0"/>
              <w:adjustRightInd w:val="0"/>
              <w:snapToGrid w:val="0"/>
              <w:spacing w:before="0" w:after="0" w:line="480" w:lineRule="exact"/>
              <w:ind w:left="0" w:right="0" w:righ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各级人民政府应当加强农业污染源的监测预警，促进农业环境保护新技术的使用，推广沼气、秸秆固化等清洁能源，推行生物防治、无公害防治措施，合理使用化肥农药，发展生态农业，科学处置农业废弃物，及时回收利用废旧农田地膜，防止农业面源污染。</w:t>
            </w:r>
          </w:p>
          <w:p w14:paraId="1EB7C99D">
            <w:pPr>
              <w:keepNext w:val="0"/>
              <w:keepLines w:val="0"/>
              <w:pageBreakBefore w:val="0"/>
              <w:numPr>
                <w:ilvl w:val="0"/>
                <w:numId w:val="0"/>
              </w:numPr>
              <w:kinsoku/>
              <w:wordWrap/>
              <w:overflowPunct w:val="0"/>
              <w:topLinePunct w:val="0"/>
              <w:autoSpaceDE w:val="0"/>
              <w:autoSpaceDN w:val="0"/>
              <w:bidi w:val="0"/>
              <w:adjustRightInd w:val="0"/>
              <w:snapToGrid w:val="0"/>
              <w:spacing w:before="0" w:after="0" w:line="480" w:lineRule="exact"/>
              <w:ind w:left="0" w:right="0" w:righ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生产仅使用电能，不消耗燃煤，本项目不属于高耗水、高污染行业，运营期间不涉及生产、生活用水，生产车间筛分、包装大气污染物颗粒物分别配套袋式除尘，处理后能满足《大气污染物综合排放标准》（GB16297-1996）表2中颗粒物最高允许排放浓度；</w:t>
            </w:r>
            <w:r>
              <w:rPr>
                <w:rFonts w:hint="default" w:ascii="Times New Roman" w:hAnsi="Times New Roman" w:eastAsia="宋体" w:cs="Times New Roman"/>
                <w:snapToGrid w:val="0"/>
                <w:color w:val="auto"/>
                <w:sz w:val="24"/>
                <w:szCs w:val="21"/>
                <w:highlight w:val="none"/>
                <w:lang w:val="en-US" w:eastAsia="zh-CN" w:bidi="ar-SA"/>
              </w:rPr>
              <w:t>发酵产生的恶臭污染物经生物除臭控制+15m排气筒有组织排放，能够满足《恶臭污染物排放标准》（GB14554-1993）排放限值，</w:t>
            </w:r>
            <w:r>
              <w:rPr>
                <w:rFonts w:hint="default" w:ascii="Times New Roman" w:hAnsi="Times New Roman" w:eastAsia="宋体" w:cs="Times New Roman"/>
                <w:color w:val="auto"/>
                <w:sz w:val="24"/>
                <w:szCs w:val="24"/>
                <w:highlight w:val="none"/>
                <w:lang w:val="en-US" w:eastAsia="zh-CN"/>
              </w:rPr>
              <w:t>本项目属于</w:t>
            </w:r>
            <w:r>
              <w:rPr>
                <w:rFonts w:hint="default" w:ascii="Times New Roman" w:hAnsi="Times New Roman" w:eastAsia="宋体" w:cs="Times New Roman"/>
                <w:snapToGrid w:val="0"/>
                <w:color w:val="auto"/>
                <w:sz w:val="24"/>
                <w:szCs w:val="21"/>
                <w:highlight w:val="none"/>
                <w:lang w:val="en-US" w:eastAsia="zh-CN" w:bidi="ar-SA"/>
              </w:rPr>
              <w:t>畜禽粪便综合利用项目，能够有效替代化肥，减少农业面源污染，</w:t>
            </w:r>
            <w:r>
              <w:rPr>
                <w:rFonts w:hint="default" w:ascii="Times New Roman" w:hAnsi="Times New Roman" w:eastAsia="宋体" w:cs="Times New Roman"/>
                <w:color w:val="auto"/>
                <w:sz w:val="24"/>
                <w:szCs w:val="24"/>
                <w:highlight w:val="none"/>
                <w:lang w:val="en-US" w:eastAsia="zh-CN"/>
              </w:rPr>
              <w:t>符合《新疆维吾尔自治区环境保护条例》相关要求。</w:t>
            </w:r>
          </w:p>
          <w:p w14:paraId="750BCB71">
            <w:pPr>
              <w:keepNext w:val="0"/>
              <w:keepLines w:val="0"/>
              <w:pageBreakBefore w:val="0"/>
              <w:numPr>
                <w:ilvl w:val="0"/>
                <w:numId w:val="0"/>
              </w:numPr>
              <w:kinsoku/>
              <w:wordWrap/>
              <w:overflowPunct w:val="0"/>
              <w:topLinePunct w:val="0"/>
              <w:autoSpaceDE w:val="0"/>
              <w:autoSpaceDN w:val="0"/>
              <w:bidi w:val="0"/>
              <w:adjustRightInd w:val="0"/>
              <w:snapToGrid w:val="0"/>
              <w:spacing w:before="0" w:after="0" w:line="480" w:lineRule="exact"/>
              <w:ind w:right="0" w:rightChars="0"/>
              <w:jc w:val="both"/>
              <w:textAlignment w:val="auto"/>
              <w:rPr>
                <w:rFonts w:hint="default" w:ascii="Times New Roman" w:hAnsi="Times New Roman" w:eastAsia="宋体" w:cs="Times New Roman"/>
                <w:b/>
                <w:color w:val="auto"/>
                <w:sz w:val="24"/>
                <w:szCs w:val="28"/>
                <w:highlight w:val="none"/>
                <w:lang w:val="en-US" w:eastAsia="zh-CN" w:bidi="ar-SA"/>
              </w:rPr>
            </w:pPr>
            <w:r>
              <w:rPr>
                <w:rFonts w:hint="default" w:ascii="Times New Roman" w:hAnsi="Times New Roman" w:eastAsia="宋体" w:cs="Times New Roman"/>
                <w:b/>
                <w:color w:val="auto"/>
                <w:sz w:val="24"/>
                <w:szCs w:val="28"/>
                <w:highlight w:val="none"/>
                <w:lang w:val="en-US" w:eastAsia="zh-CN" w:bidi="ar-SA"/>
              </w:rPr>
              <w:t>7、《关于开展自治区2022年度夏秋季大气污染防治“冬病夏治”工作的通知》（新环大气发[2022]483号）符合性分析</w:t>
            </w:r>
          </w:p>
          <w:p w14:paraId="40EBAC85">
            <w:pPr>
              <w:keepNext w:val="0"/>
              <w:keepLines w:val="0"/>
              <w:pageBreakBefore w:val="0"/>
              <w:widowControl w:val="0"/>
              <w:kinsoku/>
              <w:wordWrap/>
              <w:overflowPunct/>
              <w:topLinePunct w:val="0"/>
              <w:autoSpaceDE/>
              <w:autoSpaceDN/>
              <w:bidi w:val="0"/>
              <w:adjustRightInd/>
              <w:snapToGrid/>
              <w:spacing w:after="120" w:line="480" w:lineRule="exact"/>
              <w:ind w:left="0" w:leftChars="0" w:firstLine="480" w:firstLineChars="200"/>
              <w:jc w:val="both"/>
              <w:textAlignment w:val="auto"/>
              <w:rPr>
                <w:rFonts w:hint="default" w:ascii="Times New Roman" w:hAnsi="Times New Roman" w:eastAsia="宋体" w:cs="Times New Roman"/>
                <w:color w:val="auto"/>
                <w:kern w:val="0"/>
                <w:sz w:val="24"/>
                <w:szCs w:val="22"/>
                <w:highlight w:val="none"/>
                <w:lang w:val="en-US" w:eastAsia="zh-CN" w:bidi="ar-SA"/>
              </w:rPr>
            </w:pPr>
            <w:r>
              <w:rPr>
                <w:rFonts w:hint="default" w:ascii="Times New Roman" w:hAnsi="Times New Roman" w:eastAsia="宋体" w:cs="Times New Roman"/>
                <w:color w:val="auto"/>
                <w:kern w:val="0"/>
                <w:sz w:val="24"/>
                <w:szCs w:val="22"/>
                <w:highlight w:val="none"/>
                <w:lang w:val="en-US" w:eastAsia="zh-CN" w:bidi="ar-SA"/>
              </w:rPr>
              <w:t>大力推进电能替代煤炭，积极稳妥推进以气代煤，因地制宜推进生物质等能源代煤，开展氢能源代煤示范。新、改、扩建加热炉、热处理炉、干燥炉、熔化炉，采用清洁低碳能源，不得使用煤炭等高污染燃料；现有使用高污染燃料的工业炉窑改用工业余热、电能、天然气等；使用煤气发生炉的企业采用清洁能源替代，或者采取园区（集群）集中供气、分散使用的方式，全面淘汰间歇式固定床煤气发生炉。建立全口径炉窑清单，推进实施“一炉一策”精细化管理。</w:t>
            </w:r>
          </w:p>
          <w:p w14:paraId="273E7716">
            <w:pPr>
              <w:keepNext w:val="0"/>
              <w:keepLines w:val="0"/>
              <w:pageBreakBefore w:val="0"/>
              <w:widowControl w:val="0"/>
              <w:kinsoku/>
              <w:wordWrap/>
              <w:topLinePunct w:val="0"/>
              <w:bidi w:val="0"/>
              <w:spacing w:line="480" w:lineRule="exact"/>
              <w:ind w:left="0" w:leftChars="0" w:firstLine="480" w:firstLineChars="0"/>
              <w:jc w:val="both"/>
              <w:textAlignment w:val="auto"/>
              <w:rPr>
                <w:rFonts w:hint="default" w:ascii="Times New Roman" w:hAnsi="Times New Roman" w:eastAsia="宋体" w:cs="Times New Roman"/>
                <w:color w:val="auto"/>
                <w:kern w:val="0"/>
                <w:sz w:val="24"/>
                <w:szCs w:val="22"/>
                <w:highlight w:val="none"/>
                <w:lang w:val="en-US" w:eastAsia="zh-CN" w:bidi="ar-SA"/>
              </w:rPr>
            </w:pPr>
            <w:r>
              <w:rPr>
                <w:rFonts w:hint="default" w:ascii="Times New Roman" w:hAnsi="Times New Roman" w:eastAsia="宋体" w:cs="Times New Roman"/>
                <w:color w:val="auto"/>
                <w:kern w:val="0"/>
                <w:sz w:val="24"/>
                <w:szCs w:val="22"/>
                <w:highlight w:val="none"/>
                <w:lang w:val="en-US" w:eastAsia="zh-CN" w:bidi="ar-SA"/>
              </w:rPr>
              <w:t>本项目</w:t>
            </w:r>
            <w:r>
              <w:rPr>
                <w:rFonts w:hint="default" w:ascii="Times New Roman" w:hAnsi="Times New Roman" w:eastAsia="宋体" w:cs="Times New Roman"/>
                <w:b w:val="0"/>
                <w:bCs w:val="0"/>
                <w:color w:val="auto"/>
                <w:kern w:val="2"/>
                <w:sz w:val="24"/>
                <w:szCs w:val="24"/>
                <w:lang w:val="en-US" w:eastAsia="zh-CN" w:bidi="ar-SA"/>
              </w:rPr>
              <w:t>生产采用电加热，生活供热采用电采暖，不使用煤炭等高污染燃料，</w:t>
            </w:r>
            <w:r>
              <w:rPr>
                <w:rFonts w:hint="default" w:ascii="Times New Roman" w:hAnsi="Times New Roman" w:eastAsia="宋体" w:cs="Times New Roman"/>
                <w:color w:val="auto"/>
                <w:sz w:val="24"/>
                <w:szCs w:val="24"/>
                <w:highlight w:val="none"/>
                <w:lang w:val="en-US" w:eastAsia="zh-CN" w:bidi="ar-SA"/>
              </w:rPr>
              <w:t>对周边大气环境影响较小。</w:t>
            </w:r>
            <w:r>
              <w:rPr>
                <w:rFonts w:hint="default" w:ascii="Times New Roman" w:hAnsi="Times New Roman" w:eastAsia="宋体" w:cs="Times New Roman"/>
                <w:color w:val="auto"/>
                <w:kern w:val="0"/>
                <w:sz w:val="24"/>
                <w:szCs w:val="22"/>
                <w:highlight w:val="none"/>
                <w:lang w:val="en-US" w:eastAsia="zh-CN" w:bidi="ar-SA"/>
              </w:rPr>
              <w:t>因此本项目满足《关于开展自治区2022年度夏秋季大气污染防治“冬病夏治”工作的通知》（新环大气发[2022]483号）要求。</w:t>
            </w:r>
          </w:p>
          <w:p w14:paraId="13DD9433">
            <w:pPr>
              <w:keepNext w:val="0"/>
              <w:keepLines w:val="0"/>
              <w:pageBreakBefore w:val="0"/>
              <w:widowControl w:val="0"/>
              <w:kinsoku/>
              <w:wordWrap/>
              <w:overflowPunct w:val="0"/>
              <w:topLinePunct w:val="0"/>
              <w:autoSpaceDE w:val="0"/>
              <w:autoSpaceDN w:val="0"/>
              <w:bidi w:val="0"/>
              <w:adjustRightInd w:val="0"/>
              <w:snapToGrid w:val="0"/>
              <w:spacing w:before="0" w:after="0" w:line="480" w:lineRule="exact"/>
              <w:ind w:right="0"/>
              <w:jc w:val="left"/>
              <w:textAlignment w:val="auto"/>
              <w:outlineLvl w:val="1"/>
              <w:rPr>
                <w:rFonts w:hint="default" w:ascii="Times New Roman" w:hAnsi="Times New Roman" w:eastAsia="宋体" w:cs="Times New Roman"/>
                <w:b/>
                <w:color w:val="auto"/>
                <w:sz w:val="24"/>
                <w:szCs w:val="28"/>
                <w:highlight w:val="none"/>
                <w:lang w:val="en-US" w:eastAsia="zh-CN" w:bidi="ar-SA"/>
              </w:rPr>
            </w:pPr>
            <w:r>
              <w:rPr>
                <w:rFonts w:hint="default" w:ascii="Times New Roman" w:hAnsi="Times New Roman" w:eastAsia="宋体" w:cs="Times New Roman"/>
                <w:b/>
                <w:color w:val="auto"/>
                <w:sz w:val="24"/>
                <w:szCs w:val="28"/>
                <w:highlight w:val="none"/>
                <w:lang w:val="en-US" w:eastAsia="zh-CN" w:bidi="ar-SA"/>
              </w:rPr>
              <w:t>8、与《新疆维吾尔自治区大气污染防治条例》符合性分析</w:t>
            </w:r>
          </w:p>
          <w:p w14:paraId="0103897B">
            <w:pPr>
              <w:keepNext w:val="0"/>
              <w:keepLines w:val="0"/>
              <w:pageBreakBefore w:val="0"/>
              <w:numPr>
                <w:ilvl w:val="0"/>
                <w:numId w:val="0"/>
              </w:numPr>
              <w:kinsoku/>
              <w:wordWrap/>
              <w:overflowPunct w:val="0"/>
              <w:topLinePunct w:val="0"/>
              <w:autoSpaceDE w:val="0"/>
              <w:autoSpaceDN w:val="0"/>
              <w:bidi w:val="0"/>
              <w:adjustRightInd w:val="0"/>
              <w:snapToGrid w:val="0"/>
              <w:spacing w:before="0" w:after="0" w:line="480" w:lineRule="exact"/>
              <w:ind w:left="0" w:right="0" w:rightChars="0" w:firstLine="480" w:firstLineChars="20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 xml:space="preserve">禁止在自治区行政区域内引进能（水）耗不符合相关国家标准中准入值要求且污染物排放和环境风险防控不符合国家（地方）标准及有关产业准入条件的高污染（排放）、高能（水）耗、高环境风险的工业项目。 </w:t>
            </w:r>
          </w:p>
          <w:p w14:paraId="2161228A">
            <w:pPr>
              <w:keepNext w:val="0"/>
              <w:keepLines w:val="0"/>
              <w:pageBreakBefore w:val="0"/>
              <w:numPr>
                <w:ilvl w:val="0"/>
                <w:numId w:val="0"/>
              </w:numPr>
              <w:kinsoku/>
              <w:wordWrap/>
              <w:overflowPunct w:val="0"/>
              <w:topLinePunct w:val="0"/>
              <w:autoSpaceDE w:val="0"/>
              <w:autoSpaceDN w:val="0"/>
              <w:bidi w:val="0"/>
              <w:adjustRightInd w:val="0"/>
              <w:snapToGrid w:val="0"/>
              <w:spacing w:before="0" w:after="0" w:line="480" w:lineRule="exact"/>
              <w:ind w:left="0" w:right="0" w:rightChars="0" w:firstLine="480" w:firstLineChars="20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禁止新建、改建、扩建列入淘汰类目录的高污染工业项目。禁止使用列入淘汰类目录的工艺、设备、产品。</w:t>
            </w:r>
          </w:p>
          <w:p w14:paraId="24446D7F">
            <w:pPr>
              <w:keepNext w:val="0"/>
              <w:keepLines w:val="0"/>
              <w:pageBreakBefore w:val="0"/>
              <w:numPr>
                <w:ilvl w:val="0"/>
                <w:numId w:val="0"/>
              </w:numPr>
              <w:kinsoku/>
              <w:wordWrap/>
              <w:overflowPunct w:val="0"/>
              <w:topLinePunct w:val="0"/>
              <w:autoSpaceDE w:val="0"/>
              <w:autoSpaceDN w:val="0"/>
              <w:bidi w:val="0"/>
              <w:adjustRightInd w:val="0"/>
              <w:snapToGrid w:val="0"/>
              <w:spacing w:before="0" w:after="0" w:line="480" w:lineRule="exact"/>
              <w:ind w:left="0" w:right="0" w:rightChars="0" w:firstLine="480" w:firstLineChars="20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县（市、区）人民政府应当加强对畜禽养殖废弃物综合利用和无害化处理的宣传，建设畜禽粪便和尸体无害化集中处理设施，引导规模以下畜禽养殖者集中处置养殖废弃物，防止排放恶臭气体。</w:t>
            </w:r>
          </w:p>
          <w:p w14:paraId="58F82CAD">
            <w:pPr>
              <w:keepNext w:val="0"/>
              <w:keepLines w:val="0"/>
              <w:pageBreakBefore w:val="0"/>
              <w:numPr>
                <w:ilvl w:val="0"/>
                <w:numId w:val="0"/>
              </w:numPr>
              <w:kinsoku/>
              <w:wordWrap/>
              <w:overflowPunct w:val="0"/>
              <w:topLinePunct w:val="0"/>
              <w:autoSpaceDE w:val="0"/>
              <w:autoSpaceDN w:val="0"/>
              <w:bidi w:val="0"/>
              <w:adjustRightInd w:val="0"/>
              <w:snapToGrid w:val="0"/>
              <w:spacing w:before="0" w:after="0" w:line="480" w:lineRule="exact"/>
              <w:ind w:left="0" w:right="0" w:rightChars="0" w:firstLine="480" w:firstLineChars="20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kern w:val="0"/>
                <w:sz w:val="24"/>
                <w:szCs w:val="22"/>
                <w:highlight w:val="none"/>
                <w:lang w:val="en-US" w:eastAsia="zh-CN" w:bidi="ar-SA"/>
              </w:rPr>
              <w:t>项目用电由市政电网供应，</w:t>
            </w:r>
            <w:r>
              <w:rPr>
                <w:rFonts w:hint="default" w:ascii="Times New Roman" w:hAnsi="Times New Roman" w:eastAsia="宋体" w:cs="Times New Roman"/>
                <w:color w:val="auto"/>
                <w:sz w:val="24"/>
                <w:szCs w:val="24"/>
                <w:highlight w:val="none"/>
                <w:lang w:val="en-US" w:eastAsia="zh-CN"/>
              </w:rPr>
              <w:t>运营期间不涉及生产、生活用水</w:t>
            </w:r>
            <w:r>
              <w:rPr>
                <w:rFonts w:hint="default" w:ascii="Times New Roman" w:hAnsi="Times New Roman" w:eastAsia="宋体" w:cs="Times New Roman"/>
                <w:color w:val="auto"/>
                <w:kern w:val="0"/>
                <w:sz w:val="24"/>
                <w:szCs w:val="22"/>
                <w:highlight w:val="none"/>
                <w:lang w:val="en-US" w:eastAsia="zh-CN" w:bidi="ar-SA"/>
              </w:rPr>
              <w:t>；</w:t>
            </w:r>
            <w:r>
              <w:rPr>
                <w:rFonts w:hint="default" w:ascii="Times New Roman" w:hAnsi="Times New Roman" w:eastAsia="宋体" w:cs="Times New Roman"/>
                <w:color w:val="0000FF"/>
                <w:highlight w:val="none"/>
                <w:lang w:val="en-US" w:eastAsia="zh-CN"/>
              </w:rPr>
              <w:t>本项目发酵恶臭废气设置</w:t>
            </w:r>
            <w:r>
              <w:rPr>
                <w:rFonts w:hint="default" w:ascii="Times New Roman" w:hAnsi="Times New Roman" w:eastAsia="宋体" w:cs="Times New Roman"/>
                <w:color w:val="0000FF"/>
                <w:lang w:val="en-US" w:eastAsia="zh-CN"/>
              </w:rPr>
              <w:t>集气罩+生物除臭塔（滴滤法）+15m排气筒</w:t>
            </w:r>
            <w:r>
              <w:rPr>
                <w:rFonts w:hint="eastAsia" w:cs="Times New Roman"/>
                <w:color w:val="0000FF"/>
                <w:lang w:val="en-US" w:eastAsia="zh-CN"/>
              </w:rPr>
              <w:t>（DA001）</w:t>
            </w:r>
            <w:r>
              <w:rPr>
                <w:rFonts w:hint="default" w:ascii="Times New Roman" w:hAnsi="Times New Roman" w:eastAsia="宋体" w:cs="Times New Roman"/>
                <w:color w:val="0000FF"/>
                <w:highlight w:val="none"/>
                <w:lang w:val="en-US" w:eastAsia="zh-CN"/>
              </w:rPr>
              <w:t>排放，满足《恶臭污染物排放标准》（GB14554-93）表2 恶臭污染物排放标准值；成品车间筛分、包装产生的粉尘均设置布袋除尘处理后经1根15m高排气筒</w:t>
            </w:r>
            <w:r>
              <w:rPr>
                <w:rFonts w:hint="eastAsia" w:cs="Times New Roman"/>
                <w:color w:val="0000FF"/>
                <w:lang w:val="en-US" w:eastAsia="zh-CN"/>
              </w:rPr>
              <w:t>（DA002）</w:t>
            </w:r>
            <w:r>
              <w:rPr>
                <w:rFonts w:hint="default" w:ascii="Times New Roman" w:hAnsi="Times New Roman" w:eastAsia="宋体" w:cs="Times New Roman"/>
                <w:color w:val="0000FF"/>
                <w:highlight w:val="none"/>
                <w:lang w:val="en-US" w:eastAsia="zh-CN"/>
              </w:rPr>
              <w:t>排放，满足《大气污染物综合排放标准》（GB16297-1996）表2中二级标准</w:t>
            </w:r>
            <w:r>
              <w:rPr>
                <w:rFonts w:hint="default" w:ascii="Times New Roman" w:hAnsi="Times New Roman" w:eastAsia="宋体" w:cs="Times New Roman"/>
                <w:color w:val="auto"/>
                <w:kern w:val="0"/>
                <w:sz w:val="24"/>
                <w:szCs w:val="22"/>
                <w:highlight w:val="none"/>
                <w:lang w:val="en-US" w:eastAsia="zh-CN" w:bidi="ar-SA"/>
              </w:rPr>
              <w:t>污染物排放量较小，不属于高污染、高能耗、高环境风险的项目。本项目生产工艺、设备、产品属于鼓励类产业。</w:t>
            </w:r>
            <w:r>
              <w:rPr>
                <w:rFonts w:hint="default" w:ascii="Times New Roman" w:hAnsi="Times New Roman" w:eastAsia="宋体" w:cs="Times New Roman"/>
                <w:color w:val="auto"/>
                <w:lang w:val="en-US" w:eastAsia="zh-CN"/>
              </w:rPr>
              <w:t>因此本项目符合《新疆维吾尔自治区大气污染防治条例》相关要求。</w:t>
            </w:r>
          </w:p>
          <w:p w14:paraId="0C0C4F3A">
            <w:pPr>
              <w:keepNext w:val="0"/>
              <w:keepLines w:val="0"/>
              <w:pageBreakBefore w:val="0"/>
              <w:widowControl w:val="0"/>
              <w:kinsoku/>
              <w:wordWrap/>
              <w:overflowPunct w:val="0"/>
              <w:topLinePunct w:val="0"/>
              <w:autoSpaceDE w:val="0"/>
              <w:autoSpaceDN w:val="0"/>
              <w:bidi w:val="0"/>
              <w:adjustRightInd w:val="0"/>
              <w:snapToGrid w:val="0"/>
              <w:spacing w:before="0" w:after="0" w:line="480" w:lineRule="exact"/>
              <w:ind w:right="0"/>
              <w:jc w:val="left"/>
              <w:textAlignment w:val="auto"/>
              <w:outlineLvl w:val="1"/>
              <w:rPr>
                <w:rFonts w:hint="default" w:ascii="Times New Roman" w:hAnsi="Times New Roman" w:eastAsia="宋体" w:cs="Times New Roman"/>
                <w:b/>
                <w:color w:val="0000FF"/>
                <w:sz w:val="24"/>
                <w:szCs w:val="28"/>
                <w:highlight w:val="none"/>
                <w:lang w:val="en-US" w:eastAsia="zh-CN" w:bidi="ar-SA"/>
              </w:rPr>
            </w:pPr>
            <w:r>
              <w:rPr>
                <w:rFonts w:hint="default" w:ascii="Times New Roman" w:hAnsi="Times New Roman" w:eastAsia="宋体" w:cs="Times New Roman"/>
                <w:b/>
                <w:color w:val="0000FF"/>
                <w:sz w:val="24"/>
                <w:szCs w:val="28"/>
                <w:highlight w:val="none"/>
                <w:lang w:val="en-US" w:eastAsia="zh-CN" w:bidi="ar-SA"/>
              </w:rPr>
              <w:t>9、《关于进一步加强乌鲁木齐、昌吉、石河子、五家渠区域环境同防同治区的意见》（新政办发〔2023〕29号）符合性分析</w:t>
            </w:r>
          </w:p>
          <w:p w14:paraId="383CB8E6">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0" w:after="0" w:line="480" w:lineRule="exact"/>
              <w:ind w:left="0" w:right="0" w:rightChars="0" w:firstLine="480" w:firstLineChars="200"/>
              <w:jc w:val="both"/>
              <w:textAlignment w:val="auto"/>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加快淘汰重点行业不符合环保要求的落后产能。严格执行节能、环保、质量、安全技术等相关法律法规和《产业结构调整指导目录》等政策，依法依规淘汰不符合绿色低碳转型发展要求的落后工艺技术和生产装置。对能效在基准水平以下，且难以在规定时限通过改造升级达到基准水平以上的产能，通过市场化方式、法治化手段推动其加快退出。加大钢铁、水泥、焦化、玻璃（光伏压延玻璃除外）、煤炭等行业落后产能淘汰力度。分类实施治理、搬迁、淘汰，取缔不符合国家产业政策的严重污染项目。</w:t>
            </w:r>
          </w:p>
          <w:p w14:paraId="1D211A85">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0" w:after="0" w:line="480" w:lineRule="exact"/>
              <w:ind w:left="0" w:right="0" w:rightChars="0" w:firstLine="480" w:firstLineChars="200"/>
              <w:jc w:val="both"/>
              <w:textAlignment w:val="auto"/>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严格污染物排放标准。全面执行《关于“乌-昌-石”区域执行大气污染物特别排放标准限值的公告》。</w:t>
            </w:r>
          </w:p>
          <w:p w14:paraId="490B826F">
            <w:pPr>
              <w:keepNext w:val="0"/>
              <w:keepLines w:val="0"/>
              <w:pageBreakBefore w:val="0"/>
              <w:numPr>
                <w:ilvl w:val="0"/>
                <w:numId w:val="0"/>
              </w:numPr>
              <w:kinsoku/>
              <w:wordWrap/>
              <w:overflowPunct w:val="0"/>
              <w:topLinePunct w:val="0"/>
              <w:autoSpaceDE w:val="0"/>
              <w:autoSpaceDN w:val="0"/>
              <w:bidi w:val="0"/>
              <w:adjustRightInd w:val="0"/>
              <w:snapToGrid w:val="0"/>
              <w:spacing w:before="0" w:after="0" w:line="480" w:lineRule="exact"/>
              <w:ind w:left="0" w:right="0" w:rightChars="0" w:firstLine="480" w:firstLineChars="200"/>
              <w:jc w:val="both"/>
              <w:textAlignment w:val="auto"/>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加强扬尘、餐饮油烟、恶臭异味治理力度。全面推行绿色施工，严格执行“六个百分之百”,将防治扬尘污染费用纳入工程造价,规模以上施工工地安装视频监控设施，并接入当地监管平台推进吸尘式机械化湿式清扫作业，到2025年，地级及以上城市建成区道路机械化清扫率达到80%，县城达到70%。对城市公共区域、长期未开发建设裸地,以及废旧厂区、物流园、大型停车场等进行排查建档并采取防尘措施。推进露天矿山综合整治，加强秸秆综合利用和禁烧，因地制宜推进秸秆肥料化、饲料化、燃料化、基料化和原料化利用，开展重点时段专项巡查，防止秸秆焚烧诱发区域性重污染天气。开展餐饮油烟、恶臭异味专项治理。</w:t>
            </w:r>
          </w:p>
          <w:p w14:paraId="4068BEAB">
            <w:pPr>
              <w:keepNext w:val="0"/>
              <w:keepLines w:val="0"/>
              <w:pageBreakBefore w:val="0"/>
              <w:widowControl w:val="0"/>
              <w:kinsoku/>
              <w:wordWrap/>
              <w:overflowPunct/>
              <w:topLinePunct w:val="0"/>
              <w:autoSpaceDE/>
              <w:autoSpaceDN/>
              <w:bidi w:val="0"/>
              <w:adjustRightInd w:val="0"/>
              <w:snapToGrid w:val="0"/>
              <w:spacing w:before="0" w:after="0" w:line="480" w:lineRule="exact"/>
              <w:ind w:left="0" w:right="0" w:firstLine="480" w:firstLineChars="200"/>
              <w:jc w:val="both"/>
              <w:textAlignment w:val="auto"/>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sz w:val="24"/>
                <w:szCs w:val="24"/>
                <w:highlight w:val="none"/>
                <w:lang w:val="en-US" w:eastAsia="zh-CN"/>
              </w:rPr>
              <w:t>本项目发酵过程产生的恶臭污染物氨、硫化氢</w:t>
            </w:r>
            <w:r>
              <w:rPr>
                <w:rFonts w:hint="default" w:ascii="Times New Roman" w:hAnsi="Times New Roman" w:eastAsia="宋体" w:cs="Times New Roman"/>
                <w:snapToGrid w:val="0"/>
                <w:color w:val="0000FF"/>
                <w:sz w:val="24"/>
                <w:szCs w:val="21"/>
                <w:highlight w:val="none"/>
                <w:lang w:val="en-US" w:eastAsia="zh-CN" w:bidi="ar-SA"/>
              </w:rPr>
              <w:t>经生物除臭+15m排气筒有组织排放，未收集部分采取喷洒除臭剂措施，控制后能够满足《恶臭污染物排放标准》（GB14554-1993）排放限值</w:t>
            </w:r>
            <w:r>
              <w:rPr>
                <w:rFonts w:hint="eastAsia" w:cs="Times New Roman"/>
                <w:snapToGrid w:val="0"/>
                <w:color w:val="0000FF"/>
                <w:sz w:val="24"/>
                <w:szCs w:val="21"/>
                <w:highlight w:val="none"/>
                <w:lang w:val="en-US" w:eastAsia="zh-CN" w:bidi="ar-SA"/>
              </w:rPr>
              <w:t>，</w:t>
            </w:r>
            <w:r>
              <w:rPr>
                <w:rFonts w:hint="eastAsia" w:cs="Times New Roman"/>
                <w:color w:val="0000FF"/>
                <w:sz w:val="24"/>
                <w:szCs w:val="24"/>
                <w:highlight w:val="none"/>
                <w:lang w:val="en-US" w:eastAsia="zh-CN"/>
              </w:rPr>
              <w:t>成品仓库采取全封闭措施，有效减少无组织粉尘的产生</w:t>
            </w:r>
            <w:r>
              <w:rPr>
                <w:rFonts w:hint="default" w:ascii="Times New Roman" w:hAnsi="Times New Roman" w:eastAsia="宋体" w:cs="Times New Roman"/>
                <w:snapToGrid w:val="0"/>
                <w:color w:val="0000FF"/>
                <w:sz w:val="24"/>
                <w:szCs w:val="21"/>
                <w:highlight w:val="none"/>
                <w:lang w:val="en-US" w:eastAsia="zh-CN" w:bidi="ar-SA"/>
              </w:rPr>
              <w:t>。</w:t>
            </w:r>
            <w:r>
              <w:rPr>
                <w:rFonts w:hint="default" w:ascii="Times New Roman" w:hAnsi="Times New Roman" w:eastAsia="宋体" w:cs="Times New Roman"/>
                <w:color w:val="0000FF"/>
                <w:lang w:val="en-US" w:eastAsia="zh-CN"/>
              </w:rPr>
              <w:t>因此符合《关于进一步加强乌鲁木齐、昌吉、石河子、五家渠区域环境同防同治区的意见》（新政办发〔2023〕29号）。</w:t>
            </w:r>
          </w:p>
          <w:p w14:paraId="6D45C8B1">
            <w:pPr>
              <w:keepNext w:val="0"/>
              <w:keepLines w:val="0"/>
              <w:pageBreakBefore w:val="0"/>
              <w:numPr>
                <w:ilvl w:val="0"/>
                <w:numId w:val="0"/>
              </w:numPr>
              <w:kinsoku/>
              <w:wordWrap/>
              <w:overflowPunct w:val="0"/>
              <w:topLinePunct w:val="0"/>
              <w:autoSpaceDE w:val="0"/>
              <w:autoSpaceDN w:val="0"/>
              <w:bidi w:val="0"/>
              <w:adjustRightInd w:val="0"/>
              <w:snapToGrid w:val="0"/>
              <w:spacing w:before="0" w:after="0" w:line="480" w:lineRule="exact"/>
              <w:ind w:right="0" w:rightChars="0"/>
              <w:jc w:val="both"/>
              <w:textAlignment w:val="auto"/>
              <w:rPr>
                <w:rFonts w:hint="default" w:ascii="Times New Roman" w:hAnsi="Times New Roman" w:eastAsia="宋体" w:cs="Times New Roman"/>
                <w:color w:val="auto"/>
                <w:sz w:val="22"/>
                <w:szCs w:val="21"/>
                <w:highlight w:val="yellow"/>
                <w:lang w:val="en-US" w:eastAsia="zh-CN"/>
              </w:rPr>
            </w:pPr>
            <w:r>
              <w:rPr>
                <w:rFonts w:hint="default" w:ascii="Times New Roman" w:hAnsi="Times New Roman" w:eastAsia="宋体" w:cs="Times New Roman"/>
                <w:b/>
                <w:snapToGrid w:val="0"/>
                <w:color w:val="auto"/>
                <w:sz w:val="24"/>
                <w:szCs w:val="28"/>
                <w:highlight w:val="none"/>
                <w:lang w:val="en-US" w:eastAsia="zh-CN" w:bidi="ar-SA"/>
              </w:rPr>
              <w:t>10、《关于开展昌吉州2022年度夏秋季大气污染防治“冬病夏治”有关工作的通知》（昌州环委办发[2022]18号）符合性分析</w:t>
            </w:r>
          </w:p>
          <w:p w14:paraId="00FF8F64">
            <w:pPr>
              <w:keepNext w:val="0"/>
              <w:keepLines w:val="0"/>
              <w:pageBreakBefore w:val="0"/>
              <w:numPr>
                <w:ilvl w:val="0"/>
                <w:numId w:val="0"/>
              </w:numPr>
              <w:kinsoku/>
              <w:wordWrap/>
              <w:overflowPunct w:val="0"/>
              <w:topLinePunct w:val="0"/>
              <w:autoSpaceDE w:val="0"/>
              <w:autoSpaceDN w:val="0"/>
              <w:bidi w:val="0"/>
              <w:adjustRightInd w:val="0"/>
              <w:snapToGrid w:val="0"/>
              <w:spacing w:before="0" w:after="0" w:line="480" w:lineRule="exact"/>
              <w:ind w:left="0" w:right="0" w:rightChars="0" w:firstLine="480" w:firstLineChars="20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全面推进“乌昌石”区域4县市2园区钢铁、有色金属、煤化工等行业实行深度治理，按照2023年底前达到绩效分级B级的要求，制定提升计划，并报州生态环境局备案。有序推动水泥、焦化行业超低排放改造，推进燃煤自备电厂、平板玻璃、耐火材料、金属冶炼、砖瓦窑、陶瓷、碳素、石灰等行业全面稳定达标排放。针对铸造、铁合金、焦化、水泥、砖瓦、石灰、耐火材料、金属冶炼以及煤化工、石油化工等行业，严格控制物料储存、输送及生产工艺过程无组织排放。</w:t>
            </w:r>
          </w:p>
          <w:p w14:paraId="42B18DB7">
            <w:pPr>
              <w:keepNext w:val="0"/>
              <w:keepLines w:val="0"/>
              <w:pageBreakBefore w:val="0"/>
              <w:widowControl w:val="0"/>
              <w:kinsoku/>
              <w:wordWrap/>
              <w:overflowPunct/>
              <w:topLinePunct w:val="0"/>
              <w:autoSpaceDE/>
              <w:autoSpaceDN/>
              <w:bidi w:val="0"/>
              <w:adjustRightInd w:val="0"/>
              <w:snapToGrid w:val="0"/>
              <w:spacing w:before="0" w:after="0" w:line="480" w:lineRule="exact"/>
              <w:ind w:right="0" w:firstLine="480" w:firstLineChars="20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各相关县市、园区要按照《关于进一步做好工业炉窑综合治理工作的通知》（昌州环发[2022]62号）文件要求，加大燃料清洁低碳化替代，加大工业炉窑综合治理工作。大力推进电能替代煤炭，积极稳妥推进以气代煤，因地制宜推进生物质等能源代煤，开展氢能源代煤示范。重点区域新、改、扩建加热炉热处理炉、干燥炉、熔化炉采用清洁低碳能源，不得使用煤炭等高污染燃料；现有使用高污染燃料的工业炉窑改用工业余热、电能、天然气等；使用煤气发生炉的企业采用清洁能源替代，或者采取园区(集群)集中供气、分散使用的方式，全面淘汰间歇式固定床煤气发生炉。建立全口径炉窑清单，推进实施“一炉一策”精细化管理。工业炉窑清洁能源替代任务自2022年开始，每年完成任务总量的三分之一以上，到 2024年全部完成。</w:t>
            </w:r>
          </w:p>
          <w:p w14:paraId="4CEF4757">
            <w:pPr>
              <w:keepNext w:val="0"/>
              <w:keepLines w:val="0"/>
              <w:pageBreakBefore w:val="0"/>
              <w:widowControl w:val="0"/>
              <w:kinsoku/>
              <w:wordWrap/>
              <w:overflowPunct/>
              <w:topLinePunct w:val="0"/>
              <w:autoSpaceDE/>
              <w:autoSpaceDN/>
              <w:bidi w:val="0"/>
              <w:adjustRightInd w:val="0"/>
              <w:snapToGrid w:val="0"/>
              <w:spacing w:before="0" w:after="0" w:line="480" w:lineRule="exact"/>
              <w:ind w:right="0" w:firstLine="480" w:firstLineChars="20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本项目加强车辆管理，筛分、包装工段加强封闭式作业，成品设置封闭式仓库，能够有效减少颗粒物无组织排放，本项目生产不涉及供热，生活供热采用电采暖</w:t>
            </w:r>
            <w:r>
              <w:rPr>
                <w:rFonts w:hint="default" w:ascii="Times New Roman" w:hAnsi="Times New Roman" w:eastAsia="宋体" w:cs="Times New Roman"/>
                <w:b w:val="0"/>
                <w:bCs w:val="0"/>
                <w:color w:val="auto"/>
                <w:kern w:val="2"/>
                <w:sz w:val="24"/>
                <w:szCs w:val="24"/>
                <w:lang w:val="en-US" w:eastAsia="zh-CN" w:bidi="ar-SA"/>
              </w:rPr>
              <w:t>，不使用煤炭等高污染燃料</w:t>
            </w:r>
            <w:r>
              <w:rPr>
                <w:rFonts w:hint="default" w:ascii="Times New Roman" w:hAnsi="Times New Roman" w:eastAsia="宋体" w:cs="Times New Roman"/>
                <w:color w:val="auto"/>
                <w:kern w:val="0"/>
                <w:sz w:val="24"/>
                <w:szCs w:val="22"/>
                <w:highlight w:val="none"/>
                <w:lang w:val="en-US" w:eastAsia="zh-CN" w:bidi="ar-SA"/>
              </w:rPr>
              <w:t>。</w:t>
            </w:r>
            <w:r>
              <w:rPr>
                <w:rFonts w:hint="default" w:ascii="Times New Roman" w:hAnsi="Times New Roman" w:eastAsia="宋体" w:cs="Times New Roman"/>
                <w:color w:val="auto"/>
                <w:lang w:val="en-US" w:eastAsia="zh-CN"/>
              </w:rPr>
              <w:t>因此符合《关于开展昌吉州2022年度夏秋季大气污染防治“冬病夏治”有关工作的通知》（昌州环委办发[2022]18号）相关要求。</w:t>
            </w:r>
          </w:p>
          <w:p w14:paraId="42CF48B3">
            <w:pPr>
              <w:keepNext w:val="0"/>
              <w:keepLines w:val="0"/>
              <w:pageBreakBefore w:val="0"/>
              <w:kinsoku/>
              <w:wordWrap/>
              <w:topLinePunct w:val="0"/>
              <w:bidi w:val="0"/>
              <w:spacing w:line="480" w:lineRule="exact"/>
              <w:textAlignment w:val="auto"/>
              <w:rPr>
                <w:rFonts w:hint="default" w:ascii="Times New Roman" w:hAnsi="Times New Roman" w:eastAsia="宋体" w:cs="Times New Roman"/>
                <w:b/>
                <w:snapToGrid w:val="0"/>
                <w:color w:val="auto"/>
                <w:sz w:val="24"/>
                <w:szCs w:val="28"/>
                <w:lang w:val="en-US" w:eastAsia="zh-CN" w:bidi="ar-SA"/>
              </w:rPr>
            </w:pPr>
            <w:r>
              <w:rPr>
                <w:rFonts w:hint="default" w:ascii="Times New Roman" w:hAnsi="Times New Roman" w:eastAsia="宋体" w:cs="Times New Roman"/>
                <w:b/>
                <w:snapToGrid w:val="0"/>
                <w:color w:val="auto"/>
                <w:sz w:val="24"/>
                <w:szCs w:val="28"/>
                <w:lang w:val="en-US" w:eastAsia="zh-CN" w:bidi="ar-SA"/>
              </w:rPr>
              <w:t>11、《昌吉州国民经济和社会发展“十四五”规划及2035远景目标》的符合性分析</w:t>
            </w:r>
          </w:p>
          <w:p w14:paraId="248DBE45">
            <w:pPr>
              <w:keepNext w:val="0"/>
              <w:keepLines w:val="0"/>
              <w:pageBreakBefore w:val="0"/>
              <w:widowControl w:val="0"/>
              <w:kinsoku/>
              <w:wordWrap/>
              <w:overflowPunct/>
              <w:topLinePunct w:val="0"/>
              <w:autoSpaceDE/>
              <w:autoSpaceDN/>
              <w:bidi w:val="0"/>
              <w:adjustRightInd w:val="0"/>
              <w:snapToGrid w:val="0"/>
              <w:spacing w:before="0" w:after="0" w:line="480" w:lineRule="exact"/>
              <w:ind w:right="0" w:firstLine="480" w:firstLineChars="20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加强农业废弃物资源化利用。大力推广标准地膜，稳步推进可降解地膜示范应用，健全农田废旧地膜回收加工体系。推广畜禽粪污全量收集还田、污水肥料化利用等模式。加强农作物秸秆、果树枝条，果壳等农业废弃物饲料化、肥料化利用，推广玉米全株青贮。</w:t>
            </w:r>
          </w:p>
          <w:p w14:paraId="079D58C1">
            <w:pPr>
              <w:keepNext w:val="0"/>
              <w:keepLines w:val="0"/>
              <w:pageBreakBefore w:val="0"/>
              <w:widowControl w:val="0"/>
              <w:kinsoku/>
              <w:wordWrap/>
              <w:overflowPunct/>
              <w:topLinePunct w:val="0"/>
              <w:autoSpaceDE/>
              <w:autoSpaceDN/>
              <w:bidi w:val="0"/>
              <w:adjustRightInd w:val="0"/>
              <w:snapToGrid w:val="0"/>
              <w:spacing w:before="0" w:after="0" w:line="480" w:lineRule="exact"/>
              <w:ind w:right="0" w:firstLine="480" w:firstLineChars="20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本项目为有机肥生产，对鸡粪进行资源化利用，符合《昌吉州国民经济和社会发展“十四五”规划及2035远景目标》中的相关要求。</w:t>
            </w:r>
          </w:p>
          <w:p w14:paraId="38AFB5F8">
            <w:pPr>
              <w:keepNext w:val="0"/>
              <w:keepLines w:val="0"/>
              <w:pageBreakBefore w:val="0"/>
              <w:numPr>
                <w:ilvl w:val="0"/>
                <w:numId w:val="0"/>
              </w:numPr>
              <w:kinsoku/>
              <w:wordWrap/>
              <w:overflowPunct w:val="0"/>
              <w:topLinePunct w:val="0"/>
              <w:autoSpaceDE w:val="0"/>
              <w:autoSpaceDN w:val="0"/>
              <w:bidi w:val="0"/>
              <w:adjustRightInd w:val="0"/>
              <w:snapToGrid w:val="0"/>
              <w:spacing w:before="0" w:after="0" w:line="480" w:lineRule="exact"/>
              <w:ind w:right="0" w:rightChars="0"/>
              <w:jc w:val="both"/>
              <w:textAlignment w:val="auto"/>
              <w:rPr>
                <w:rFonts w:hint="default" w:ascii="Times New Roman" w:hAnsi="Times New Roman" w:eastAsia="宋体" w:cs="Times New Roman"/>
                <w:b/>
                <w:snapToGrid w:val="0"/>
                <w:color w:val="auto"/>
                <w:sz w:val="24"/>
                <w:szCs w:val="28"/>
                <w:lang w:val="en-US" w:eastAsia="zh-CN" w:bidi="ar-SA"/>
              </w:rPr>
            </w:pPr>
            <w:r>
              <w:rPr>
                <w:rFonts w:hint="default" w:ascii="Times New Roman" w:hAnsi="Times New Roman" w:eastAsia="宋体" w:cs="Times New Roman"/>
                <w:b/>
                <w:snapToGrid w:val="0"/>
                <w:color w:val="auto"/>
                <w:sz w:val="24"/>
                <w:szCs w:val="28"/>
                <w:lang w:val="en-US" w:eastAsia="zh-CN" w:bidi="ar-SA"/>
              </w:rPr>
              <w:t xml:space="preserve">12、《“十四五”全国农业绿色发展规划》（农规发[2021]8号）符合性分析 </w:t>
            </w:r>
          </w:p>
          <w:p w14:paraId="27EA202D">
            <w:pPr>
              <w:keepNext w:val="0"/>
              <w:keepLines w:val="0"/>
              <w:pageBreakBefore w:val="0"/>
              <w:widowControl w:val="0"/>
              <w:kinsoku/>
              <w:wordWrap/>
              <w:overflowPunct/>
              <w:topLinePunct w:val="0"/>
              <w:autoSpaceDE/>
              <w:autoSpaceDN/>
              <w:bidi w:val="0"/>
              <w:adjustRightInd w:val="0"/>
              <w:snapToGrid w:val="0"/>
              <w:spacing w:before="0" w:after="0" w:line="480" w:lineRule="exact"/>
              <w:ind w:right="0" w:firstLine="480" w:firstLineChars="20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推进化肥减量增效。技术集成驱动，以化肥减量增效为重点，集成推广科学施肥技术。在粮食主产区、园艺作物优势产区和设施蔬菜集中产区，推广机械施肥、种肥同播等措施，示范推广缓释肥、水溶肥等新型肥料，改进施肥方式。有机肥替代推动，以果菜茶优势区为重点推动粪肥还田利用，减少化肥用量，增加优质绿色产品供给。引导地方加大投入，在更大范围推进有机肥替代化肥。</w:t>
            </w:r>
          </w:p>
          <w:p w14:paraId="2724F6B1">
            <w:pPr>
              <w:keepNext w:val="0"/>
              <w:keepLines w:val="0"/>
              <w:pageBreakBefore w:val="0"/>
              <w:widowControl w:val="0"/>
              <w:kinsoku/>
              <w:wordWrap/>
              <w:overflowPunct/>
              <w:topLinePunct w:val="0"/>
              <w:autoSpaceDE/>
              <w:autoSpaceDN/>
              <w:bidi w:val="0"/>
              <w:adjustRightInd w:val="0"/>
              <w:snapToGrid w:val="0"/>
              <w:spacing w:before="0" w:after="0" w:line="480" w:lineRule="exact"/>
              <w:ind w:right="0" w:firstLine="480" w:firstLineChars="20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本项目主要产品为有机肥，能够有效替代化肥。因此本项目符合“十四五”全国农业绿色发展规划》（农规发[2021]8号）相关要求。</w:t>
            </w:r>
          </w:p>
          <w:p w14:paraId="0E6D549E">
            <w:pPr>
              <w:keepNext w:val="0"/>
              <w:keepLines w:val="0"/>
              <w:pageBreakBefore w:val="0"/>
              <w:widowControl w:val="0"/>
              <w:kinsoku/>
              <w:wordWrap/>
              <w:overflowPunct/>
              <w:topLinePunct w:val="0"/>
              <w:autoSpaceDE/>
              <w:autoSpaceDN/>
              <w:bidi w:val="0"/>
              <w:adjustRightInd w:val="0"/>
              <w:snapToGrid w:val="0"/>
              <w:spacing w:before="0" w:after="0" w:line="480" w:lineRule="exact"/>
              <w:ind w:right="0"/>
              <w:jc w:val="both"/>
              <w:textAlignment w:val="auto"/>
              <w:rPr>
                <w:rFonts w:hint="default" w:ascii="Times New Roman" w:hAnsi="Times New Roman" w:eastAsia="宋体" w:cs="Times New Roman"/>
                <w:b/>
                <w:color w:val="auto"/>
                <w:sz w:val="24"/>
                <w:szCs w:val="28"/>
                <w:highlight w:val="none"/>
                <w:lang w:val="en-US" w:eastAsia="zh-CN" w:bidi="ar-SA"/>
              </w:rPr>
            </w:pPr>
            <w:r>
              <w:rPr>
                <w:rFonts w:hint="default" w:ascii="Times New Roman" w:hAnsi="Times New Roman" w:eastAsia="宋体" w:cs="Times New Roman"/>
                <w:b/>
                <w:snapToGrid w:val="0"/>
                <w:color w:val="auto"/>
                <w:sz w:val="24"/>
                <w:szCs w:val="28"/>
                <w:lang w:val="en-US" w:eastAsia="zh-CN" w:bidi="ar-SA"/>
              </w:rPr>
              <w:t>13、</w:t>
            </w:r>
            <w:r>
              <w:rPr>
                <w:rFonts w:hint="default" w:ascii="Times New Roman" w:hAnsi="Times New Roman" w:eastAsia="宋体" w:cs="Times New Roman"/>
                <w:b/>
                <w:color w:val="auto"/>
                <w:sz w:val="24"/>
                <w:szCs w:val="28"/>
                <w:highlight w:val="none"/>
                <w:lang w:val="en-US" w:eastAsia="zh-CN" w:bidi="ar-SA"/>
              </w:rPr>
              <w:t>《新疆维吾尔自治区2025年空气质量持续改善行动实施方案》（新政发〔2024〕58号）符合性分析</w:t>
            </w:r>
          </w:p>
          <w:p w14:paraId="7C01D183">
            <w:pPr>
              <w:keepNext w:val="0"/>
              <w:keepLines w:val="0"/>
              <w:pageBreakBefore w:val="0"/>
              <w:widowControl w:val="0"/>
              <w:kinsoku/>
              <w:wordWrap/>
              <w:overflowPunct/>
              <w:topLinePunct w:val="0"/>
              <w:autoSpaceDE/>
              <w:autoSpaceDN/>
              <w:bidi w:val="0"/>
              <w:adjustRightInd w:val="0"/>
              <w:snapToGrid w:val="0"/>
              <w:spacing w:before="0" w:after="0" w:line="480" w:lineRule="exact"/>
              <w:ind w:right="0" w:firstLine="480" w:firstLineChars="200"/>
              <w:jc w:val="both"/>
              <w:textAlignment w:val="auto"/>
              <w:rPr>
                <w:rFonts w:hint="default" w:ascii="Times New Roman" w:hAnsi="Times New Roman" w:eastAsia="宋体" w:cs="Times New Roman"/>
                <w:snapToGrid w:val="0"/>
                <w:color w:val="auto"/>
                <w:sz w:val="24"/>
                <w:szCs w:val="21"/>
                <w:highlight w:val="none"/>
                <w:lang w:val="en-US" w:eastAsia="zh-CN" w:bidi="ar-SA"/>
              </w:rPr>
            </w:pPr>
            <w:r>
              <w:rPr>
                <w:rFonts w:hint="default" w:ascii="Times New Roman" w:hAnsi="Times New Roman" w:eastAsia="宋体" w:cs="Times New Roman"/>
                <w:snapToGrid w:val="0"/>
                <w:color w:val="auto"/>
                <w:sz w:val="24"/>
                <w:szCs w:val="21"/>
                <w:highlight w:val="none"/>
                <w:lang w:val="en-US" w:eastAsia="zh-CN" w:bidi="ar-SA"/>
              </w:rPr>
              <w:t>（一）坚决遏制高耗能、高排放、低水平项目盲目上马。新改扩建项目严格落实国家和自治区产业规划、产业政策、生态环境分区管控方案、规划环评、项目环评、节能审查、产能置换、重点污染物总量控制、污染物排放区域削减、碳排放达峰目标等相关要求，原则上采用清洁运输方式，达到能效标杆水平、环保绩效A级水平。涉及产能置换的项目，被置换产能及设备关停后，新建项目方可投产。</w:t>
            </w:r>
          </w:p>
          <w:p w14:paraId="1C0E8538">
            <w:pPr>
              <w:keepNext w:val="0"/>
              <w:keepLines w:val="0"/>
              <w:pageBreakBefore w:val="0"/>
              <w:widowControl w:val="0"/>
              <w:kinsoku/>
              <w:wordWrap/>
              <w:overflowPunct/>
              <w:topLinePunct w:val="0"/>
              <w:autoSpaceDE/>
              <w:autoSpaceDN/>
              <w:bidi w:val="0"/>
              <w:adjustRightInd w:val="0"/>
              <w:snapToGrid w:val="0"/>
              <w:spacing w:before="0" w:after="0" w:line="480" w:lineRule="exact"/>
              <w:ind w:right="0" w:firstLine="480" w:firstLineChars="200"/>
              <w:jc w:val="both"/>
              <w:textAlignment w:val="auto"/>
              <w:rPr>
                <w:rFonts w:hint="default" w:ascii="Times New Roman" w:hAnsi="Times New Roman" w:eastAsia="宋体" w:cs="Times New Roman"/>
                <w:snapToGrid w:val="0"/>
                <w:color w:val="auto"/>
                <w:sz w:val="24"/>
                <w:szCs w:val="21"/>
                <w:highlight w:val="none"/>
                <w:lang w:val="en-US" w:eastAsia="zh-CN" w:bidi="ar-SA"/>
              </w:rPr>
            </w:pPr>
            <w:r>
              <w:rPr>
                <w:rFonts w:hint="default" w:ascii="Times New Roman" w:hAnsi="Times New Roman" w:eastAsia="宋体" w:cs="Times New Roman"/>
                <w:snapToGrid w:val="0"/>
                <w:color w:val="auto"/>
                <w:sz w:val="24"/>
                <w:szCs w:val="21"/>
                <w:highlight w:val="none"/>
                <w:lang w:val="en-US" w:eastAsia="zh-CN" w:bidi="ar-SA"/>
              </w:rPr>
              <w:t>（二）退出重点行业落后产能。严格执行《产业结构调整指导目录》，依法依规淘汰落后产能。联防联控区进一步提高落后产能能耗、环保、质量、安全、技术等要求，逐步退出限制类涉气行业工艺和装备。提升工业重点领域产能能效标杆水平，到2025年，重点行业能效标杆水平产能比例力争达到30%，能效基准水平以下产能基本清零。联防联控区淘汰炭化室高度4.3米及以下焦炉。</w:t>
            </w:r>
          </w:p>
          <w:p w14:paraId="32716F84">
            <w:pPr>
              <w:keepNext w:val="0"/>
              <w:keepLines w:val="0"/>
              <w:pageBreakBefore w:val="0"/>
              <w:widowControl w:val="0"/>
              <w:kinsoku/>
              <w:wordWrap/>
              <w:overflowPunct/>
              <w:topLinePunct w:val="0"/>
              <w:autoSpaceDE/>
              <w:autoSpaceDN/>
              <w:bidi w:val="0"/>
              <w:adjustRightInd w:val="0"/>
              <w:snapToGrid w:val="0"/>
              <w:spacing w:before="0" w:after="0" w:line="480" w:lineRule="exact"/>
              <w:ind w:right="0" w:firstLine="480" w:firstLineChars="200"/>
              <w:jc w:val="both"/>
              <w:textAlignment w:val="auto"/>
              <w:rPr>
                <w:rFonts w:hint="default" w:ascii="Times New Roman" w:hAnsi="Times New Roman" w:eastAsia="宋体" w:cs="Times New Roman"/>
                <w:snapToGrid w:val="0"/>
                <w:color w:val="auto"/>
                <w:sz w:val="24"/>
                <w:szCs w:val="21"/>
                <w:highlight w:val="none"/>
                <w:lang w:val="en-US" w:eastAsia="zh-CN" w:bidi="ar-SA"/>
              </w:rPr>
            </w:pPr>
            <w:r>
              <w:rPr>
                <w:rFonts w:hint="default" w:ascii="Times New Roman" w:hAnsi="Times New Roman" w:eastAsia="宋体" w:cs="Times New Roman"/>
                <w:snapToGrid w:val="0"/>
                <w:color w:val="auto"/>
                <w:sz w:val="24"/>
                <w:szCs w:val="21"/>
                <w:highlight w:val="none"/>
                <w:lang w:val="en-US" w:eastAsia="zh-CN" w:bidi="ar-SA"/>
              </w:rPr>
              <w:t>（五）严格合理控制煤炭消费总量。在保障能源安全供应前提下，联防联控区合理控制新改扩建用煤项目；不得将使用石油焦、焦炭、兰炭等高污染燃料作为煤炭减量替代措施。完善联防联控区煤炭消费减量替代管理，煤矸石、原料用煤不纳入煤炭消费总量。高质量建设国家大型煤电煤化工基地，原则上不再新增自备燃煤机组，推进现有自备燃煤机组清洁能源替代。合理保障支撑电力稳定供应、电网安全运行、清洁能源大规模并网消纳的煤电项目及其用煤量。完善联防联控区骨干电网建设，保障冬季生产网电需求。</w:t>
            </w:r>
          </w:p>
          <w:p w14:paraId="6283B1F7">
            <w:pPr>
              <w:keepNext w:val="0"/>
              <w:keepLines w:val="0"/>
              <w:pageBreakBefore w:val="0"/>
              <w:widowControl w:val="0"/>
              <w:kinsoku/>
              <w:wordWrap/>
              <w:overflowPunct/>
              <w:topLinePunct w:val="0"/>
              <w:autoSpaceDE/>
              <w:autoSpaceDN/>
              <w:bidi w:val="0"/>
              <w:adjustRightInd w:val="0"/>
              <w:snapToGrid w:val="0"/>
              <w:spacing w:before="0" w:after="0" w:line="480" w:lineRule="exact"/>
              <w:ind w:right="0" w:firstLine="480" w:firstLineChars="200"/>
              <w:jc w:val="both"/>
              <w:textAlignment w:val="auto"/>
              <w:rPr>
                <w:rFonts w:hint="default" w:ascii="Times New Roman" w:hAnsi="Times New Roman" w:eastAsia="宋体" w:cs="Times New Roman"/>
                <w:snapToGrid w:val="0"/>
                <w:color w:val="auto"/>
                <w:sz w:val="24"/>
                <w:szCs w:val="21"/>
                <w:highlight w:val="none"/>
                <w:lang w:val="en-US" w:eastAsia="zh-CN" w:bidi="ar-SA"/>
              </w:rPr>
            </w:pPr>
            <w:r>
              <w:rPr>
                <w:rFonts w:hint="default" w:ascii="Times New Roman" w:hAnsi="Times New Roman" w:eastAsia="宋体" w:cs="Times New Roman"/>
                <w:snapToGrid w:val="0"/>
                <w:color w:val="auto"/>
                <w:sz w:val="24"/>
                <w:szCs w:val="21"/>
                <w:highlight w:val="none"/>
                <w:lang w:val="en-US" w:eastAsia="zh-CN" w:bidi="ar-SA"/>
              </w:rPr>
              <w:t>（十三）持续强化扬尘污染综合管控。施工场地严格落实“六个百分百”要求。扬尘污染防治费用纳入工程造价，3000m</w:t>
            </w:r>
            <w:r>
              <w:rPr>
                <w:rFonts w:hint="default" w:ascii="Times New Roman" w:hAnsi="Times New Roman" w:eastAsia="宋体" w:cs="Times New Roman"/>
                <w:snapToGrid w:val="0"/>
                <w:color w:val="auto"/>
                <w:sz w:val="24"/>
                <w:szCs w:val="21"/>
                <w:highlight w:val="none"/>
                <w:vertAlign w:val="superscript"/>
                <w:lang w:val="en-US" w:eastAsia="zh-CN" w:bidi="ar-SA"/>
              </w:rPr>
              <w:t>2</w:t>
            </w:r>
            <w:r>
              <w:rPr>
                <w:rFonts w:hint="default" w:ascii="Times New Roman" w:hAnsi="Times New Roman" w:eastAsia="宋体" w:cs="Times New Roman"/>
                <w:snapToGrid w:val="0"/>
                <w:color w:val="auto"/>
                <w:sz w:val="24"/>
                <w:szCs w:val="21"/>
                <w:highlight w:val="none"/>
                <w:lang w:val="en-US" w:eastAsia="zh-CN" w:bidi="ar-SA"/>
              </w:rPr>
              <w:t>及以上建筑工地安装视频监控并接入当地监管平台。道路、水务等长距离线性工程实行分段施工。城市建成区主次干道机械化清扫率达到80%。加强城市及周边公共裸地、物料堆场等易产尘区域抑尘管理。到2025年，装配式建筑占新建建筑面积比例达到30%。</w:t>
            </w:r>
          </w:p>
          <w:p w14:paraId="2C4CBAC4">
            <w:pPr>
              <w:keepNext w:val="0"/>
              <w:keepLines w:val="0"/>
              <w:pageBreakBefore w:val="0"/>
              <w:widowControl w:val="0"/>
              <w:kinsoku/>
              <w:wordWrap/>
              <w:overflowPunct/>
              <w:topLinePunct w:val="0"/>
              <w:autoSpaceDE/>
              <w:autoSpaceDN/>
              <w:bidi w:val="0"/>
              <w:adjustRightInd w:val="0"/>
              <w:snapToGrid w:val="0"/>
              <w:spacing w:before="0" w:after="0" w:line="480" w:lineRule="exact"/>
              <w:ind w:right="0" w:firstLine="480" w:firstLineChars="200"/>
              <w:jc w:val="both"/>
              <w:textAlignment w:val="auto"/>
              <w:rPr>
                <w:rFonts w:hint="default" w:ascii="Times New Roman" w:hAnsi="Times New Roman" w:eastAsia="宋体" w:cs="Times New Roman"/>
                <w:snapToGrid w:val="0"/>
                <w:color w:val="auto"/>
                <w:sz w:val="24"/>
                <w:szCs w:val="21"/>
                <w:lang w:val="en-US" w:eastAsia="zh-CN" w:bidi="ar-SA"/>
              </w:rPr>
            </w:pPr>
            <w:r>
              <w:rPr>
                <w:rFonts w:hint="default" w:ascii="Times New Roman" w:hAnsi="Times New Roman" w:eastAsia="宋体" w:cs="Times New Roman"/>
                <w:snapToGrid w:val="0"/>
                <w:color w:val="auto"/>
                <w:sz w:val="24"/>
                <w:szCs w:val="21"/>
                <w:highlight w:val="none"/>
                <w:lang w:val="en-US" w:eastAsia="zh-CN" w:bidi="ar-SA"/>
              </w:rPr>
              <w:t>本项目不属于产业结构限制类、淘汰类项目，不属于高耗能、高排放、低水平项目，生产过程仅使用电力作为生产能源，供暖采用电暖气供暖</w:t>
            </w:r>
            <w:r>
              <w:rPr>
                <w:rFonts w:hint="default" w:ascii="Times New Roman" w:hAnsi="Times New Roman" w:eastAsia="宋体" w:cs="Times New Roman"/>
                <w:color w:val="auto"/>
                <w:highlight w:val="none"/>
                <w:lang w:val="en-US" w:eastAsia="zh-CN"/>
              </w:rPr>
              <w:t>。</w:t>
            </w:r>
            <w:r>
              <w:rPr>
                <w:rFonts w:hint="default" w:ascii="Times New Roman" w:hAnsi="Times New Roman" w:eastAsia="宋体" w:cs="Times New Roman"/>
                <w:snapToGrid w:val="0"/>
                <w:color w:val="auto"/>
                <w:sz w:val="24"/>
                <w:szCs w:val="21"/>
                <w:highlight w:val="none"/>
                <w:lang w:val="en-US" w:eastAsia="zh-CN" w:bidi="ar-SA"/>
              </w:rPr>
              <w:t>本项目投料、搅拌过程产生颗粒物的环节设置集气罩收集后</w:t>
            </w:r>
            <w:r>
              <w:rPr>
                <w:rFonts w:hint="default" w:ascii="Times New Roman" w:hAnsi="Times New Roman" w:eastAsia="宋体" w:cs="Times New Roman"/>
                <w:color w:val="auto"/>
                <w:highlight w:val="none"/>
                <w:lang w:val="en-US" w:eastAsia="zh-CN"/>
              </w:rPr>
              <w:t>通过“布袋除尘器+15m高排气筒”处理</w:t>
            </w:r>
            <w:r>
              <w:rPr>
                <w:rFonts w:hint="default" w:ascii="Times New Roman" w:hAnsi="Times New Roman" w:eastAsia="宋体" w:cs="Times New Roman"/>
                <w:snapToGrid w:val="0"/>
                <w:color w:val="auto"/>
                <w:sz w:val="24"/>
                <w:szCs w:val="21"/>
                <w:highlight w:val="none"/>
                <w:lang w:val="en-US" w:eastAsia="zh-CN" w:bidi="ar-SA"/>
              </w:rPr>
              <w:t>；少量颗粒物通过加强封闭式作业</w:t>
            </w:r>
            <w:r>
              <w:rPr>
                <w:rFonts w:hint="eastAsia" w:cs="Times New Roman"/>
                <w:snapToGrid w:val="0"/>
                <w:color w:val="auto"/>
                <w:sz w:val="24"/>
                <w:szCs w:val="21"/>
                <w:highlight w:val="none"/>
                <w:lang w:val="en-US" w:eastAsia="zh-CN" w:bidi="ar-SA"/>
              </w:rPr>
              <w:t>、成品仓库采取全封闭</w:t>
            </w:r>
            <w:r>
              <w:rPr>
                <w:rFonts w:hint="default" w:ascii="Times New Roman" w:hAnsi="Times New Roman" w:eastAsia="宋体" w:cs="Times New Roman"/>
                <w:snapToGrid w:val="0"/>
                <w:color w:val="auto"/>
                <w:sz w:val="24"/>
                <w:szCs w:val="21"/>
                <w:highlight w:val="none"/>
                <w:lang w:val="en-US" w:eastAsia="zh-CN" w:bidi="ar-SA"/>
              </w:rPr>
              <w:t>，有组织以及厂界无组织颗粒物均能</w:t>
            </w:r>
            <w:r>
              <w:rPr>
                <w:rFonts w:hint="default" w:ascii="Times New Roman" w:hAnsi="Times New Roman" w:eastAsia="宋体" w:cs="Times New Roman"/>
                <w:color w:val="auto"/>
                <w:highlight w:val="none"/>
                <w:lang w:val="en-US" w:eastAsia="zh-CN"/>
              </w:rPr>
              <w:t>满足《大气污染物综合排放标准》（GB 16297-1996），</w:t>
            </w:r>
            <w:r>
              <w:rPr>
                <w:rFonts w:hint="default" w:ascii="Times New Roman" w:hAnsi="Times New Roman" w:eastAsia="宋体" w:cs="Times New Roman"/>
                <w:color w:val="auto"/>
                <w:sz w:val="24"/>
                <w:szCs w:val="24"/>
                <w:highlight w:val="none"/>
                <w:lang w:val="en-US" w:eastAsia="zh-CN" w:bidi="ar-SA"/>
              </w:rPr>
              <w:t>对周边大气环境影响较小。因此满足《新疆维吾尔自治区2025年空气质量持续改善行动实施方案》（新政发〔2024〕58号）要求。</w:t>
            </w:r>
          </w:p>
          <w:p w14:paraId="00F72271">
            <w:pPr>
              <w:keepNext w:val="0"/>
              <w:keepLines w:val="0"/>
              <w:pageBreakBefore w:val="0"/>
              <w:numPr>
                <w:ilvl w:val="0"/>
                <w:numId w:val="0"/>
              </w:numPr>
              <w:kinsoku/>
              <w:wordWrap/>
              <w:overflowPunct w:val="0"/>
              <w:topLinePunct w:val="0"/>
              <w:autoSpaceDE w:val="0"/>
              <w:autoSpaceDN w:val="0"/>
              <w:bidi w:val="0"/>
              <w:adjustRightInd w:val="0"/>
              <w:snapToGrid w:val="0"/>
              <w:spacing w:before="0" w:after="0" w:line="480" w:lineRule="exact"/>
              <w:ind w:right="0" w:rightChars="0"/>
              <w:jc w:val="both"/>
              <w:textAlignment w:val="auto"/>
              <w:rPr>
                <w:rFonts w:hint="default" w:ascii="Times New Roman" w:hAnsi="Times New Roman" w:eastAsia="宋体" w:cs="Times New Roman"/>
                <w:b/>
                <w:snapToGrid w:val="0"/>
                <w:color w:val="auto"/>
                <w:sz w:val="24"/>
                <w:szCs w:val="28"/>
                <w:lang w:val="en-US" w:eastAsia="zh-CN" w:bidi="ar-SA"/>
              </w:rPr>
            </w:pPr>
            <w:r>
              <w:rPr>
                <w:rFonts w:hint="default" w:ascii="Times New Roman" w:hAnsi="Times New Roman" w:eastAsia="宋体" w:cs="Times New Roman"/>
                <w:b/>
                <w:snapToGrid w:val="0"/>
                <w:color w:val="auto"/>
                <w:sz w:val="24"/>
                <w:szCs w:val="28"/>
                <w:lang w:val="en-US" w:eastAsia="zh-CN" w:bidi="ar-SA"/>
              </w:rPr>
              <w:t xml:space="preserve"> </w:t>
            </w:r>
          </w:p>
          <w:p w14:paraId="3693C5FC">
            <w:pPr>
              <w:keepNext w:val="0"/>
              <w:keepLines w:val="0"/>
              <w:pageBreakBefore w:val="0"/>
              <w:widowControl w:val="0"/>
              <w:kinsoku/>
              <w:wordWrap/>
              <w:overflowPunct/>
              <w:topLinePunct w:val="0"/>
              <w:autoSpaceDE/>
              <w:autoSpaceDN/>
              <w:bidi w:val="0"/>
              <w:adjustRightInd w:val="0"/>
              <w:snapToGrid w:val="0"/>
              <w:spacing w:before="0" w:after="0" w:line="480" w:lineRule="exact"/>
              <w:ind w:right="0" w:firstLine="480" w:firstLineChars="200"/>
              <w:jc w:val="both"/>
              <w:textAlignment w:val="auto"/>
              <w:rPr>
                <w:rFonts w:hint="default" w:ascii="Times New Roman" w:hAnsi="Times New Roman" w:eastAsia="宋体" w:cs="Times New Roman"/>
                <w:color w:val="auto"/>
                <w:lang w:val="en-US" w:eastAsia="zh-CN"/>
              </w:rPr>
            </w:pPr>
          </w:p>
          <w:p w14:paraId="42223D63">
            <w:pPr>
              <w:pageBreakBefore w:val="0"/>
              <w:widowControl w:val="0"/>
              <w:kinsoku/>
              <w:wordWrap/>
              <w:overflowPunct/>
              <w:topLinePunct w:val="0"/>
              <w:autoSpaceDE/>
              <w:autoSpaceDN/>
              <w:bidi w:val="0"/>
              <w:adjustRightInd w:val="0"/>
              <w:snapToGrid w:val="0"/>
              <w:spacing w:before="0" w:after="0" w:line="360" w:lineRule="auto"/>
              <w:ind w:right="0"/>
              <w:jc w:val="both"/>
              <w:textAlignment w:val="auto"/>
              <w:rPr>
                <w:rFonts w:hint="default" w:ascii="Times New Roman" w:hAnsi="Times New Roman" w:eastAsia="宋体" w:cs="Times New Roman"/>
                <w:snapToGrid w:val="0"/>
                <w:color w:val="auto"/>
                <w:sz w:val="24"/>
                <w:szCs w:val="21"/>
                <w:lang w:val="en-US" w:eastAsia="zh-CN" w:bidi="ar-SA"/>
              </w:rPr>
            </w:pPr>
          </w:p>
        </w:tc>
      </w:tr>
    </w:tbl>
    <w:p w14:paraId="3E3CAA77">
      <w:pPr>
        <w:rPr>
          <w:rFonts w:hint="default" w:ascii="Times New Roman" w:hAnsi="Times New Roman" w:eastAsia="宋体" w:cs="Times New Roman"/>
          <w:color w:val="auto"/>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43239D83">
      <w:pPr>
        <w:widowControl w:val="0"/>
        <w:overflowPunct w:val="0"/>
        <w:autoSpaceDE w:val="0"/>
        <w:autoSpaceDN w:val="0"/>
        <w:bidi w:val="0"/>
        <w:adjustRightInd w:val="0"/>
        <w:snapToGrid w:val="0"/>
        <w:spacing w:line="240" w:lineRule="auto"/>
        <w:ind w:firstLine="0" w:firstLineChars="0"/>
        <w:jc w:val="center"/>
        <w:rPr>
          <w:rFonts w:hint="default" w:ascii="Times New Roman" w:hAnsi="Times New Roman" w:eastAsia="宋体" w:cs="Times New Roman"/>
          <w:b/>
          <w:color w:val="auto"/>
          <w:sz w:val="21"/>
          <w:szCs w:val="21"/>
          <w:lang w:val="en-US" w:eastAsia="zh-CN" w:bidi="ar-SA"/>
        </w:rPr>
      </w:pPr>
      <w:r>
        <w:rPr>
          <w:rFonts w:hint="default" w:ascii="Times New Roman" w:hAnsi="Times New Roman" w:eastAsia="宋体" w:cs="Times New Roman"/>
          <w:b/>
          <w:color w:val="auto"/>
          <w:sz w:val="21"/>
          <w:szCs w:val="21"/>
          <w:lang w:val="en-US" w:eastAsia="zh-CN" w:bidi="ar-SA"/>
        </w:rPr>
        <w:t>表1.</w:t>
      </w:r>
      <w:r>
        <w:rPr>
          <w:rFonts w:hint="eastAsia" w:cs="Times New Roman"/>
          <w:b/>
          <w:color w:val="auto"/>
          <w:sz w:val="21"/>
          <w:szCs w:val="21"/>
          <w:lang w:val="en-US" w:eastAsia="zh-CN" w:bidi="ar-SA"/>
        </w:rPr>
        <w:t>2</w:t>
      </w:r>
      <w:r>
        <w:rPr>
          <w:rFonts w:hint="default" w:ascii="Times New Roman" w:hAnsi="Times New Roman" w:eastAsia="宋体" w:cs="Times New Roman"/>
          <w:b/>
          <w:color w:val="auto"/>
          <w:sz w:val="21"/>
          <w:szCs w:val="21"/>
          <w:lang w:val="en-US" w:eastAsia="zh-CN" w:bidi="ar-SA"/>
        </w:rPr>
        <w:t>-1与《新疆维吾尔自治区生态环境分区管控方案》符合性分析</w:t>
      </w:r>
    </w:p>
    <w:tbl>
      <w:tblPr>
        <w:tblStyle w:val="2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28"/>
        <w:gridCol w:w="878"/>
        <w:gridCol w:w="9497"/>
        <w:gridCol w:w="3007"/>
      </w:tblGrid>
      <w:tr w14:paraId="6E68B7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306" w:type="dxa"/>
            <w:gridSpan w:val="2"/>
            <w:noWrap w:val="0"/>
            <w:vAlign w:val="center"/>
          </w:tcPr>
          <w:p w14:paraId="4E0F4A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b/>
                <w:bCs/>
                <w:color w:val="auto"/>
                <w:spacing w:val="-1"/>
                <w:sz w:val="21"/>
                <w:szCs w:val="21"/>
              </w:rPr>
              <w:t>管控维度</w:t>
            </w:r>
          </w:p>
        </w:tc>
        <w:tc>
          <w:tcPr>
            <w:tcW w:w="9497" w:type="dxa"/>
            <w:noWrap w:val="0"/>
            <w:vAlign w:val="center"/>
          </w:tcPr>
          <w:p w14:paraId="2E7723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b/>
                <w:bCs/>
                <w:color w:val="auto"/>
                <w:spacing w:val="-6"/>
                <w:sz w:val="21"/>
                <w:szCs w:val="21"/>
              </w:rPr>
              <w:t>管控要求</w:t>
            </w:r>
          </w:p>
        </w:tc>
        <w:tc>
          <w:tcPr>
            <w:tcW w:w="3007" w:type="dxa"/>
            <w:noWrap w:val="0"/>
            <w:vAlign w:val="center"/>
          </w:tcPr>
          <w:p w14:paraId="2BFCF6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本项目情况</w:t>
            </w:r>
          </w:p>
        </w:tc>
      </w:tr>
      <w:tr w14:paraId="131B0E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28" w:type="dxa"/>
            <w:vMerge w:val="restart"/>
            <w:noWrap w:val="0"/>
            <w:vAlign w:val="center"/>
          </w:tcPr>
          <w:p w14:paraId="2DD92B42">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1"/>
                <w:sz w:val="21"/>
                <w:szCs w:val="21"/>
              </w:rPr>
              <w:t>A1空</w:t>
            </w:r>
            <w:r>
              <w:rPr>
                <w:rFonts w:hint="default" w:ascii="Times New Roman" w:hAnsi="Times New Roman" w:eastAsia="宋体" w:cs="Times New Roman"/>
                <w:color w:val="auto"/>
                <w:spacing w:val="6"/>
                <w:sz w:val="21"/>
                <w:szCs w:val="21"/>
              </w:rPr>
              <w:t>间布</w:t>
            </w:r>
            <w:r>
              <w:rPr>
                <w:rFonts w:hint="default" w:ascii="Times New Roman" w:hAnsi="Times New Roman" w:eastAsia="宋体" w:cs="Times New Roman"/>
                <w:color w:val="auto"/>
                <w:spacing w:val="10"/>
                <w:sz w:val="21"/>
                <w:szCs w:val="21"/>
              </w:rPr>
              <w:t>局约</w:t>
            </w:r>
            <w:r>
              <w:rPr>
                <w:rFonts w:hint="default" w:ascii="Times New Roman" w:hAnsi="Times New Roman" w:eastAsia="宋体" w:cs="Times New Roman"/>
                <w:color w:val="auto"/>
                <w:sz w:val="21"/>
                <w:szCs w:val="21"/>
              </w:rPr>
              <w:t>束</w:t>
            </w:r>
          </w:p>
        </w:tc>
        <w:tc>
          <w:tcPr>
            <w:tcW w:w="878" w:type="dxa"/>
            <w:vMerge w:val="restart"/>
            <w:noWrap w:val="0"/>
            <w:vAlign w:val="center"/>
          </w:tcPr>
          <w:p w14:paraId="0EDAFF3C">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3"/>
                <w:sz w:val="21"/>
                <w:szCs w:val="21"/>
              </w:rPr>
              <w:t>A1</w:t>
            </w:r>
            <w:r>
              <w:rPr>
                <w:rFonts w:hint="default" w:ascii="Times New Roman" w:hAnsi="Times New Roman" w:eastAsia="宋体" w:cs="Times New Roman"/>
                <w:color w:val="auto"/>
                <w:spacing w:val="3"/>
                <w:sz w:val="21"/>
                <w:szCs w:val="21"/>
                <w:lang w:val="en-US" w:eastAsia="zh-CN"/>
              </w:rPr>
              <w:t>.</w:t>
            </w:r>
            <w:r>
              <w:rPr>
                <w:rFonts w:hint="default" w:ascii="Times New Roman" w:hAnsi="Times New Roman" w:eastAsia="宋体" w:cs="Times New Roman"/>
                <w:color w:val="auto"/>
                <w:spacing w:val="3"/>
                <w:sz w:val="21"/>
                <w:szCs w:val="21"/>
              </w:rPr>
              <w:t>1禁止开发</w:t>
            </w:r>
            <w:r>
              <w:rPr>
                <w:rFonts w:hint="default" w:ascii="Times New Roman" w:hAnsi="Times New Roman" w:eastAsia="宋体" w:cs="Times New Roman"/>
                <w:color w:val="auto"/>
                <w:spacing w:val="6"/>
                <w:sz w:val="21"/>
                <w:szCs w:val="21"/>
              </w:rPr>
              <w:t>建设的</w:t>
            </w:r>
            <w:r>
              <w:rPr>
                <w:rFonts w:hint="default" w:ascii="Times New Roman" w:hAnsi="Times New Roman" w:eastAsia="宋体" w:cs="Times New Roman"/>
                <w:color w:val="auto"/>
                <w:spacing w:val="8"/>
                <w:sz w:val="21"/>
                <w:szCs w:val="21"/>
              </w:rPr>
              <w:t>活动</w:t>
            </w:r>
          </w:p>
        </w:tc>
        <w:tc>
          <w:tcPr>
            <w:tcW w:w="9497" w:type="dxa"/>
            <w:noWrap w:val="0"/>
            <w:vAlign w:val="center"/>
          </w:tcPr>
          <w:p w14:paraId="386F67D2">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3"/>
                <w:sz w:val="21"/>
                <w:szCs w:val="21"/>
              </w:rPr>
              <w:t>〔A1.1-1〕禁止新建、扩建《产业结构调整指导目录</w:t>
            </w:r>
            <w:r>
              <w:rPr>
                <w:rFonts w:hint="default" w:ascii="Times New Roman" w:hAnsi="Times New Roman" w:eastAsia="宋体" w:cs="Times New Roman"/>
                <w:color w:val="auto"/>
                <w:spacing w:val="3"/>
                <w:sz w:val="21"/>
                <w:szCs w:val="21"/>
                <w:lang w:eastAsia="zh-CN"/>
              </w:rPr>
              <w:t>（</w:t>
            </w:r>
            <w:r>
              <w:rPr>
                <w:rFonts w:hint="default" w:ascii="Times New Roman" w:hAnsi="Times New Roman" w:eastAsia="宋体" w:cs="Times New Roman"/>
                <w:color w:val="auto"/>
                <w:spacing w:val="3"/>
                <w:sz w:val="21"/>
                <w:szCs w:val="21"/>
              </w:rPr>
              <w:t>2024年本</w:t>
            </w:r>
            <w:r>
              <w:rPr>
                <w:rFonts w:hint="default" w:ascii="Times New Roman" w:hAnsi="Times New Roman" w:eastAsia="宋体" w:cs="Times New Roman"/>
                <w:color w:val="auto"/>
                <w:spacing w:val="3"/>
                <w:sz w:val="21"/>
                <w:szCs w:val="21"/>
                <w:lang w:eastAsia="zh-CN"/>
              </w:rPr>
              <w:t>）</w:t>
            </w:r>
            <w:r>
              <w:rPr>
                <w:rFonts w:hint="default" w:ascii="Times New Roman" w:hAnsi="Times New Roman" w:eastAsia="宋体" w:cs="Times New Roman"/>
                <w:color w:val="auto"/>
                <w:spacing w:val="3"/>
                <w:sz w:val="21"/>
                <w:szCs w:val="21"/>
              </w:rPr>
              <w:t>》</w:t>
            </w:r>
            <w:r>
              <w:rPr>
                <w:rFonts w:hint="default" w:ascii="Times New Roman" w:hAnsi="Times New Roman" w:eastAsia="宋体" w:cs="Times New Roman"/>
                <w:color w:val="auto"/>
                <w:spacing w:val="1"/>
                <w:sz w:val="21"/>
                <w:szCs w:val="21"/>
              </w:rPr>
              <w:t>中淘汰类项目。禁止引入《市场准入负面清单</w:t>
            </w:r>
            <w:r>
              <w:rPr>
                <w:rFonts w:hint="default" w:ascii="Times New Roman" w:hAnsi="Times New Roman" w:eastAsia="宋体" w:cs="Times New Roman"/>
                <w:color w:val="auto"/>
                <w:spacing w:val="1"/>
                <w:sz w:val="21"/>
                <w:szCs w:val="21"/>
                <w:lang w:eastAsia="zh-CN"/>
              </w:rPr>
              <w:t>（</w:t>
            </w:r>
            <w:r>
              <w:rPr>
                <w:rFonts w:hint="default" w:ascii="Times New Roman" w:hAnsi="Times New Roman" w:eastAsia="宋体" w:cs="Times New Roman"/>
                <w:color w:val="auto"/>
                <w:spacing w:val="1"/>
                <w:sz w:val="21"/>
                <w:szCs w:val="21"/>
              </w:rPr>
              <w:t>2022年版</w:t>
            </w:r>
            <w:r>
              <w:rPr>
                <w:rFonts w:hint="default" w:ascii="Times New Roman" w:hAnsi="Times New Roman" w:eastAsia="宋体" w:cs="Times New Roman"/>
                <w:color w:val="auto"/>
                <w:spacing w:val="1"/>
                <w:sz w:val="21"/>
                <w:szCs w:val="21"/>
                <w:lang w:eastAsia="zh-CN"/>
              </w:rPr>
              <w:t>）</w:t>
            </w:r>
            <w:r>
              <w:rPr>
                <w:rFonts w:hint="default" w:ascii="Times New Roman" w:hAnsi="Times New Roman" w:eastAsia="宋体" w:cs="Times New Roman"/>
                <w:color w:val="auto"/>
                <w:spacing w:val="1"/>
                <w:sz w:val="21"/>
                <w:szCs w:val="21"/>
              </w:rPr>
              <w:t>》禁止准</w:t>
            </w:r>
            <w:r>
              <w:rPr>
                <w:rFonts w:hint="default" w:ascii="Times New Roman" w:hAnsi="Times New Roman" w:eastAsia="宋体" w:cs="Times New Roman"/>
                <w:color w:val="auto"/>
                <w:spacing w:val="-1"/>
                <w:sz w:val="21"/>
                <w:szCs w:val="21"/>
              </w:rPr>
              <w:t>入类事项。</w:t>
            </w:r>
          </w:p>
        </w:tc>
        <w:tc>
          <w:tcPr>
            <w:tcW w:w="3007" w:type="dxa"/>
            <w:noWrap w:val="0"/>
            <w:vAlign w:val="center"/>
          </w:tcPr>
          <w:p w14:paraId="61B27D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highlight w:val="yellow"/>
                <w:vertAlign w:val="baseline"/>
              </w:rPr>
            </w:pPr>
            <w:r>
              <w:rPr>
                <w:rFonts w:hint="default" w:ascii="Times New Roman" w:hAnsi="Times New Roman" w:eastAsia="宋体" w:cs="Times New Roman"/>
                <w:color w:val="auto"/>
                <w:sz w:val="21"/>
                <w:szCs w:val="21"/>
                <w:highlight w:val="none"/>
                <w:vertAlign w:val="baseline"/>
              </w:rPr>
              <w:t>对照《产业结构调整指导目录》（2024年本）项目属于</w:t>
            </w:r>
            <w:r>
              <w:rPr>
                <w:rFonts w:hint="default" w:ascii="Times New Roman" w:hAnsi="Times New Roman" w:eastAsia="宋体" w:cs="Times New Roman"/>
                <w:color w:val="auto"/>
                <w:sz w:val="21"/>
                <w:szCs w:val="21"/>
                <w:highlight w:val="none"/>
                <w:vertAlign w:val="baseline"/>
                <w:lang w:val="en-US" w:eastAsia="zh-CN"/>
              </w:rPr>
              <w:t>鼓励类</w:t>
            </w:r>
            <w:r>
              <w:rPr>
                <w:rFonts w:hint="default" w:ascii="Times New Roman" w:hAnsi="Times New Roman" w:eastAsia="宋体" w:cs="Times New Roman"/>
                <w:color w:val="auto"/>
                <w:sz w:val="21"/>
                <w:szCs w:val="21"/>
                <w:highlight w:val="none"/>
                <w:vertAlign w:val="baseline"/>
              </w:rPr>
              <w:t>；对照国家发展改革委和商务部发布的《市场准入负面清单（202</w:t>
            </w:r>
            <w:r>
              <w:rPr>
                <w:rFonts w:hint="default" w:ascii="Times New Roman" w:hAnsi="Times New Roman" w:eastAsia="宋体" w:cs="Times New Roman"/>
                <w:color w:val="auto"/>
                <w:sz w:val="21"/>
                <w:szCs w:val="21"/>
                <w:highlight w:val="none"/>
                <w:vertAlign w:val="baseline"/>
                <w:lang w:val="en-US" w:eastAsia="zh-CN"/>
              </w:rPr>
              <w:t>5</w:t>
            </w:r>
            <w:r>
              <w:rPr>
                <w:rFonts w:hint="default" w:ascii="Times New Roman" w:hAnsi="Times New Roman" w:eastAsia="宋体" w:cs="Times New Roman"/>
                <w:color w:val="auto"/>
                <w:sz w:val="21"/>
                <w:szCs w:val="21"/>
                <w:highlight w:val="none"/>
                <w:vertAlign w:val="baseline"/>
              </w:rPr>
              <w:t>年版）》，属于许可准入类。</w:t>
            </w:r>
          </w:p>
        </w:tc>
      </w:tr>
      <w:tr w14:paraId="6839A8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28" w:type="dxa"/>
            <w:vMerge w:val="continue"/>
            <w:noWrap w:val="0"/>
            <w:vAlign w:val="center"/>
          </w:tcPr>
          <w:p w14:paraId="1D8BE6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2BBEFA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6F7AE66C">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3"/>
                <w:sz w:val="21"/>
                <w:szCs w:val="21"/>
              </w:rPr>
              <w:t>〔A1.1-2〕禁止建设不符合国家和自治区环境保护标准的项目。</w:t>
            </w:r>
          </w:p>
        </w:tc>
        <w:tc>
          <w:tcPr>
            <w:tcW w:w="3007" w:type="dxa"/>
            <w:noWrap w:val="0"/>
            <w:vAlign w:val="center"/>
          </w:tcPr>
          <w:p w14:paraId="1D5F2B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本项目符合国家和自治区环境保护标准。</w:t>
            </w:r>
          </w:p>
        </w:tc>
      </w:tr>
      <w:tr w14:paraId="4192D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8" w:type="dxa"/>
            <w:vMerge w:val="continue"/>
            <w:noWrap w:val="0"/>
            <w:vAlign w:val="center"/>
          </w:tcPr>
          <w:p w14:paraId="63BB1D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397A1B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03E98F56">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〔A1.1-3〕禁止在饮用水水源保护区、风景名胜区、自然保护区的</w:t>
            </w:r>
            <w:r>
              <w:rPr>
                <w:rFonts w:hint="default" w:ascii="Times New Roman" w:hAnsi="Times New Roman" w:eastAsia="宋体" w:cs="Times New Roman"/>
                <w:color w:val="auto"/>
                <w:spacing w:val="1"/>
                <w:sz w:val="21"/>
                <w:szCs w:val="21"/>
              </w:rPr>
              <w:t>核心区和缓冲区、城镇居民区、文化教育科</w:t>
            </w:r>
            <w:r>
              <w:rPr>
                <w:rFonts w:hint="default" w:ascii="Times New Roman" w:hAnsi="Times New Roman" w:eastAsia="宋体" w:cs="Times New Roman"/>
                <w:color w:val="auto"/>
                <w:sz w:val="21"/>
                <w:szCs w:val="21"/>
              </w:rPr>
              <w:t>学研究区等人口集中区</w:t>
            </w:r>
            <w:r>
              <w:rPr>
                <w:rFonts w:hint="default" w:ascii="Times New Roman" w:hAnsi="Times New Roman" w:eastAsia="宋体" w:cs="Times New Roman"/>
                <w:color w:val="auto"/>
                <w:spacing w:val="-1"/>
                <w:sz w:val="21"/>
                <w:szCs w:val="21"/>
              </w:rPr>
              <w:t>域以及法律、法规规定的其他禁止养殖区域建设畜禽养殖场、养殖小区。</w:t>
            </w:r>
          </w:p>
        </w:tc>
        <w:tc>
          <w:tcPr>
            <w:tcW w:w="3007" w:type="dxa"/>
            <w:noWrap w:val="0"/>
            <w:vAlign w:val="center"/>
          </w:tcPr>
          <w:p w14:paraId="5781E2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本项目不涉及。</w:t>
            </w:r>
          </w:p>
        </w:tc>
      </w:tr>
      <w:tr w14:paraId="54AA53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28" w:type="dxa"/>
            <w:vMerge w:val="continue"/>
            <w:noWrap w:val="0"/>
            <w:vAlign w:val="center"/>
          </w:tcPr>
          <w:p w14:paraId="0C8C3D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5B5301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569D8297">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1"/>
                <w:sz w:val="21"/>
                <w:szCs w:val="21"/>
              </w:rPr>
              <w:t>〔A1.1-4〕禁止在水源涵养区、地下水源、饮用水源</w:t>
            </w:r>
            <w:r>
              <w:rPr>
                <w:rFonts w:hint="default" w:ascii="Times New Roman" w:hAnsi="Times New Roman" w:eastAsia="宋体" w:cs="Times New Roman"/>
                <w:color w:val="auto"/>
                <w:sz w:val="21"/>
                <w:szCs w:val="21"/>
              </w:rPr>
              <w:t>、自然保护区、</w:t>
            </w:r>
            <w:r>
              <w:rPr>
                <w:rFonts w:hint="default" w:ascii="Times New Roman" w:hAnsi="Times New Roman" w:eastAsia="宋体" w:cs="Times New Roman"/>
                <w:color w:val="auto"/>
                <w:spacing w:val="-3"/>
                <w:sz w:val="21"/>
                <w:szCs w:val="21"/>
              </w:rPr>
              <w:t>风景名胜区、森林公园、重要湿地及人群密集区</w:t>
            </w:r>
            <w:r>
              <w:rPr>
                <w:rFonts w:hint="default" w:ascii="Times New Roman" w:hAnsi="Times New Roman" w:eastAsia="宋体" w:cs="Times New Roman"/>
                <w:color w:val="auto"/>
                <w:spacing w:val="-4"/>
                <w:sz w:val="21"/>
                <w:szCs w:val="21"/>
              </w:rPr>
              <w:t>等生态敏感区域内进行煤炭、石油、天然气开发。</w:t>
            </w:r>
          </w:p>
        </w:tc>
        <w:tc>
          <w:tcPr>
            <w:tcW w:w="3007" w:type="dxa"/>
            <w:noWrap w:val="0"/>
            <w:vAlign w:val="center"/>
          </w:tcPr>
          <w:p w14:paraId="5778C2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lang w:val="en-US" w:eastAsia="zh-CN"/>
              </w:rPr>
              <w:t>本项目不涉及。</w:t>
            </w:r>
          </w:p>
        </w:tc>
      </w:tr>
      <w:tr w14:paraId="1F1734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28" w:type="dxa"/>
            <w:vMerge w:val="continue"/>
            <w:noWrap w:val="0"/>
            <w:vAlign w:val="center"/>
          </w:tcPr>
          <w:p w14:paraId="25412D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2EA19A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6AB3E51E">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2"/>
                <w:sz w:val="21"/>
                <w:szCs w:val="21"/>
              </w:rPr>
              <w:t>〔A1.1-5〕禁止下列破坏湿地及其生态功能的行为：</w:t>
            </w:r>
            <w:r>
              <w:rPr>
                <w:rFonts w:hint="default" w:ascii="Times New Roman" w:hAnsi="Times New Roman" w:eastAsia="宋体" w:cs="Times New Roman"/>
                <w:color w:val="auto"/>
                <w:spacing w:val="2"/>
                <w:sz w:val="21"/>
                <w:szCs w:val="21"/>
                <w:lang w:eastAsia="zh-CN"/>
              </w:rPr>
              <w:t>（</w:t>
            </w:r>
            <w:r>
              <w:rPr>
                <w:rFonts w:hint="default" w:ascii="Times New Roman" w:hAnsi="Times New Roman" w:eastAsia="宋体" w:cs="Times New Roman"/>
                <w:color w:val="auto"/>
                <w:sz w:val="21"/>
                <w:szCs w:val="21"/>
              </w:rPr>
              <w:t>一</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开</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围</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垦、排干自然湿地，永久性截断自然湿地水源：</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pacing w:val="5"/>
                <w:sz w:val="21"/>
                <w:szCs w:val="21"/>
              </w:rPr>
              <w:t>二</w:t>
            </w:r>
            <w:r>
              <w:rPr>
                <w:rFonts w:hint="default" w:ascii="Times New Roman" w:hAnsi="Times New Roman" w:eastAsia="宋体" w:cs="Times New Roman"/>
                <w:color w:val="auto"/>
                <w:spacing w:val="5"/>
                <w:sz w:val="21"/>
                <w:szCs w:val="21"/>
                <w:lang w:eastAsia="zh-CN"/>
              </w:rPr>
              <w:t>）</w:t>
            </w:r>
            <w:r>
              <w:rPr>
                <w:rFonts w:hint="default" w:ascii="Times New Roman" w:hAnsi="Times New Roman" w:eastAsia="宋体" w:cs="Times New Roman"/>
                <w:color w:val="auto"/>
                <w:spacing w:val="5"/>
                <w:sz w:val="21"/>
                <w:szCs w:val="21"/>
              </w:rPr>
              <w:t>擅自填埋自然湿地，擅自采砂、采矿、取土；</w:t>
            </w:r>
            <w:r>
              <w:rPr>
                <w:rFonts w:hint="default" w:ascii="Times New Roman" w:hAnsi="Times New Roman" w:eastAsia="宋体" w:cs="Times New Roman"/>
                <w:color w:val="auto"/>
                <w:spacing w:val="5"/>
                <w:sz w:val="21"/>
                <w:szCs w:val="21"/>
                <w:lang w:eastAsia="zh-CN"/>
              </w:rPr>
              <w:t>（</w:t>
            </w:r>
            <w:r>
              <w:rPr>
                <w:rFonts w:hint="default" w:ascii="Times New Roman" w:hAnsi="Times New Roman" w:eastAsia="宋体" w:cs="Times New Roman"/>
                <w:color w:val="auto"/>
                <w:sz w:val="21"/>
                <w:szCs w:val="21"/>
              </w:rPr>
              <w:t>三</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排放不符合水污染物排放标准的工业废水、生活污水及其他污染湿地的废水、污水，倾倒、堆放、丢弃、遗撒固体废物</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四</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过度放牧或者滥采野生植物，过度捕捞或者灭绝式捕捞，过</w:t>
            </w:r>
            <w:r>
              <w:rPr>
                <w:rFonts w:hint="default" w:ascii="Times New Roman" w:hAnsi="Times New Roman" w:eastAsia="宋体" w:cs="Times New Roman"/>
                <w:color w:val="auto"/>
                <w:spacing w:val="5"/>
                <w:sz w:val="21"/>
                <w:szCs w:val="21"/>
              </w:rPr>
              <w:t>度施肥、投药、投放饵料等污染湿地的种植养殖行</w:t>
            </w:r>
            <w:r>
              <w:rPr>
                <w:rFonts w:hint="default" w:ascii="Times New Roman" w:hAnsi="Times New Roman" w:eastAsia="宋体" w:cs="Times New Roman"/>
                <w:color w:val="auto"/>
                <w:spacing w:val="4"/>
                <w:sz w:val="21"/>
                <w:szCs w:val="21"/>
              </w:rPr>
              <w:t>为；</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z w:val="21"/>
                <w:szCs w:val="21"/>
              </w:rPr>
              <w:t>五</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其他破坏湿地及其生态功能的行为。</w:t>
            </w:r>
          </w:p>
        </w:tc>
        <w:tc>
          <w:tcPr>
            <w:tcW w:w="3007" w:type="dxa"/>
            <w:noWrap w:val="0"/>
            <w:vAlign w:val="center"/>
          </w:tcPr>
          <w:p w14:paraId="6B49EA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lang w:val="en-US" w:eastAsia="zh-CN"/>
              </w:rPr>
              <w:t>本项目不涉及。</w:t>
            </w:r>
          </w:p>
        </w:tc>
      </w:tr>
      <w:tr w14:paraId="3604C6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28" w:type="dxa"/>
            <w:vMerge w:val="continue"/>
            <w:noWrap w:val="0"/>
            <w:vAlign w:val="center"/>
          </w:tcPr>
          <w:p w14:paraId="0714E1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4EEDC3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605E6821">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〔A1.1-6〕禁止在自治区行政区域内引进能</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rPr>
              <w:t>水</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rPr>
              <w:t>耗不符合相关国</w:t>
            </w:r>
            <w:r>
              <w:rPr>
                <w:rFonts w:hint="default" w:ascii="Times New Roman" w:hAnsi="Times New Roman" w:eastAsia="宋体" w:cs="Times New Roman"/>
                <w:color w:val="auto"/>
                <w:sz w:val="21"/>
                <w:szCs w:val="21"/>
              </w:rPr>
              <w:t>家标准中准入值要求且污染物排放和环境风险防控不符合国家</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地方</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标准及有关产业准入条件的高污染</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排放</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、高能</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水</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耗、高</w:t>
            </w:r>
            <w:r>
              <w:rPr>
                <w:rFonts w:hint="default" w:ascii="Times New Roman" w:hAnsi="Times New Roman" w:eastAsia="宋体" w:cs="Times New Roman"/>
                <w:color w:val="auto"/>
                <w:spacing w:val="-1"/>
                <w:sz w:val="21"/>
                <w:szCs w:val="21"/>
              </w:rPr>
              <w:t>环境风险的工业项目。</w:t>
            </w:r>
          </w:p>
        </w:tc>
        <w:tc>
          <w:tcPr>
            <w:tcW w:w="3007" w:type="dxa"/>
            <w:noWrap w:val="0"/>
            <w:vAlign w:val="center"/>
          </w:tcPr>
          <w:p w14:paraId="452FC5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rPr>
            </w:pPr>
            <w:r>
              <w:rPr>
                <w:rFonts w:hint="default" w:ascii="Times New Roman" w:hAnsi="Times New Roman" w:eastAsia="宋体" w:cs="Times New Roman"/>
                <w:color w:val="auto"/>
                <w:sz w:val="21"/>
                <w:szCs w:val="21"/>
                <w:vertAlign w:val="baseline"/>
                <w:lang w:val="en-US" w:eastAsia="zh-CN"/>
              </w:rPr>
              <w:t>本项目不属于“三高”项目。</w:t>
            </w:r>
          </w:p>
        </w:tc>
      </w:tr>
      <w:tr w14:paraId="00D9EA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28" w:type="dxa"/>
            <w:vMerge w:val="continue"/>
            <w:noWrap w:val="0"/>
            <w:vAlign w:val="center"/>
          </w:tcPr>
          <w:p w14:paraId="25BB57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5AF7C8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4E5F7739">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2"/>
                <w:sz w:val="21"/>
                <w:szCs w:val="21"/>
              </w:rPr>
              <w:t>〔A1.1-7〕①坚决遏制高耗能高排放低水平项目</w:t>
            </w:r>
            <w:r>
              <w:rPr>
                <w:rFonts w:hint="default" w:ascii="Times New Roman" w:hAnsi="Times New Roman" w:eastAsia="宋体" w:cs="Times New Roman"/>
                <w:color w:val="auto"/>
                <w:spacing w:val="1"/>
                <w:sz w:val="21"/>
                <w:szCs w:val="21"/>
              </w:rPr>
              <w:t>盲目发展。严把高</w:t>
            </w:r>
            <w:r>
              <w:rPr>
                <w:rFonts w:hint="default" w:ascii="Times New Roman" w:hAnsi="Times New Roman" w:eastAsia="宋体" w:cs="Times New Roman"/>
                <w:color w:val="auto"/>
                <w:spacing w:val="-2"/>
                <w:sz w:val="21"/>
                <w:szCs w:val="21"/>
              </w:rPr>
              <w:t>耗能高排放低水平项目准入关口，严格落实污染物排放区域</w:t>
            </w:r>
            <w:r>
              <w:rPr>
                <w:rFonts w:hint="default" w:ascii="Times New Roman" w:hAnsi="Times New Roman" w:eastAsia="宋体" w:cs="Times New Roman"/>
                <w:color w:val="auto"/>
                <w:spacing w:val="-3"/>
                <w:sz w:val="21"/>
                <w:szCs w:val="21"/>
              </w:rPr>
              <w:t>削减要</w:t>
            </w:r>
            <w:r>
              <w:rPr>
                <w:rFonts w:hint="default" w:ascii="Times New Roman" w:hAnsi="Times New Roman" w:eastAsia="宋体" w:cs="Times New Roman"/>
                <w:color w:val="auto"/>
                <w:spacing w:val="-2"/>
                <w:sz w:val="21"/>
                <w:szCs w:val="21"/>
              </w:rPr>
              <w:t>求，对不符合规定的项目坚决停批停建。依法依规淘汰落后产能和</w:t>
            </w:r>
            <w:r>
              <w:rPr>
                <w:rFonts w:hint="default" w:ascii="Times New Roman" w:hAnsi="Times New Roman" w:eastAsia="宋体" w:cs="Times New Roman"/>
                <w:color w:val="auto"/>
                <w:spacing w:val="-5"/>
                <w:sz w:val="21"/>
                <w:szCs w:val="21"/>
              </w:rPr>
              <w:t>化解过剩产能。②重点行业企业纳入重污染天气绩效分级，制定“一</w:t>
            </w:r>
            <w:r>
              <w:rPr>
                <w:rFonts w:hint="default" w:ascii="Times New Roman" w:hAnsi="Times New Roman" w:eastAsia="宋体" w:cs="Times New Roman"/>
                <w:color w:val="auto"/>
                <w:spacing w:val="-2"/>
                <w:sz w:val="21"/>
                <w:szCs w:val="21"/>
              </w:rPr>
              <w:t>厂一策”应急减排清单，实现应纳尽纳；引导重点企业在秋冬季安</w:t>
            </w:r>
            <w:r>
              <w:rPr>
                <w:rFonts w:hint="default" w:ascii="Times New Roman" w:hAnsi="Times New Roman" w:eastAsia="宋体" w:cs="Times New Roman"/>
                <w:color w:val="auto"/>
                <w:spacing w:val="-3"/>
                <w:sz w:val="21"/>
                <w:szCs w:val="21"/>
              </w:rPr>
              <w:t>排停产检修计划，减少冬季和采暖期排放。推进重点行业深度治理，</w:t>
            </w:r>
            <w:r>
              <w:rPr>
                <w:rFonts w:hint="default" w:ascii="Times New Roman" w:hAnsi="Times New Roman" w:eastAsia="宋体" w:cs="Times New Roman"/>
                <w:color w:val="auto"/>
                <w:spacing w:val="-2"/>
                <w:sz w:val="21"/>
                <w:szCs w:val="21"/>
              </w:rPr>
              <w:t>实施全工况脱硫脱硝提标改造，加大无组织排放治理力度，深度开</w:t>
            </w:r>
            <w:r>
              <w:rPr>
                <w:rFonts w:hint="default" w:ascii="Times New Roman" w:hAnsi="Times New Roman" w:eastAsia="宋体" w:cs="Times New Roman"/>
                <w:color w:val="auto"/>
                <w:spacing w:val="1"/>
                <w:sz w:val="21"/>
                <w:szCs w:val="21"/>
              </w:rPr>
              <w:t>展工业炉窑综合整治，全面提升电解铝、活性炭、硅冶炼、纯碱、</w:t>
            </w:r>
            <w:r>
              <w:rPr>
                <w:rFonts w:hint="default" w:ascii="Times New Roman" w:hAnsi="Times New Roman" w:eastAsia="宋体" w:cs="Times New Roman"/>
                <w:color w:val="auto"/>
                <w:spacing w:val="-3"/>
                <w:sz w:val="21"/>
                <w:szCs w:val="21"/>
              </w:rPr>
              <w:t>电石、聚氯乙烯、石化等行业污染治理水平。</w:t>
            </w:r>
          </w:p>
        </w:tc>
        <w:tc>
          <w:tcPr>
            <w:tcW w:w="3007" w:type="dxa"/>
            <w:noWrap w:val="0"/>
            <w:vAlign w:val="center"/>
          </w:tcPr>
          <w:p w14:paraId="5D2695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lang w:val="en-US" w:eastAsia="zh-CN"/>
              </w:rPr>
              <w:t>本项目不涉及。</w:t>
            </w:r>
          </w:p>
        </w:tc>
      </w:tr>
      <w:tr w14:paraId="600D9E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28" w:type="dxa"/>
            <w:vMerge w:val="continue"/>
            <w:noWrap w:val="0"/>
            <w:vAlign w:val="center"/>
          </w:tcPr>
          <w:p w14:paraId="6241D9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0B657C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11CBDC37">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both"/>
              <w:textAlignment w:val="auto"/>
              <w:rPr>
                <w:rFonts w:hint="default" w:ascii="Times New Roman" w:hAnsi="Times New Roman" w:eastAsia="宋体" w:cs="Times New Roman"/>
                <w:color w:val="auto"/>
                <w:spacing w:val="2"/>
                <w:sz w:val="21"/>
                <w:szCs w:val="21"/>
              </w:rPr>
            </w:pPr>
            <w:r>
              <w:rPr>
                <w:rFonts w:hint="default" w:ascii="Times New Roman" w:hAnsi="Times New Roman" w:eastAsia="宋体" w:cs="Times New Roman"/>
                <w:color w:val="auto"/>
                <w:spacing w:val="4"/>
                <w:sz w:val="21"/>
                <w:szCs w:val="21"/>
              </w:rPr>
              <w:t>〔A1.1-8〕严格执行危险化学品“禁限控”目录，新建危险化学品</w:t>
            </w:r>
            <w:r>
              <w:rPr>
                <w:rFonts w:hint="default" w:ascii="Times New Roman" w:hAnsi="Times New Roman" w:eastAsia="宋体" w:cs="Times New Roman"/>
                <w:color w:val="auto"/>
                <w:sz w:val="21"/>
                <w:szCs w:val="21"/>
              </w:rPr>
              <w:t>生产项目必须进入一般或较低安全风险的化工园区</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与其他行业生</w:t>
            </w:r>
            <w:r>
              <w:rPr>
                <w:rFonts w:hint="default" w:ascii="Times New Roman" w:hAnsi="Times New Roman" w:eastAsia="宋体" w:cs="Times New Roman"/>
                <w:color w:val="auto"/>
                <w:spacing w:val="-7"/>
                <w:sz w:val="21"/>
                <w:szCs w:val="21"/>
              </w:rPr>
              <w:t>产装置配套建设的项目除外</w:t>
            </w:r>
            <w:r>
              <w:rPr>
                <w:rFonts w:hint="default" w:ascii="Times New Roman" w:hAnsi="Times New Roman" w:eastAsia="宋体" w:cs="Times New Roman"/>
                <w:color w:val="auto"/>
                <w:spacing w:val="-7"/>
                <w:sz w:val="21"/>
                <w:szCs w:val="21"/>
                <w:lang w:eastAsia="zh-CN"/>
              </w:rPr>
              <w:t>），</w:t>
            </w:r>
            <w:r>
              <w:rPr>
                <w:rFonts w:hint="default" w:ascii="Times New Roman" w:hAnsi="Times New Roman" w:eastAsia="宋体" w:cs="Times New Roman"/>
                <w:color w:val="auto"/>
                <w:spacing w:val="-7"/>
                <w:sz w:val="21"/>
                <w:szCs w:val="21"/>
              </w:rPr>
              <w:t>引导其他石化化工项目在化</w:t>
            </w:r>
            <w:r>
              <w:rPr>
                <w:rFonts w:hint="default" w:ascii="Times New Roman" w:hAnsi="Times New Roman" w:eastAsia="宋体" w:cs="Times New Roman"/>
                <w:color w:val="auto"/>
                <w:spacing w:val="-8"/>
                <w:sz w:val="21"/>
                <w:szCs w:val="21"/>
              </w:rPr>
              <w:t>工园区发展。</w:t>
            </w:r>
          </w:p>
        </w:tc>
        <w:tc>
          <w:tcPr>
            <w:tcW w:w="3007" w:type="dxa"/>
            <w:noWrap w:val="0"/>
            <w:vAlign w:val="center"/>
          </w:tcPr>
          <w:p w14:paraId="79AC76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lang w:val="en-US" w:eastAsia="zh-CN"/>
              </w:rPr>
              <w:t>本项目不涉及。</w:t>
            </w:r>
          </w:p>
        </w:tc>
      </w:tr>
      <w:tr w14:paraId="04C6E2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28" w:type="dxa"/>
            <w:vMerge w:val="continue"/>
            <w:noWrap w:val="0"/>
            <w:vAlign w:val="center"/>
          </w:tcPr>
          <w:p w14:paraId="330223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7390F8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0DD53346">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〔A1.1-9〕严禁新建自治区《禁止、控制和限</w:t>
            </w:r>
            <w:r>
              <w:rPr>
                <w:rFonts w:hint="default" w:ascii="Times New Roman" w:hAnsi="Times New Roman" w:eastAsia="宋体" w:cs="Times New Roman"/>
                <w:color w:val="auto"/>
                <w:spacing w:val="3"/>
                <w:sz w:val="21"/>
                <w:szCs w:val="21"/>
              </w:rPr>
              <w:t>制危险化学品目录》</w:t>
            </w:r>
            <w:r>
              <w:rPr>
                <w:rFonts w:hint="default" w:ascii="Times New Roman" w:hAnsi="Times New Roman" w:eastAsia="宋体" w:cs="Times New Roman"/>
                <w:color w:val="auto"/>
                <w:spacing w:val="4"/>
                <w:sz w:val="21"/>
                <w:szCs w:val="21"/>
              </w:rPr>
              <w:t>中淘汰类、禁止类危险化学品化工项目。严格执行生态保护红线、</w:t>
            </w:r>
            <w:r>
              <w:rPr>
                <w:rFonts w:hint="default" w:ascii="Times New Roman" w:hAnsi="Times New Roman" w:eastAsia="宋体" w:cs="Times New Roman"/>
                <w:color w:val="auto"/>
                <w:spacing w:val="1"/>
                <w:sz w:val="21"/>
                <w:szCs w:val="21"/>
              </w:rPr>
              <w:t>永久基本农田管控要求，禁止新</w:t>
            </w:r>
            <w:r>
              <w:rPr>
                <w:rFonts w:hint="default" w:ascii="Times New Roman" w:hAnsi="Times New Roman" w:eastAsia="宋体" w:cs="Times New Roman"/>
                <w:color w:val="auto"/>
                <w:spacing w:val="1"/>
                <w:sz w:val="21"/>
                <w:szCs w:val="21"/>
                <w:lang w:eastAsia="zh-CN"/>
              </w:rPr>
              <w:t>（</w:t>
            </w:r>
            <w:r>
              <w:rPr>
                <w:rFonts w:hint="default" w:ascii="Times New Roman" w:hAnsi="Times New Roman" w:eastAsia="宋体" w:cs="Times New Roman"/>
                <w:color w:val="auto"/>
                <w:spacing w:val="1"/>
                <w:sz w:val="21"/>
                <w:szCs w:val="21"/>
              </w:rPr>
              <w:t>改、扩</w:t>
            </w:r>
            <w:r>
              <w:rPr>
                <w:rFonts w:hint="default" w:ascii="Times New Roman" w:hAnsi="Times New Roman" w:eastAsia="宋体" w:cs="Times New Roman"/>
                <w:color w:val="auto"/>
                <w:spacing w:val="1"/>
                <w:sz w:val="21"/>
                <w:szCs w:val="21"/>
                <w:lang w:eastAsia="zh-CN"/>
              </w:rPr>
              <w:t>）</w:t>
            </w:r>
            <w:r>
              <w:rPr>
                <w:rFonts w:hint="default" w:ascii="Times New Roman" w:hAnsi="Times New Roman" w:eastAsia="宋体" w:cs="Times New Roman"/>
                <w:color w:val="auto"/>
                <w:spacing w:val="1"/>
                <w:sz w:val="21"/>
                <w:szCs w:val="21"/>
              </w:rPr>
              <w:t>建化工项目违规占用</w:t>
            </w:r>
            <w:r>
              <w:rPr>
                <w:rFonts w:hint="default" w:ascii="Times New Roman" w:hAnsi="Times New Roman" w:eastAsia="宋体" w:cs="Times New Roman"/>
                <w:color w:val="auto"/>
                <w:sz w:val="21"/>
                <w:szCs w:val="21"/>
              </w:rPr>
              <w:t>生态保护红线和永久基本农田。在塔里木河、伊犁河、额尔齐斯河</w:t>
            </w:r>
            <w:r>
              <w:rPr>
                <w:rFonts w:hint="default" w:ascii="Times New Roman" w:hAnsi="Times New Roman" w:eastAsia="宋体" w:cs="Times New Roman"/>
                <w:color w:val="auto"/>
                <w:spacing w:val="3"/>
                <w:sz w:val="21"/>
                <w:szCs w:val="21"/>
              </w:rPr>
              <w:t>干流及主要支流岸线1公里范围内，除提升安全、环</w:t>
            </w:r>
            <w:r>
              <w:rPr>
                <w:rFonts w:hint="default" w:ascii="Times New Roman" w:hAnsi="Times New Roman" w:eastAsia="宋体" w:cs="Times New Roman"/>
                <w:color w:val="auto"/>
                <w:spacing w:val="2"/>
                <w:sz w:val="21"/>
                <w:szCs w:val="21"/>
              </w:rPr>
              <w:t>保、节能、智</w:t>
            </w:r>
            <w:r>
              <w:rPr>
                <w:rFonts w:hint="default" w:ascii="Times New Roman" w:hAnsi="Times New Roman" w:eastAsia="宋体" w:cs="Times New Roman"/>
                <w:color w:val="auto"/>
                <w:sz w:val="21"/>
                <w:szCs w:val="21"/>
              </w:rPr>
              <w:t>能化、产品质量水平的技术改造项目外，严格禁止新建、扩建化工项目，不得布局新的化工园区</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含化工集中区</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pacing w:val="-1"/>
                <w:sz w:val="21"/>
                <w:szCs w:val="21"/>
              </w:rPr>
              <w:t>。</w:t>
            </w:r>
          </w:p>
        </w:tc>
        <w:tc>
          <w:tcPr>
            <w:tcW w:w="3007" w:type="dxa"/>
            <w:noWrap w:val="0"/>
            <w:vAlign w:val="center"/>
          </w:tcPr>
          <w:p w14:paraId="08E47F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lang w:val="en-US" w:eastAsia="zh-CN"/>
              </w:rPr>
              <w:t>本项目不涉及基本农田。</w:t>
            </w:r>
          </w:p>
        </w:tc>
      </w:tr>
      <w:tr w14:paraId="01D26D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28" w:type="dxa"/>
            <w:vMerge w:val="continue"/>
            <w:noWrap w:val="0"/>
            <w:vAlign w:val="center"/>
          </w:tcPr>
          <w:p w14:paraId="688666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31B108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027D2EF8">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1"/>
                <w:sz w:val="21"/>
                <w:szCs w:val="21"/>
              </w:rPr>
              <w:t>〔A1.1-10〕推动涉重金属产业集中优化发展，禁止新建用汞的电石</w:t>
            </w:r>
            <w:r>
              <w:rPr>
                <w:rFonts w:hint="default" w:ascii="Times New Roman" w:hAnsi="Times New Roman" w:eastAsia="宋体" w:cs="Times New Roman"/>
                <w:color w:val="auto"/>
                <w:spacing w:val="4"/>
                <w:sz w:val="21"/>
                <w:szCs w:val="21"/>
              </w:rPr>
              <w:t>法</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rPr>
              <w:t>聚</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rPr>
              <w:t>氯乙烯生产工艺，新建、扩建的重有色金属冶炼、电镀、</w:t>
            </w:r>
            <w:r>
              <w:rPr>
                <w:rFonts w:hint="default" w:ascii="Times New Roman" w:hAnsi="Times New Roman" w:eastAsia="宋体" w:cs="Times New Roman"/>
                <w:color w:val="auto"/>
                <w:spacing w:val="-1"/>
                <w:sz w:val="21"/>
                <w:szCs w:val="21"/>
              </w:rPr>
              <w:t>制革企业优先选择布设在依法合规设立并依法开展规划环境影响评价的产业园区。</w:t>
            </w:r>
          </w:p>
        </w:tc>
        <w:tc>
          <w:tcPr>
            <w:tcW w:w="3007" w:type="dxa"/>
            <w:noWrap w:val="0"/>
            <w:vAlign w:val="center"/>
          </w:tcPr>
          <w:p w14:paraId="5FE353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lang w:val="en-US" w:eastAsia="zh-CN"/>
              </w:rPr>
              <w:t>本项目不涉及。</w:t>
            </w:r>
          </w:p>
        </w:tc>
      </w:tr>
      <w:tr w14:paraId="25A888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28" w:type="dxa"/>
            <w:vMerge w:val="continue"/>
            <w:noWrap w:val="0"/>
            <w:vAlign w:val="center"/>
          </w:tcPr>
          <w:p w14:paraId="0BBC81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3C09A2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24C508AC">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1"/>
                <w:sz w:val="21"/>
                <w:szCs w:val="21"/>
              </w:rPr>
              <w:t>〔A1.1-11〕国务院有关部门和青藏高原县级以上地方人民政府应当</w:t>
            </w:r>
            <w:r>
              <w:rPr>
                <w:rFonts w:hint="default" w:ascii="Times New Roman" w:hAnsi="Times New Roman" w:eastAsia="宋体" w:cs="Times New Roman"/>
                <w:color w:val="auto"/>
                <w:spacing w:val="-3"/>
                <w:sz w:val="21"/>
                <w:szCs w:val="21"/>
              </w:rPr>
              <w:t>建立健全青藏高原雪山冰川冻土保护制度，加强对雪山冰川冻土的</w:t>
            </w:r>
            <w:r>
              <w:rPr>
                <w:rFonts w:hint="default" w:ascii="Times New Roman" w:hAnsi="Times New Roman" w:eastAsia="宋体" w:cs="Times New Roman"/>
                <w:color w:val="auto"/>
                <w:spacing w:val="1"/>
                <w:sz w:val="21"/>
                <w:szCs w:val="21"/>
              </w:rPr>
              <w:t>监测预警和系统保护。青藏高原省级人民政府</w:t>
            </w:r>
            <w:r>
              <w:rPr>
                <w:rFonts w:hint="default" w:ascii="Times New Roman" w:hAnsi="Times New Roman" w:eastAsia="宋体" w:cs="Times New Roman"/>
                <w:color w:val="auto"/>
                <w:sz w:val="21"/>
                <w:szCs w:val="21"/>
              </w:rPr>
              <w:t>应当将大型冰帽冰川、</w:t>
            </w:r>
            <w:r>
              <w:rPr>
                <w:rFonts w:hint="default" w:ascii="Times New Roman" w:hAnsi="Times New Roman" w:eastAsia="宋体" w:cs="Times New Roman"/>
                <w:color w:val="auto"/>
                <w:spacing w:val="-1"/>
                <w:sz w:val="21"/>
                <w:szCs w:val="21"/>
              </w:rPr>
              <w:t>小规模冰川群等划入生态保护红线，对重要雪山冰川实</w:t>
            </w:r>
            <w:r>
              <w:rPr>
                <w:rFonts w:hint="default" w:ascii="Times New Roman" w:hAnsi="Times New Roman" w:eastAsia="宋体" w:cs="Times New Roman"/>
                <w:color w:val="auto"/>
                <w:spacing w:val="-2"/>
                <w:sz w:val="21"/>
                <w:szCs w:val="21"/>
              </w:rPr>
              <w:t>施封禁保护，</w:t>
            </w:r>
            <w:r>
              <w:rPr>
                <w:rFonts w:hint="default" w:ascii="Times New Roman" w:hAnsi="Times New Roman" w:eastAsia="宋体" w:cs="Times New Roman"/>
                <w:color w:val="auto"/>
                <w:sz w:val="21"/>
                <w:szCs w:val="21"/>
              </w:rPr>
              <w:t>采取有效措施，严格控制人为扰动。青藏高原省级人民政府应当划</w:t>
            </w:r>
            <w:r>
              <w:rPr>
                <w:rFonts w:hint="default" w:ascii="Times New Roman" w:hAnsi="Times New Roman" w:eastAsia="宋体" w:cs="Times New Roman"/>
                <w:color w:val="auto"/>
                <w:spacing w:val="2"/>
                <w:sz w:val="21"/>
                <w:szCs w:val="21"/>
              </w:rPr>
              <w:t>定冻土区保护范围，加强对多年冻土区和中深季节冻土区的保护，</w:t>
            </w:r>
            <w:r>
              <w:rPr>
                <w:rFonts w:hint="default" w:ascii="Times New Roman" w:hAnsi="Times New Roman" w:eastAsia="宋体" w:cs="Times New Roman"/>
                <w:color w:val="auto"/>
                <w:sz w:val="21"/>
                <w:szCs w:val="21"/>
              </w:rPr>
              <w:t>严格控制多年冻土区资源开发，严格审批多年冻土区城镇规划和交</w:t>
            </w:r>
            <w:r>
              <w:rPr>
                <w:rFonts w:hint="default" w:ascii="Times New Roman" w:hAnsi="Times New Roman" w:eastAsia="宋体" w:cs="Times New Roman"/>
                <w:color w:val="auto"/>
                <w:spacing w:val="-1"/>
                <w:sz w:val="21"/>
                <w:szCs w:val="21"/>
              </w:rPr>
              <w:t>通、管线、输变电等重大工程项目。青藏高原省级人民政府应当开</w:t>
            </w:r>
            <w:r>
              <w:rPr>
                <w:rFonts w:hint="default" w:ascii="Times New Roman" w:hAnsi="Times New Roman" w:eastAsia="宋体" w:cs="Times New Roman"/>
                <w:color w:val="auto"/>
                <w:spacing w:val="1"/>
                <w:sz w:val="21"/>
                <w:szCs w:val="21"/>
              </w:rPr>
              <w:t>展雪山冰川冻土与周边生态系统的协同保护，维持有利于雪</w:t>
            </w:r>
            <w:r>
              <w:rPr>
                <w:rFonts w:hint="default" w:ascii="Times New Roman" w:hAnsi="Times New Roman" w:eastAsia="宋体" w:cs="Times New Roman"/>
                <w:color w:val="auto"/>
                <w:sz w:val="21"/>
                <w:szCs w:val="21"/>
              </w:rPr>
              <w:t>山冰川冻土保护的自然生态环境。</w:t>
            </w:r>
          </w:p>
        </w:tc>
        <w:tc>
          <w:tcPr>
            <w:tcW w:w="3007" w:type="dxa"/>
            <w:noWrap w:val="0"/>
            <w:vAlign w:val="center"/>
          </w:tcPr>
          <w:p w14:paraId="4B7137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lang w:val="en-US" w:eastAsia="zh-CN"/>
              </w:rPr>
              <w:t>本项目不涉及。</w:t>
            </w:r>
          </w:p>
        </w:tc>
      </w:tr>
      <w:tr w14:paraId="4DFA0A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28" w:type="dxa"/>
            <w:vMerge w:val="continue"/>
            <w:noWrap w:val="0"/>
            <w:vAlign w:val="center"/>
          </w:tcPr>
          <w:p w14:paraId="7BDD22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restart"/>
            <w:noWrap w:val="0"/>
            <w:vAlign w:val="center"/>
          </w:tcPr>
          <w:p w14:paraId="26F180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1"/>
                <w:sz w:val="21"/>
                <w:szCs w:val="21"/>
              </w:rPr>
              <w:t>A1.2限</w:t>
            </w:r>
            <w:r>
              <w:rPr>
                <w:rFonts w:hint="default" w:ascii="Times New Roman" w:hAnsi="Times New Roman" w:eastAsia="宋体" w:cs="Times New Roman"/>
                <w:color w:val="auto"/>
                <w:spacing w:val="3"/>
                <w:sz w:val="21"/>
                <w:szCs w:val="21"/>
              </w:rPr>
              <w:t>制开发</w:t>
            </w:r>
            <w:r>
              <w:rPr>
                <w:rFonts w:hint="default" w:ascii="Times New Roman" w:hAnsi="Times New Roman" w:eastAsia="宋体" w:cs="Times New Roman"/>
                <w:color w:val="auto"/>
                <w:spacing w:val="6"/>
                <w:sz w:val="21"/>
                <w:szCs w:val="21"/>
              </w:rPr>
              <w:t>建设的</w:t>
            </w:r>
            <w:r>
              <w:rPr>
                <w:rFonts w:hint="default" w:ascii="Times New Roman" w:hAnsi="Times New Roman" w:eastAsia="宋体" w:cs="Times New Roman"/>
                <w:color w:val="auto"/>
                <w:spacing w:val="8"/>
                <w:sz w:val="21"/>
                <w:szCs w:val="21"/>
              </w:rPr>
              <w:t>活动</w:t>
            </w:r>
          </w:p>
        </w:tc>
        <w:tc>
          <w:tcPr>
            <w:tcW w:w="9497" w:type="dxa"/>
            <w:noWrap w:val="0"/>
            <w:vAlign w:val="center"/>
          </w:tcPr>
          <w:p w14:paraId="1A2AF5B3">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2"/>
                <w:sz w:val="21"/>
                <w:szCs w:val="21"/>
              </w:rPr>
              <w:t>〔A1.2-1〕严格控制缺水地区、水污染严重区域和敏感区域</w:t>
            </w:r>
            <w:r>
              <w:rPr>
                <w:rFonts w:hint="default" w:ascii="Times New Roman" w:hAnsi="Times New Roman" w:eastAsia="宋体" w:cs="Times New Roman"/>
                <w:color w:val="auto"/>
                <w:spacing w:val="-3"/>
                <w:sz w:val="21"/>
                <w:szCs w:val="21"/>
              </w:rPr>
              <w:t>高耗水、高污染行业发展。</w:t>
            </w:r>
          </w:p>
        </w:tc>
        <w:tc>
          <w:tcPr>
            <w:tcW w:w="3007" w:type="dxa"/>
            <w:noWrap w:val="0"/>
            <w:vAlign w:val="center"/>
          </w:tcPr>
          <w:p w14:paraId="23EA01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本项目不属于高污染、高耗水行业。</w:t>
            </w:r>
          </w:p>
        </w:tc>
      </w:tr>
      <w:tr w14:paraId="498DC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28" w:type="dxa"/>
            <w:vMerge w:val="continue"/>
            <w:noWrap w:val="0"/>
            <w:vAlign w:val="center"/>
          </w:tcPr>
          <w:p w14:paraId="533B30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42DB00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63BB02AF">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5"/>
                <w:sz w:val="21"/>
                <w:szCs w:val="21"/>
              </w:rPr>
              <w:t>〔A1.2-2〕建设项目用地原则上不得</w:t>
            </w:r>
            <w:r>
              <w:rPr>
                <w:rFonts w:hint="default" w:ascii="Times New Roman" w:hAnsi="Times New Roman" w:eastAsia="宋体" w:cs="Times New Roman"/>
                <w:color w:val="auto"/>
                <w:spacing w:val="4"/>
                <w:sz w:val="21"/>
                <w:szCs w:val="21"/>
              </w:rPr>
              <w:t>占用永久基本农田，确需占用</w:t>
            </w:r>
            <w:r>
              <w:rPr>
                <w:rFonts w:hint="default" w:ascii="Times New Roman" w:hAnsi="Times New Roman" w:eastAsia="宋体" w:cs="Times New Roman"/>
                <w:color w:val="auto"/>
                <w:sz w:val="21"/>
                <w:szCs w:val="21"/>
              </w:rPr>
              <w:t>永久基本农田的建设项目须符合《中华人民共和国基本农田保护条</w:t>
            </w:r>
            <w:r>
              <w:rPr>
                <w:rFonts w:hint="default" w:ascii="Times New Roman" w:hAnsi="Times New Roman" w:eastAsia="宋体" w:cs="Times New Roman"/>
                <w:color w:val="auto"/>
                <w:spacing w:val="4"/>
                <w:sz w:val="21"/>
                <w:szCs w:val="21"/>
              </w:rPr>
              <w:t>例》中相关要求，占用耕地、林地或草地的建设项目须按照国家、</w:t>
            </w:r>
            <w:r>
              <w:rPr>
                <w:rFonts w:hint="default" w:ascii="Times New Roman" w:hAnsi="Times New Roman" w:eastAsia="宋体" w:cs="Times New Roman"/>
                <w:color w:val="auto"/>
                <w:spacing w:val="2"/>
                <w:sz w:val="21"/>
                <w:szCs w:val="21"/>
              </w:rPr>
              <w:t>自治区相关补偿要求进行补偿。</w:t>
            </w:r>
          </w:p>
        </w:tc>
        <w:tc>
          <w:tcPr>
            <w:tcW w:w="3007" w:type="dxa"/>
            <w:noWrap w:val="0"/>
            <w:vAlign w:val="center"/>
          </w:tcPr>
          <w:p w14:paraId="237B7CA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kern w:val="0"/>
                <w:sz w:val="21"/>
                <w:szCs w:val="21"/>
                <w:lang w:val="en-US" w:eastAsia="zh-CN" w:bidi="ar"/>
              </w:rPr>
              <w:t>本项目</w:t>
            </w:r>
            <w:r>
              <w:rPr>
                <w:rFonts w:hint="default" w:ascii="Times New Roman" w:hAnsi="Times New Roman" w:eastAsia="宋体" w:cs="Times New Roman"/>
                <w:color w:val="auto"/>
                <w:sz w:val="21"/>
                <w:szCs w:val="21"/>
                <w:vertAlign w:val="baseline"/>
                <w:lang w:val="en-US" w:eastAsia="zh-CN"/>
              </w:rPr>
              <w:t>不涉及</w:t>
            </w:r>
            <w:r>
              <w:rPr>
                <w:rFonts w:hint="default" w:ascii="Times New Roman" w:hAnsi="Times New Roman" w:eastAsia="宋体" w:cs="Times New Roman"/>
                <w:color w:val="auto"/>
                <w:kern w:val="0"/>
                <w:sz w:val="21"/>
                <w:szCs w:val="21"/>
                <w:lang w:val="en-US" w:eastAsia="zh-CN" w:bidi="ar"/>
              </w:rPr>
              <w:t>占用永久基本农田、林地、草地等</w:t>
            </w:r>
            <w:r>
              <w:rPr>
                <w:rFonts w:hint="default" w:ascii="Times New Roman" w:hAnsi="Times New Roman" w:eastAsia="宋体" w:cs="Times New Roman"/>
                <w:color w:val="auto"/>
                <w:kern w:val="0"/>
                <w:sz w:val="21"/>
                <w:szCs w:val="21"/>
                <w:highlight w:val="none"/>
                <w:lang w:val="en-US" w:eastAsia="zh-CN" w:bidi="ar"/>
              </w:rPr>
              <w:t>（本项目占地类型为设施农用地）</w:t>
            </w:r>
            <w:r>
              <w:rPr>
                <w:rFonts w:hint="default" w:ascii="Times New Roman" w:hAnsi="Times New Roman" w:eastAsia="宋体" w:cs="Times New Roman"/>
                <w:color w:val="auto"/>
                <w:kern w:val="0"/>
                <w:sz w:val="21"/>
                <w:szCs w:val="21"/>
                <w:lang w:val="en-US" w:eastAsia="zh-CN" w:bidi="ar"/>
              </w:rPr>
              <w:t>。</w:t>
            </w:r>
          </w:p>
        </w:tc>
      </w:tr>
      <w:tr w14:paraId="102598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28" w:type="dxa"/>
            <w:vMerge w:val="continue"/>
            <w:noWrap w:val="0"/>
            <w:vAlign w:val="center"/>
          </w:tcPr>
          <w:p w14:paraId="7126EA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42AAFF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10B63849">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〔A1.2-3〕以用途变更为住宅、公共管理与公共服务用地的地块为</w:t>
            </w:r>
            <w:r>
              <w:rPr>
                <w:rFonts w:hint="default" w:ascii="Times New Roman" w:hAnsi="Times New Roman" w:eastAsia="宋体" w:cs="Times New Roman"/>
                <w:color w:val="auto"/>
                <w:spacing w:val="1"/>
                <w:sz w:val="21"/>
                <w:szCs w:val="21"/>
              </w:rPr>
              <w:t>重点，严格建设用地准入管理和风险管控，</w:t>
            </w:r>
            <w:r>
              <w:rPr>
                <w:rFonts w:hint="default" w:ascii="Times New Roman" w:hAnsi="Times New Roman" w:eastAsia="宋体" w:cs="Times New Roman"/>
                <w:color w:val="auto"/>
                <w:sz w:val="21"/>
                <w:szCs w:val="21"/>
              </w:rPr>
              <w:t>未依法完成土壤污染状</w:t>
            </w:r>
            <w:r>
              <w:rPr>
                <w:rFonts w:hint="default" w:ascii="Times New Roman" w:hAnsi="Times New Roman" w:eastAsia="宋体" w:cs="Times New Roman"/>
                <w:color w:val="auto"/>
                <w:spacing w:val="1"/>
                <w:sz w:val="21"/>
                <w:szCs w:val="21"/>
              </w:rPr>
              <w:t>况调查或风险评估的地块，不得开工建设与风险管控和修复无</w:t>
            </w:r>
            <w:r>
              <w:rPr>
                <w:rFonts w:hint="default" w:ascii="Times New Roman" w:hAnsi="Times New Roman" w:eastAsia="宋体" w:cs="Times New Roman"/>
                <w:color w:val="auto"/>
                <w:sz w:val="21"/>
                <w:szCs w:val="21"/>
              </w:rPr>
              <w:t>关的项目。</w:t>
            </w:r>
          </w:p>
        </w:tc>
        <w:tc>
          <w:tcPr>
            <w:tcW w:w="3007" w:type="dxa"/>
            <w:noWrap w:val="0"/>
            <w:vAlign w:val="center"/>
          </w:tcPr>
          <w:p w14:paraId="7E8BD5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本项目不涉及。</w:t>
            </w:r>
          </w:p>
        </w:tc>
      </w:tr>
      <w:tr w14:paraId="28E625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28" w:type="dxa"/>
            <w:vMerge w:val="continue"/>
            <w:noWrap w:val="0"/>
            <w:vAlign w:val="center"/>
          </w:tcPr>
          <w:p w14:paraId="15DD1E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20F326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37028C23">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3"/>
                <w:sz w:val="21"/>
                <w:szCs w:val="21"/>
              </w:rPr>
              <w:t>〔A1.2-4〕严格控制建设项目占用湿地。因国家和自治区重</w:t>
            </w:r>
            <w:r>
              <w:rPr>
                <w:rFonts w:hint="default" w:ascii="Times New Roman" w:hAnsi="Times New Roman" w:eastAsia="宋体" w:cs="Times New Roman"/>
                <w:color w:val="auto"/>
                <w:spacing w:val="2"/>
                <w:sz w:val="21"/>
                <w:szCs w:val="21"/>
              </w:rPr>
              <w:t>点建设</w:t>
            </w:r>
            <w:r>
              <w:rPr>
                <w:rFonts w:hint="default" w:ascii="Times New Roman" w:hAnsi="Times New Roman" w:eastAsia="宋体" w:cs="Times New Roman"/>
                <w:color w:val="auto"/>
                <w:spacing w:val="-1"/>
                <w:sz w:val="21"/>
                <w:szCs w:val="21"/>
              </w:rPr>
              <w:t>工程、基础设施建设，以及重点公益性项目建设</w:t>
            </w:r>
            <w:r>
              <w:rPr>
                <w:rFonts w:hint="default" w:ascii="Times New Roman" w:hAnsi="Times New Roman" w:eastAsia="宋体" w:cs="Times New Roman"/>
                <w:color w:val="auto"/>
                <w:spacing w:val="-2"/>
                <w:sz w:val="21"/>
                <w:szCs w:val="21"/>
              </w:rPr>
              <w:t>，确需占用湿地的，</w:t>
            </w:r>
            <w:r>
              <w:rPr>
                <w:rFonts w:hint="default" w:ascii="Times New Roman" w:hAnsi="Times New Roman" w:eastAsia="宋体" w:cs="Times New Roman"/>
                <w:color w:val="auto"/>
                <w:sz w:val="21"/>
                <w:szCs w:val="21"/>
              </w:rPr>
              <w:t>应当按照有关法律、法规规定的权限和程序办理批准手续。</w:t>
            </w:r>
          </w:p>
        </w:tc>
        <w:tc>
          <w:tcPr>
            <w:tcW w:w="3007" w:type="dxa"/>
            <w:noWrap w:val="0"/>
            <w:vAlign w:val="center"/>
          </w:tcPr>
          <w:p w14:paraId="48DC1B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本项目不涉及占用湿地。</w:t>
            </w:r>
          </w:p>
        </w:tc>
      </w:tr>
      <w:tr w14:paraId="41B527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28" w:type="dxa"/>
            <w:vMerge w:val="continue"/>
            <w:noWrap w:val="0"/>
            <w:vAlign w:val="center"/>
          </w:tcPr>
          <w:p w14:paraId="2170DF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36153C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561F46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〔A1.2-5〕严格管控自然保护地范围内非生态活动，稳妥推进核心</w:t>
            </w:r>
            <w:r>
              <w:rPr>
                <w:rFonts w:hint="default" w:ascii="Times New Roman" w:hAnsi="Times New Roman" w:eastAsia="宋体" w:cs="Times New Roman"/>
                <w:color w:val="auto"/>
                <w:sz w:val="21"/>
                <w:szCs w:val="21"/>
              </w:rPr>
              <w:t>区内居民、耕地有序退出，矿权依法依规退出。</w:t>
            </w:r>
          </w:p>
        </w:tc>
        <w:tc>
          <w:tcPr>
            <w:tcW w:w="3007" w:type="dxa"/>
            <w:noWrap w:val="0"/>
            <w:vAlign w:val="center"/>
          </w:tcPr>
          <w:p w14:paraId="6DFACD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本项目不在自然保护地范围内。</w:t>
            </w:r>
          </w:p>
        </w:tc>
      </w:tr>
      <w:tr w14:paraId="16E8BA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3AF28D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restart"/>
            <w:noWrap w:val="0"/>
            <w:vAlign w:val="center"/>
          </w:tcPr>
          <w:p w14:paraId="085CA9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1"/>
                <w:sz w:val="21"/>
                <w:szCs w:val="21"/>
              </w:rPr>
              <w:t>A1.3不</w:t>
            </w:r>
            <w:r>
              <w:rPr>
                <w:rFonts w:hint="default" w:ascii="Times New Roman" w:hAnsi="Times New Roman" w:eastAsia="宋体" w:cs="Times New Roman"/>
                <w:color w:val="auto"/>
                <w:spacing w:val="4"/>
                <w:sz w:val="21"/>
                <w:szCs w:val="21"/>
              </w:rPr>
              <w:t>符合空</w:t>
            </w:r>
            <w:r>
              <w:rPr>
                <w:rFonts w:hint="default" w:ascii="Times New Roman" w:hAnsi="Times New Roman" w:eastAsia="宋体" w:cs="Times New Roman"/>
                <w:color w:val="auto"/>
                <w:spacing w:val="7"/>
                <w:sz w:val="21"/>
                <w:szCs w:val="21"/>
              </w:rPr>
              <w:t>间布局</w:t>
            </w:r>
            <w:r>
              <w:rPr>
                <w:rFonts w:hint="default" w:ascii="Times New Roman" w:hAnsi="Times New Roman" w:eastAsia="宋体" w:cs="Times New Roman"/>
                <w:color w:val="auto"/>
                <w:spacing w:val="-4"/>
                <w:sz w:val="21"/>
                <w:szCs w:val="21"/>
              </w:rPr>
              <w:t>要求活动的退</w:t>
            </w:r>
            <w:r>
              <w:rPr>
                <w:rFonts w:hint="default" w:ascii="Times New Roman" w:hAnsi="Times New Roman" w:eastAsia="宋体" w:cs="Times New Roman"/>
                <w:color w:val="auto"/>
                <w:spacing w:val="3"/>
                <w:sz w:val="21"/>
                <w:szCs w:val="21"/>
              </w:rPr>
              <w:t>出要求</w:t>
            </w:r>
          </w:p>
        </w:tc>
        <w:tc>
          <w:tcPr>
            <w:tcW w:w="9497" w:type="dxa"/>
            <w:noWrap w:val="0"/>
            <w:vAlign w:val="center"/>
          </w:tcPr>
          <w:p w14:paraId="535C754B">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1"/>
                <w:sz w:val="21"/>
                <w:szCs w:val="21"/>
              </w:rPr>
              <w:t>〔A1.3-1〕任何单位和个人不得在水源涵养区、饮用水水源保护区内和河流、湖泊、水库周围建设重化工、涉重金</w:t>
            </w:r>
            <w:r>
              <w:rPr>
                <w:rFonts w:hint="default" w:ascii="Times New Roman" w:hAnsi="Times New Roman" w:eastAsia="宋体" w:cs="Times New Roman"/>
                <w:color w:val="auto"/>
                <w:sz w:val="21"/>
                <w:szCs w:val="21"/>
              </w:rPr>
              <w:t>属等工业污染项目；对已建成的工业污染项目，当地人民政府应当组织限期搬迁。</w:t>
            </w:r>
          </w:p>
        </w:tc>
        <w:tc>
          <w:tcPr>
            <w:tcW w:w="3007" w:type="dxa"/>
            <w:noWrap w:val="0"/>
            <w:vAlign w:val="center"/>
          </w:tcPr>
          <w:p w14:paraId="4DC591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本项目不涉及。</w:t>
            </w:r>
          </w:p>
        </w:tc>
      </w:tr>
      <w:tr w14:paraId="5A2902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50F167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68A6B1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251E86CA">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〔A1.3-2〕对不符合国家产业政策、严重污染水环境的生产项目全</w:t>
            </w:r>
            <w:r>
              <w:rPr>
                <w:rFonts w:hint="default" w:ascii="Times New Roman" w:hAnsi="Times New Roman" w:eastAsia="宋体" w:cs="Times New Roman"/>
                <w:color w:val="auto"/>
                <w:spacing w:val="-1"/>
                <w:sz w:val="21"/>
                <w:szCs w:val="21"/>
              </w:rPr>
              <w:t>部予以取缔。</w:t>
            </w:r>
          </w:p>
        </w:tc>
        <w:tc>
          <w:tcPr>
            <w:tcW w:w="3007" w:type="dxa"/>
            <w:noWrap w:val="0"/>
            <w:vAlign w:val="center"/>
          </w:tcPr>
          <w:p w14:paraId="76E649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本项目运营期不涉及生产、生活用水。</w:t>
            </w:r>
          </w:p>
        </w:tc>
      </w:tr>
      <w:tr w14:paraId="63458D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39500D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25F1C4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698609A1">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2"/>
                <w:sz w:val="21"/>
                <w:szCs w:val="21"/>
              </w:rPr>
              <w:t>〔A1.3-3〕根据《产业结构调整指导目录》《限期淘汰产生严重污染</w:t>
            </w:r>
            <w:r>
              <w:rPr>
                <w:rFonts w:hint="default" w:ascii="Times New Roman" w:hAnsi="Times New Roman" w:eastAsia="宋体" w:cs="Times New Roman"/>
                <w:color w:val="auto"/>
                <w:spacing w:val="1"/>
                <w:sz w:val="21"/>
                <w:szCs w:val="21"/>
              </w:rPr>
              <w:t>环境的工业固体废物的落后生产工艺设备名录》等要求，配合有关部门依法淘汰烧结-鼓风炉5炼铅工艺炼铅等涉重金属落后产能和化</w:t>
            </w:r>
            <w:r>
              <w:rPr>
                <w:rFonts w:hint="default" w:ascii="Times New Roman" w:hAnsi="Times New Roman" w:eastAsia="宋体" w:cs="Times New Roman"/>
                <w:color w:val="auto"/>
                <w:sz w:val="21"/>
                <w:szCs w:val="21"/>
              </w:rPr>
              <w:t>解过剩产能。严格执行生态环境保护等相关法规标准，推动经整改</w:t>
            </w:r>
            <w:r>
              <w:rPr>
                <w:rFonts w:hint="default" w:ascii="Times New Roman" w:hAnsi="Times New Roman" w:eastAsia="宋体" w:cs="Times New Roman"/>
                <w:color w:val="auto"/>
                <w:spacing w:val="-1"/>
                <w:sz w:val="21"/>
                <w:szCs w:val="21"/>
              </w:rPr>
              <w:t>仍达不到要求的产能依法依规关闭退出。</w:t>
            </w:r>
          </w:p>
        </w:tc>
        <w:tc>
          <w:tcPr>
            <w:tcW w:w="3007" w:type="dxa"/>
            <w:noWrap w:val="0"/>
            <w:vAlign w:val="center"/>
          </w:tcPr>
          <w:p w14:paraId="080981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本项目不属于《产业结构调整指导目录》《限期淘汰产生严重污染环境的工业固体废物的落后生产工艺设备名录》等要求。</w:t>
            </w:r>
          </w:p>
        </w:tc>
      </w:tr>
      <w:tr w14:paraId="0CFE59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1AFAC5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2DF8EC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0ED6462F">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〔A1.3-4〕城市建成区、重点流域内已建成投产化工企业和危险化</w:t>
            </w:r>
            <w:r>
              <w:rPr>
                <w:rFonts w:hint="default" w:ascii="Times New Roman" w:hAnsi="Times New Roman" w:eastAsia="宋体" w:cs="Times New Roman"/>
                <w:color w:val="auto"/>
                <w:sz w:val="21"/>
                <w:szCs w:val="21"/>
              </w:rPr>
              <w:t>学品生产企业应加快退城入园，搬入化工园区前企业不应实施改扩建工程扩大生产规模。</w:t>
            </w:r>
          </w:p>
        </w:tc>
        <w:tc>
          <w:tcPr>
            <w:tcW w:w="3007" w:type="dxa"/>
            <w:noWrap w:val="0"/>
            <w:vAlign w:val="center"/>
          </w:tcPr>
          <w:p w14:paraId="28AC3C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本项目不涉及。</w:t>
            </w:r>
          </w:p>
        </w:tc>
      </w:tr>
      <w:tr w14:paraId="27F603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47B453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restart"/>
            <w:noWrap w:val="0"/>
            <w:vAlign w:val="center"/>
          </w:tcPr>
          <w:p w14:paraId="528B0C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1"/>
                <w:sz w:val="21"/>
                <w:szCs w:val="21"/>
              </w:rPr>
              <w:t>A1.4其</w:t>
            </w:r>
            <w:r>
              <w:rPr>
                <w:rFonts w:hint="default" w:ascii="Times New Roman" w:hAnsi="Times New Roman" w:eastAsia="宋体" w:cs="Times New Roman"/>
                <w:color w:val="auto"/>
                <w:spacing w:val="7"/>
                <w:sz w:val="21"/>
                <w:szCs w:val="21"/>
              </w:rPr>
              <w:t>它布局</w:t>
            </w:r>
            <w:r>
              <w:rPr>
                <w:rFonts w:hint="default" w:ascii="Times New Roman" w:hAnsi="Times New Roman" w:eastAsia="宋体" w:cs="Times New Roman"/>
                <w:color w:val="auto"/>
                <w:spacing w:val="5"/>
                <w:sz w:val="21"/>
                <w:szCs w:val="21"/>
              </w:rPr>
              <w:t>要求</w:t>
            </w:r>
          </w:p>
        </w:tc>
        <w:tc>
          <w:tcPr>
            <w:tcW w:w="9497" w:type="dxa"/>
            <w:noWrap w:val="0"/>
            <w:vAlign w:val="center"/>
          </w:tcPr>
          <w:p w14:paraId="7D1124DF">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1"/>
                <w:sz w:val="21"/>
                <w:szCs w:val="21"/>
              </w:rPr>
              <w:t>〔A1.4-1〕一切开发建设活动应符合国家、自治区主体功能区规划、</w:t>
            </w:r>
            <w:r>
              <w:rPr>
                <w:rFonts w:hint="default" w:ascii="Times New Roman" w:hAnsi="Times New Roman" w:eastAsia="宋体" w:cs="Times New Roman"/>
                <w:color w:val="auto"/>
                <w:spacing w:val="4"/>
                <w:sz w:val="21"/>
                <w:szCs w:val="21"/>
              </w:rPr>
              <w:t>自治区和各地颁布实施的生态环境功能区划、国民经济发展规划、</w:t>
            </w:r>
            <w:r>
              <w:rPr>
                <w:rFonts w:hint="default" w:ascii="Times New Roman" w:hAnsi="Times New Roman" w:eastAsia="宋体" w:cs="Times New Roman"/>
                <w:color w:val="auto"/>
                <w:spacing w:val="1"/>
                <w:sz w:val="21"/>
                <w:szCs w:val="21"/>
              </w:rPr>
              <w:t>产业发展规划、国土空间规划等相关规划及重点</w:t>
            </w:r>
            <w:r>
              <w:rPr>
                <w:rFonts w:hint="default" w:ascii="Times New Roman" w:hAnsi="Times New Roman" w:eastAsia="宋体" w:cs="Times New Roman"/>
                <w:color w:val="auto"/>
                <w:sz w:val="21"/>
                <w:szCs w:val="21"/>
              </w:rPr>
              <w:t>生态功能区负面清单要求，符合区域或产业规划环评要求。</w:t>
            </w:r>
          </w:p>
        </w:tc>
        <w:tc>
          <w:tcPr>
            <w:tcW w:w="3007" w:type="dxa"/>
            <w:noWrap w:val="0"/>
            <w:vAlign w:val="center"/>
          </w:tcPr>
          <w:p w14:paraId="2576A6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对照《产业结构调整指导目录》（2024年本）项目属于</w:t>
            </w:r>
            <w:r>
              <w:rPr>
                <w:rFonts w:hint="default" w:ascii="Times New Roman" w:hAnsi="Times New Roman" w:eastAsia="宋体" w:cs="Times New Roman"/>
                <w:color w:val="auto"/>
                <w:sz w:val="21"/>
                <w:szCs w:val="21"/>
                <w:highlight w:val="none"/>
                <w:vertAlign w:val="baseline"/>
                <w:lang w:val="en-US" w:eastAsia="zh-CN"/>
              </w:rPr>
              <w:t>鼓励类</w:t>
            </w:r>
            <w:r>
              <w:rPr>
                <w:rFonts w:hint="default" w:ascii="Times New Roman" w:hAnsi="Times New Roman" w:eastAsia="宋体" w:cs="Times New Roman"/>
                <w:color w:val="auto"/>
                <w:sz w:val="21"/>
                <w:szCs w:val="21"/>
                <w:vertAlign w:val="baseline"/>
              </w:rPr>
              <w:t>，对照国家发展改革委和商务部发布的《市场准入负面清单（202</w:t>
            </w:r>
            <w:r>
              <w:rPr>
                <w:rFonts w:hint="default" w:ascii="Times New Roman" w:hAnsi="Times New Roman" w:eastAsia="宋体" w:cs="Times New Roman"/>
                <w:color w:val="auto"/>
                <w:sz w:val="21"/>
                <w:szCs w:val="21"/>
                <w:vertAlign w:val="baseline"/>
                <w:lang w:val="en-US" w:eastAsia="zh-CN"/>
              </w:rPr>
              <w:t>5</w:t>
            </w:r>
            <w:r>
              <w:rPr>
                <w:rFonts w:hint="default" w:ascii="Times New Roman" w:hAnsi="Times New Roman" w:eastAsia="宋体" w:cs="Times New Roman"/>
                <w:color w:val="auto"/>
                <w:sz w:val="21"/>
                <w:szCs w:val="21"/>
                <w:vertAlign w:val="baseline"/>
              </w:rPr>
              <w:t>年版）》，属于许可准入类。</w:t>
            </w:r>
          </w:p>
        </w:tc>
      </w:tr>
      <w:tr w14:paraId="254168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787463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69306D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349A56F7">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〔A1.4-2〕新建、扩建石化、化工、焦化、有色金属冶炼、平板玻</w:t>
            </w:r>
            <w:r>
              <w:rPr>
                <w:rFonts w:hint="default" w:ascii="Times New Roman" w:hAnsi="Times New Roman" w:eastAsia="宋体" w:cs="Times New Roman"/>
                <w:color w:val="auto"/>
                <w:sz w:val="21"/>
                <w:szCs w:val="21"/>
              </w:rPr>
              <w:t>璃项目应布设在依法合规设立并经规划环评的产业园区。</w:t>
            </w:r>
          </w:p>
        </w:tc>
        <w:tc>
          <w:tcPr>
            <w:tcW w:w="3007" w:type="dxa"/>
            <w:noWrap w:val="0"/>
            <w:vAlign w:val="center"/>
          </w:tcPr>
          <w:p w14:paraId="7468F8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lang w:val="en-US" w:eastAsia="zh-CN"/>
              </w:rPr>
              <w:t>本项目不涉及。</w:t>
            </w:r>
          </w:p>
        </w:tc>
      </w:tr>
      <w:tr w14:paraId="13F04B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6E9153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171221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67800F94">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〔A1.4-3〕危险化学品生产企业搬迁改造及新建化工项目必须进入</w:t>
            </w:r>
            <w:r>
              <w:rPr>
                <w:rFonts w:hint="default" w:ascii="Times New Roman" w:hAnsi="Times New Roman" w:eastAsia="宋体" w:cs="Times New Roman"/>
                <w:color w:val="auto"/>
                <w:spacing w:val="-3"/>
                <w:sz w:val="21"/>
                <w:szCs w:val="21"/>
              </w:rPr>
              <w:t>国家及自治区各级人民政府正式批准设立，规划环评通过审查，规</w:t>
            </w:r>
            <w:r>
              <w:rPr>
                <w:rFonts w:hint="default" w:ascii="Times New Roman" w:hAnsi="Times New Roman" w:eastAsia="宋体" w:cs="Times New Roman"/>
                <w:color w:val="auto"/>
                <w:spacing w:val="1"/>
                <w:sz w:val="21"/>
                <w:szCs w:val="21"/>
              </w:rPr>
              <w:t>划通过审批且环保基础设施完善的工业园区，并</w:t>
            </w:r>
            <w:r>
              <w:rPr>
                <w:rFonts w:hint="default" w:ascii="Times New Roman" w:hAnsi="Times New Roman" w:eastAsia="宋体" w:cs="Times New Roman"/>
                <w:color w:val="auto"/>
                <w:sz w:val="21"/>
                <w:szCs w:val="21"/>
              </w:rPr>
              <w:t>符合国土空间规划、</w:t>
            </w:r>
            <w:r>
              <w:rPr>
                <w:rFonts w:hint="default" w:ascii="Times New Roman" w:hAnsi="Times New Roman" w:eastAsia="宋体" w:cs="Times New Roman"/>
                <w:color w:val="auto"/>
                <w:spacing w:val="2"/>
                <w:sz w:val="21"/>
                <w:szCs w:val="21"/>
              </w:rPr>
              <w:t>产业发展规划和生态红线管控要求。</w:t>
            </w:r>
          </w:p>
        </w:tc>
        <w:tc>
          <w:tcPr>
            <w:tcW w:w="3007" w:type="dxa"/>
            <w:noWrap w:val="0"/>
            <w:vAlign w:val="center"/>
          </w:tcPr>
          <w:p w14:paraId="5124FD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本项目不涉及。</w:t>
            </w:r>
          </w:p>
        </w:tc>
      </w:tr>
      <w:tr w14:paraId="1A1541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restart"/>
            <w:noWrap w:val="0"/>
            <w:vAlign w:val="center"/>
          </w:tcPr>
          <w:p w14:paraId="09220210">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1"/>
                <w:sz w:val="21"/>
                <w:szCs w:val="21"/>
              </w:rPr>
              <w:t>A2污</w:t>
            </w:r>
            <w:r>
              <w:rPr>
                <w:rFonts w:hint="default" w:ascii="Times New Roman" w:hAnsi="Times New Roman" w:eastAsia="宋体" w:cs="Times New Roman"/>
                <w:color w:val="auto"/>
                <w:spacing w:val="6"/>
                <w:sz w:val="21"/>
                <w:szCs w:val="21"/>
              </w:rPr>
              <w:t>染物</w:t>
            </w:r>
            <w:r>
              <w:rPr>
                <w:rFonts w:hint="default" w:ascii="Times New Roman" w:hAnsi="Times New Roman" w:eastAsia="宋体" w:cs="Times New Roman"/>
                <w:color w:val="auto"/>
                <w:spacing w:val="-5"/>
                <w:sz w:val="21"/>
                <w:szCs w:val="21"/>
              </w:rPr>
              <w:t>排放</w:t>
            </w:r>
            <w:r>
              <w:rPr>
                <w:rFonts w:hint="default" w:ascii="Times New Roman" w:hAnsi="Times New Roman" w:eastAsia="宋体" w:cs="Times New Roman"/>
                <w:color w:val="auto"/>
                <w:spacing w:val="5"/>
                <w:sz w:val="21"/>
                <w:szCs w:val="21"/>
              </w:rPr>
              <w:t>管控</w:t>
            </w:r>
          </w:p>
        </w:tc>
        <w:tc>
          <w:tcPr>
            <w:tcW w:w="878" w:type="dxa"/>
            <w:vMerge w:val="restart"/>
            <w:noWrap w:val="0"/>
            <w:vAlign w:val="center"/>
          </w:tcPr>
          <w:p w14:paraId="70465879">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3"/>
                <w:sz w:val="21"/>
                <w:szCs w:val="21"/>
              </w:rPr>
              <w:t>A2.1污</w:t>
            </w:r>
            <w:r>
              <w:rPr>
                <w:rFonts w:hint="default" w:ascii="Times New Roman" w:hAnsi="Times New Roman" w:eastAsia="宋体" w:cs="Times New Roman"/>
                <w:color w:val="auto"/>
                <w:spacing w:val="7"/>
                <w:sz w:val="21"/>
                <w:szCs w:val="21"/>
              </w:rPr>
              <w:t>染物削</w:t>
            </w:r>
            <w:r>
              <w:rPr>
                <w:rFonts w:hint="default" w:ascii="Times New Roman" w:hAnsi="Times New Roman" w:eastAsia="宋体" w:cs="Times New Roman"/>
                <w:color w:val="auto"/>
                <w:spacing w:val="3"/>
                <w:sz w:val="21"/>
                <w:szCs w:val="21"/>
              </w:rPr>
              <w:t>减/替代</w:t>
            </w:r>
            <w:r>
              <w:rPr>
                <w:rFonts w:hint="default" w:ascii="Times New Roman" w:hAnsi="Times New Roman" w:eastAsia="宋体" w:cs="Times New Roman"/>
                <w:color w:val="auto"/>
                <w:spacing w:val="5"/>
                <w:sz w:val="21"/>
                <w:szCs w:val="21"/>
              </w:rPr>
              <w:t>要求</w:t>
            </w:r>
          </w:p>
        </w:tc>
        <w:tc>
          <w:tcPr>
            <w:tcW w:w="9497" w:type="dxa"/>
            <w:noWrap w:val="0"/>
            <w:vAlign w:val="center"/>
          </w:tcPr>
          <w:p w14:paraId="53002815">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2"/>
                <w:sz w:val="21"/>
                <w:szCs w:val="21"/>
              </w:rPr>
              <w:t>〔A2.1-1〕新、改、扩建重点行业建设项目应符合“三线一单”、产</w:t>
            </w:r>
            <w:r>
              <w:rPr>
                <w:rFonts w:hint="default" w:ascii="Times New Roman" w:hAnsi="Times New Roman" w:eastAsia="宋体" w:cs="Times New Roman"/>
                <w:color w:val="auto"/>
                <w:sz w:val="21"/>
                <w:szCs w:val="21"/>
              </w:rPr>
              <w:t>业政策、区域环评、规划环评和行业环境准</w:t>
            </w:r>
            <w:r>
              <w:rPr>
                <w:rFonts w:hint="default" w:ascii="Times New Roman" w:hAnsi="Times New Roman" w:eastAsia="宋体" w:cs="Times New Roman"/>
                <w:color w:val="auto"/>
                <w:spacing w:val="-1"/>
                <w:sz w:val="21"/>
                <w:szCs w:val="21"/>
              </w:rPr>
              <w:t>入管控要求。重点区域</w:t>
            </w:r>
            <w:r>
              <w:rPr>
                <w:rFonts w:hint="default" w:ascii="Times New Roman" w:hAnsi="Times New Roman" w:eastAsia="宋体" w:cs="Times New Roman"/>
                <w:color w:val="auto"/>
                <w:sz w:val="21"/>
                <w:szCs w:val="21"/>
              </w:rPr>
              <w:t>的新、改、扩建重点行业建设项目应遵循重点重金属污染物排放“减量替代”原则。</w:t>
            </w:r>
          </w:p>
        </w:tc>
        <w:tc>
          <w:tcPr>
            <w:tcW w:w="3007" w:type="dxa"/>
            <w:noWrap w:val="0"/>
            <w:vAlign w:val="center"/>
          </w:tcPr>
          <w:p w14:paraId="2226DC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本项目满足昌吉州以及自治区生态环境管控分区要求。</w:t>
            </w:r>
          </w:p>
        </w:tc>
      </w:tr>
      <w:tr w14:paraId="2A69A1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7A3533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5E7918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596290CF">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〔A2.1-2〕以石化、化工、涂装、医药、包装印刷、油品储运销等</w:t>
            </w:r>
            <w:r>
              <w:rPr>
                <w:rFonts w:hint="default" w:ascii="Times New Roman" w:hAnsi="Times New Roman" w:eastAsia="宋体" w:cs="Times New Roman"/>
                <w:color w:val="auto"/>
                <w:spacing w:val="1"/>
                <w:sz w:val="21"/>
                <w:szCs w:val="21"/>
              </w:rPr>
              <w:t>行业领域为重点，安全高效推进挥发性有机物综合治理，实施原辅</w:t>
            </w:r>
            <w:r>
              <w:rPr>
                <w:rFonts w:hint="default" w:ascii="Times New Roman" w:hAnsi="Times New Roman" w:eastAsia="宋体" w:cs="Times New Roman"/>
                <w:color w:val="auto"/>
                <w:sz w:val="21"/>
                <w:szCs w:val="21"/>
              </w:rPr>
              <w:t>材料和产品源头替代工程。</w:t>
            </w:r>
          </w:p>
        </w:tc>
        <w:tc>
          <w:tcPr>
            <w:tcW w:w="3007" w:type="dxa"/>
            <w:noWrap w:val="0"/>
            <w:vAlign w:val="center"/>
          </w:tcPr>
          <w:p w14:paraId="7F54E5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本项目不涉及。</w:t>
            </w:r>
          </w:p>
        </w:tc>
      </w:tr>
      <w:tr w14:paraId="32CD25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117170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70D4B0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76181095">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3"/>
                <w:sz w:val="21"/>
                <w:szCs w:val="21"/>
              </w:rPr>
              <w:t>〔A2.1-3〕促进大气污染物与温室气体协同控制。实施</w:t>
            </w:r>
            <w:r>
              <w:rPr>
                <w:rFonts w:hint="default" w:ascii="Times New Roman" w:hAnsi="Times New Roman" w:eastAsia="宋体" w:cs="Times New Roman"/>
                <w:color w:val="auto"/>
                <w:spacing w:val="2"/>
                <w:sz w:val="21"/>
                <w:szCs w:val="21"/>
              </w:rPr>
              <w:t>污染物和温</w:t>
            </w:r>
            <w:r>
              <w:rPr>
                <w:rFonts w:hint="default" w:ascii="Times New Roman" w:hAnsi="Times New Roman" w:eastAsia="宋体" w:cs="Times New Roman"/>
                <w:color w:val="auto"/>
                <w:spacing w:val="1"/>
                <w:sz w:val="21"/>
                <w:szCs w:val="21"/>
              </w:rPr>
              <w:t>室气体协同控制，实现减污降碳协同效应。开展工业、农业温室气体和污染减排协同控制研究，减少温室气体和污染物排放。强化污</w:t>
            </w:r>
            <w:r>
              <w:rPr>
                <w:rFonts w:hint="default" w:ascii="Times New Roman" w:hAnsi="Times New Roman" w:eastAsia="宋体" w:cs="Times New Roman"/>
                <w:color w:val="auto"/>
                <w:spacing w:val="5"/>
                <w:sz w:val="21"/>
                <w:szCs w:val="21"/>
              </w:rPr>
              <w:t>水、垃圾等集中处置设施环境管理，协同控制氢氟碳化物、</w:t>
            </w:r>
            <w:r>
              <w:rPr>
                <w:rFonts w:hint="default" w:ascii="Times New Roman" w:hAnsi="Times New Roman" w:eastAsia="宋体" w:cs="Times New Roman"/>
                <w:color w:val="auto"/>
                <w:spacing w:val="4"/>
                <w:sz w:val="21"/>
                <w:szCs w:val="21"/>
              </w:rPr>
              <w:t>甲烷、</w:t>
            </w:r>
            <w:r>
              <w:rPr>
                <w:rFonts w:hint="default" w:ascii="Times New Roman" w:hAnsi="Times New Roman" w:eastAsia="宋体" w:cs="Times New Roman"/>
                <w:color w:val="auto"/>
                <w:spacing w:val="-1"/>
                <w:sz w:val="21"/>
                <w:szCs w:val="21"/>
              </w:rPr>
              <w:t>氧化亚氮等温室气体。加强节约能源与大气污染防</w:t>
            </w:r>
            <w:r>
              <w:rPr>
                <w:rFonts w:hint="default" w:ascii="Times New Roman" w:hAnsi="Times New Roman" w:eastAsia="宋体" w:cs="Times New Roman"/>
                <w:color w:val="auto"/>
                <w:spacing w:val="-2"/>
                <w:sz w:val="21"/>
                <w:szCs w:val="21"/>
              </w:rPr>
              <w:t>治协同有效衔接，</w:t>
            </w:r>
            <w:r>
              <w:rPr>
                <w:rFonts w:hint="default" w:ascii="Times New Roman" w:hAnsi="Times New Roman" w:eastAsia="宋体" w:cs="Times New Roman"/>
                <w:color w:val="auto"/>
                <w:spacing w:val="1"/>
                <w:sz w:val="21"/>
                <w:szCs w:val="21"/>
              </w:rPr>
              <w:t>促进大气污染防治协同增效。</w:t>
            </w:r>
          </w:p>
        </w:tc>
        <w:tc>
          <w:tcPr>
            <w:tcW w:w="3007" w:type="dxa"/>
            <w:noWrap w:val="0"/>
            <w:vAlign w:val="center"/>
          </w:tcPr>
          <w:p w14:paraId="32B6EC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本项目不涉及。</w:t>
            </w:r>
          </w:p>
        </w:tc>
      </w:tr>
      <w:tr w14:paraId="72512B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5BA4E1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2E84A4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6A33B1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7"/>
                <w:sz w:val="21"/>
                <w:szCs w:val="21"/>
              </w:rPr>
              <w:t>〔A2.1-4〕严控建材、铸造、冶炼等行业无组织排放，推进石化、</w:t>
            </w:r>
            <w:r>
              <w:rPr>
                <w:rFonts w:hint="default" w:ascii="Times New Roman" w:hAnsi="Times New Roman" w:eastAsia="宋体" w:cs="Times New Roman"/>
                <w:color w:val="auto"/>
                <w:spacing w:val="-1"/>
                <w:sz w:val="21"/>
                <w:szCs w:val="21"/>
              </w:rPr>
              <w:t>化工、涂装、医药、包装印刷、油品储运销等行业项目挥发性有机</w:t>
            </w:r>
            <w:r>
              <w:rPr>
                <w:rFonts w:hint="default" w:ascii="Times New Roman" w:hAnsi="Times New Roman" w:eastAsia="宋体" w:cs="Times New Roman"/>
                <w:color w:val="auto"/>
                <w:sz w:val="21"/>
                <w:szCs w:val="21"/>
              </w:rPr>
              <w:t>物</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VOCs</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防治。严格有色金属冶炼、石油加工、化工、焦化等行业项目的土壤、地下水污染防治措施要求。</w:t>
            </w:r>
            <w:r>
              <w:rPr>
                <w:rFonts w:hint="default" w:ascii="Times New Roman" w:hAnsi="Times New Roman" w:eastAsia="宋体" w:cs="Times New Roman"/>
                <w:color w:val="auto"/>
                <w:spacing w:val="-1"/>
                <w:sz w:val="21"/>
                <w:szCs w:val="21"/>
              </w:rPr>
              <w:t>推进工业园区和企业集</w:t>
            </w:r>
            <w:r>
              <w:rPr>
                <w:rFonts w:hint="default" w:ascii="Times New Roman" w:hAnsi="Times New Roman" w:eastAsia="宋体" w:cs="Times New Roman"/>
                <w:color w:val="auto"/>
                <w:sz w:val="21"/>
                <w:szCs w:val="21"/>
              </w:rPr>
              <w:t>群建设涉VOCs“绿岛”项目，统筹规划建</w:t>
            </w:r>
            <w:r>
              <w:rPr>
                <w:rFonts w:hint="default" w:ascii="Times New Roman" w:hAnsi="Times New Roman" w:eastAsia="宋体" w:cs="Times New Roman"/>
                <w:color w:val="auto"/>
                <w:spacing w:val="-1"/>
                <w:sz w:val="21"/>
                <w:szCs w:val="21"/>
              </w:rPr>
              <w:t>设一批集中涂装中心、活</w:t>
            </w:r>
            <w:r>
              <w:rPr>
                <w:rFonts w:hint="default" w:ascii="Times New Roman" w:hAnsi="Times New Roman" w:eastAsia="宋体" w:cs="Times New Roman"/>
                <w:color w:val="auto"/>
                <w:sz w:val="21"/>
                <w:szCs w:val="21"/>
              </w:rPr>
              <w:t>性炭集中处理中心、溶剂回收中心等，实现VOCs集中高效处理。</w:t>
            </w:r>
          </w:p>
        </w:tc>
        <w:tc>
          <w:tcPr>
            <w:tcW w:w="3007" w:type="dxa"/>
            <w:noWrap w:val="0"/>
            <w:vAlign w:val="center"/>
          </w:tcPr>
          <w:p w14:paraId="2CFB12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本项目不涉及。</w:t>
            </w:r>
          </w:p>
        </w:tc>
      </w:tr>
      <w:tr w14:paraId="4EA71E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23CF8D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45806E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03F4C861">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〔A2.2-1〕推动能源、钢铁、建材、有色、电力、化工等重点领域</w:t>
            </w:r>
            <w:r>
              <w:rPr>
                <w:rFonts w:hint="default" w:ascii="Times New Roman" w:hAnsi="Times New Roman" w:eastAsia="宋体" w:cs="Times New Roman"/>
                <w:color w:val="auto"/>
                <w:sz w:val="21"/>
                <w:szCs w:val="21"/>
              </w:rPr>
              <w:t>技术升级，控制工业过程温室气体排放，推动工业领域绿色低碳发展。积极鼓励发展二氧化碳捕集利用与封存等低碳技术。促进大气污染物与温室气体协同控制。实施污染物和温室气体协同控制，实</w:t>
            </w:r>
            <w:r>
              <w:rPr>
                <w:rFonts w:hint="default" w:ascii="Times New Roman" w:hAnsi="Times New Roman" w:eastAsia="宋体" w:cs="Times New Roman"/>
                <w:color w:val="auto"/>
                <w:spacing w:val="2"/>
                <w:sz w:val="21"/>
                <w:szCs w:val="21"/>
              </w:rPr>
              <w:t>现减污降碳协同效应。强化污水、垃圾等集中处置设施环境管理，</w:t>
            </w:r>
            <w:r>
              <w:rPr>
                <w:rFonts w:hint="default" w:ascii="Times New Roman" w:hAnsi="Times New Roman" w:eastAsia="宋体" w:cs="Times New Roman"/>
                <w:color w:val="auto"/>
                <w:sz w:val="21"/>
                <w:szCs w:val="21"/>
              </w:rPr>
              <w:t>协同控制氢氟碳化物、甲烷、氧化亚氮等温室气体。加强节约能源与大气污染防治协同有效衔接，促进大气污染防治协同增</w:t>
            </w:r>
            <w:r>
              <w:rPr>
                <w:rFonts w:hint="default" w:ascii="Times New Roman" w:hAnsi="Times New Roman" w:eastAsia="宋体" w:cs="Times New Roman"/>
                <w:color w:val="auto"/>
                <w:spacing w:val="-1"/>
                <w:sz w:val="21"/>
                <w:szCs w:val="21"/>
              </w:rPr>
              <w:t>效。</w:t>
            </w:r>
          </w:p>
        </w:tc>
        <w:tc>
          <w:tcPr>
            <w:tcW w:w="3007" w:type="dxa"/>
            <w:vMerge w:val="restart"/>
            <w:noWrap w:val="0"/>
            <w:vAlign w:val="center"/>
          </w:tcPr>
          <w:p w14:paraId="5E3F6A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本项目不涉及。</w:t>
            </w:r>
          </w:p>
        </w:tc>
      </w:tr>
      <w:tr w14:paraId="380003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508CE7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17F63D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20777ADF">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〔A2.2-2〕实施重点行业氮氧化物等污染物深度治理。持续推进钢</w:t>
            </w:r>
            <w:r>
              <w:rPr>
                <w:rFonts w:hint="default" w:ascii="Times New Roman" w:hAnsi="Times New Roman" w:eastAsia="宋体" w:cs="Times New Roman"/>
                <w:color w:val="auto"/>
                <w:sz w:val="21"/>
                <w:szCs w:val="21"/>
              </w:rPr>
              <w:t>铁、水泥、焦化行业超低排放改造。推进玻</w:t>
            </w:r>
            <w:r>
              <w:rPr>
                <w:rFonts w:hint="default" w:ascii="Times New Roman" w:hAnsi="Times New Roman" w:eastAsia="宋体" w:cs="Times New Roman"/>
                <w:color w:val="auto"/>
                <w:spacing w:val="-1"/>
                <w:sz w:val="21"/>
                <w:szCs w:val="21"/>
              </w:rPr>
              <w:t>璃、陶瓷、铸造、铁合金、有色、煤化和石化等行业采取清洁生产、提标改造、深度治理</w:t>
            </w:r>
            <w:r>
              <w:rPr>
                <w:rFonts w:hint="default" w:ascii="Times New Roman" w:hAnsi="Times New Roman" w:eastAsia="宋体" w:cs="Times New Roman"/>
                <w:color w:val="auto"/>
                <w:sz w:val="21"/>
                <w:szCs w:val="21"/>
              </w:rPr>
              <w:t>等综合措施。加强自备燃煤机组污染治理设施运行管控，确保按照超低排放标准运行。针对铸造、铁合金、焦化、水泥、砖瓦、石灰、耐火材料、金属冶炼以及煤化工、石油化工等行业，严格控制物料储存、输送及生产工艺过程无组织排放。重</w:t>
            </w:r>
            <w:r>
              <w:rPr>
                <w:rFonts w:hint="default" w:ascii="Times New Roman" w:hAnsi="Times New Roman" w:eastAsia="宋体" w:cs="Times New Roman"/>
                <w:color w:val="auto"/>
                <w:spacing w:val="-1"/>
                <w:sz w:val="21"/>
                <w:szCs w:val="21"/>
              </w:rPr>
              <w:t>点涉气排放企业逐步取</w:t>
            </w:r>
            <w:r>
              <w:rPr>
                <w:rFonts w:hint="default" w:ascii="Times New Roman" w:hAnsi="Times New Roman" w:eastAsia="宋体" w:cs="Times New Roman"/>
                <w:color w:val="auto"/>
                <w:sz w:val="21"/>
                <w:szCs w:val="21"/>
              </w:rPr>
              <w:t>消烟气旁路，因安全生产无法取消的，安装在线监控系统。</w:t>
            </w:r>
          </w:p>
        </w:tc>
        <w:tc>
          <w:tcPr>
            <w:tcW w:w="3007" w:type="dxa"/>
            <w:vMerge w:val="continue"/>
            <w:noWrap w:val="0"/>
            <w:vAlign w:val="center"/>
          </w:tcPr>
          <w:p w14:paraId="1395D1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p>
        </w:tc>
      </w:tr>
      <w:tr w14:paraId="02C431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0F2426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161B88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4039EAF0">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〔A2.2-3〕强化重点区域大气污染联防联控，</w:t>
            </w:r>
            <w:r>
              <w:rPr>
                <w:rFonts w:hint="default" w:ascii="Times New Roman" w:hAnsi="Times New Roman" w:eastAsia="宋体" w:cs="Times New Roman"/>
                <w:color w:val="auto"/>
                <w:spacing w:val="3"/>
                <w:sz w:val="21"/>
                <w:szCs w:val="21"/>
              </w:rPr>
              <w:t>合理确定产业布局，</w:t>
            </w:r>
            <w:r>
              <w:rPr>
                <w:rFonts w:hint="default" w:ascii="Times New Roman" w:hAnsi="Times New Roman" w:eastAsia="宋体" w:cs="Times New Roman"/>
                <w:color w:val="auto"/>
                <w:sz w:val="21"/>
                <w:szCs w:val="21"/>
              </w:rPr>
              <w:t>推动区域内统一产业准入和排放标准。实施水泥行业错峰生产，推进散煤整治、挥发性有机污染物综合治理、钢铁、水泥、焦化和燃</w:t>
            </w:r>
            <w:r>
              <w:rPr>
                <w:rFonts w:hint="default" w:ascii="Times New Roman" w:hAnsi="Times New Roman" w:eastAsia="宋体" w:cs="Times New Roman"/>
                <w:color w:val="auto"/>
                <w:spacing w:val="1"/>
                <w:sz w:val="21"/>
                <w:szCs w:val="21"/>
              </w:rPr>
              <w:t>煤工业锅炉行业超低排放改造、燃气锅炉低氮燃烧改造、工业园区内轨道运输</w:t>
            </w:r>
            <w:r>
              <w:rPr>
                <w:rFonts w:hint="default" w:ascii="Times New Roman" w:hAnsi="Times New Roman" w:eastAsia="宋体" w:cs="Times New Roman"/>
                <w:color w:val="auto"/>
                <w:spacing w:val="1"/>
                <w:sz w:val="21"/>
                <w:szCs w:val="21"/>
                <w:lang w:eastAsia="zh-CN"/>
              </w:rPr>
              <w:t>（</w:t>
            </w:r>
            <w:r>
              <w:rPr>
                <w:rFonts w:hint="default" w:ascii="Times New Roman" w:hAnsi="Times New Roman" w:eastAsia="宋体" w:cs="Times New Roman"/>
                <w:color w:val="auto"/>
                <w:spacing w:val="1"/>
                <w:sz w:val="21"/>
                <w:szCs w:val="21"/>
              </w:rPr>
              <w:t>大宗货物“公转铁”</w:t>
            </w:r>
            <w:r>
              <w:rPr>
                <w:rFonts w:hint="default" w:ascii="Times New Roman" w:hAnsi="Times New Roman" w:eastAsia="宋体" w:cs="Times New Roman"/>
                <w:color w:val="auto"/>
                <w:spacing w:val="1"/>
                <w:sz w:val="21"/>
                <w:szCs w:val="21"/>
                <w:lang w:eastAsia="zh-CN"/>
              </w:rPr>
              <w:t>）</w:t>
            </w:r>
            <w:r>
              <w:rPr>
                <w:rFonts w:hint="default" w:ascii="Times New Roman" w:hAnsi="Times New Roman" w:eastAsia="宋体" w:cs="Times New Roman"/>
                <w:color w:val="auto"/>
                <w:spacing w:val="1"/>
                <w:sz w:val="21"/>
                <w:szCs w:val="21"/>
              </w:rPr>
              <w:t>、柴油</w:t>
            </w:r>
            <w:r>
              <w:rPr>
                <w:rFonts w:hint="default" w:ascii="Times New Roman" w:hAnsi="Times New Roman" w:eastAsia="宋体" w:cs="Times New Roman"/>
                <w:color w:val="auto"/>
                <w:sz w:val="21"/>
                <w:szCs w:val="21"/>
              </w:rPr>
              <w:t>货车治理、锅炉炉窑综合</w:t>
            </w:r>
            <w:r>
              <w:rPr>
                <w:rFonts w:hint="default" w:ascii="Times New Roman" w:hAnsi="Times New Roman" w:eastAsia="宋体" w:cs="Times New Roman"/>
                <w:color w:val="auto"/>
                <w:spacing w:val="1"/>
                <w:sz w:val="21"/>
                <w:szCs w:val="21"/>
              </w:rPr>
              <w:t>治理等工程项目。全面推行绿色施工，持续</w:t>
            </w:r>
            <w:r>
              <w:rPr>
                <w:rFonts w:hint="default" w:ascii="Times New Roman" w:hAnsi="Times New Roman" w:eastAsia="宋体" w:cs="Times New Roman"/>
                <w:color w:val="auto"/>
                <w:sz w:val="21"/>
                <w:szCs w:val="21"/>
              </w:rPr>
              <w:t>推动城市建成区重污染</w:t>
            </w:r>
            <w:r>
              <w:rPr>
                <w:rFonts w:hint="default" w:ascii="Times New Roman" w:hAnsi="Times New Roman" w:eastAsia="宋体" w:cs="Times New Roman"/>
                <w:color w:val="auto"/>
                <w:spacing w:val="-1"/>
                <w:sz w:val="21"/>
                <w:szCs w:val="21"/>
              </w:rPr>
              <w:t>企业搬迁或关闭退出。</w:t>
            </w:r>
          </w:p>
        </w:tc>
        <w:tc>
          <w:tcPr>
            <w:tcW w:w="3007" w:type="dxa"/>
            <w:noWrap w:val="0"/>
            <w:vAlign w:val="center"/>
          </w:tcPr>
          <w:p w14:paraId="3BB0F9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本项目不涉及。</w:t>
            </w:r>
          </w:p>
        </w:tc>
      </w:tr>
      <w:tr w14:paraId="3AC16D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168482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1764F4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711441F6">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〔A2.2-4〕强化用水定额管理。推进地下水超采综合治理。开展河</w:t>
            </w:r>
            <w:r>
              <w:rPr>
                <w:rFonts w:hint="default" w:ascii="Times New Roman" w:hAnsi="Times New Roman" w:eastAsia="宋体" w:cs="Times New Roman"/>
                <w:color w:val="auto"/>
                <w:sz w:val="21"/>
                <w:szCs w:val="21"/>
              </w:rPr>
              <w:t>湖生态流量</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水量</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确定工作，强化生态用水保</w:t>
            </w:r>
            <w:r>
              <w:rPr>
                <w:rFonts w:hint="default" w:ascii="Times New Roman" w:hAnsi="Times New Roman" w:eastAsia="宋体" w:cs="Times New Roman"/>
                <w:color w:val="auto"/>
                <w:spacing w:val="-1"/>
                <w:sz w:val="21"/>
                <w:szCs w:val="21"/>
              </w:rPr>
              <w:t>障。</w:t>
            </w:r>
          </w:p>
        </w:tc>
        <w:tc>
          <w:tcPr>
            <w:tcW w:w="3007" w:type="dxa"/>
            <w:noWrap w:val="0"/>
            <w:vAlign w:val="center"/>
          </w:tcPr>
          <w:p w14:paraId="5977E4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本项目不涉及。</w:t>
            </w:r>
          </w:p>
        </w:tc>
      </w:tr>
      <w:tr w14:paraId="4CBA2B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3F1E0C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6529E4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669D3FA4">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〔A2.2-5〕持续推进伊犁河、额尔齐斯河、额敏河、玛纳斯河、乌</w:t>
            </w:r>
            <w:r>
              <w:rPr>
                <w:rFonts w:hint="default" w:ascii="Times New Roman" w:hAnsi="Times New Roman" w:eastAsia="宋体" w:cs="Times New Roman"/>
                <w:color w:val="auto"/>
                <w:sz w:val="21"/>
                <w:szCs w:val="21"/>
              </w:rPr>
              <w:t>伦古湖、博斯腾湖等流域生态治理，加强生态修复。推动重点行业、重点企业绿色发展，严格落实水污染物排放标准。加强农副食品加</w:t>
            </w:r>
            <w:r>
              <w:rPr>
                <w:rFonts w:hint="default" w:ascii="Times New Roman" w:hAnsi="Times New Roman" w:eastAsia="宋体" w:cs="Times New Roman"/>
                <w:color w:val="auto"/>
                <w:spacing w:val="-2"/>
                <w:sz w:val="21"/>
                <w:szCs w:val="21"/>
              </w:rPr>
              <w:t>工、化工、印染、棉浆粕、粘胶纤维等企业综合治理和清洁化改造。</w:t>
            </w:r>
          </w:p>
        </w:tc>
        <w:tc>
          <w:tcPr>
            <w:tcW w:w="3007" w:type="dxa"/>
            <w:noWrap w:val="0"/>
            <w:vAlign w:val="center"/>
          </w:tcPr>
          <w:p w14:paraId="19DE3A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本项目运营期不涉及生产、生活用水。</w:t>
            </w:r>
          </w:p>
        </w:tc>
      </w:tr>
      <w:tr w14:paraId="0D201F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05AF47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413E95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45CE5922">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〔A2.2-6〕推进地表水与地下水协同防治。以傍河型地下水饮用水</w:t>
            </w:r>
            <w:r>
              <w:rPr>
                <w:rFonts w:hint="default" w:ascii="Times New Roman" w:hAnsi="Times New Roman" w:eastAsia="宋体" w:cs="Times New Roman"/>
                <w:color w:val="auto"/>
                <w:sz w:val="21"/>
                <w:szCs w:val="21"/>
              </w:rPr>
              <w:t>水源为重点，防范受污染河段侧渗和垂直补给对地下水污染。加强化学品生产企业、工业聚集区、矿山开采区等污染源的地表、地下协同防治与环境风险管控。加强工业污染防治。推动重点行业、重点企业绿色发展，严格落实水污染物排放标准和排污许可制度。加</w:t>
            </w:r>
            <w:r>
              <w:rPr>
                <w:rFonts w:hint="default" w:ascii="Times New Roman" w:hAnsi="Times New Roman" w:eastAsia="宋体" w:cs="Times New Roman"/>
                <w:color w:val="auto"/>
                <w:spacing w:val="1"/>
                <w:sz w:val="21"/>
                <w:szCs w:val="21"/>
              </w:rPr>
              <w:t>强农副食品加工、化工、印染、棉浆粕、粘胶纤维、制糖等企业综</w:t>
            </w:r>
            <w:r>
              <w:rPr>
                <w:rFonts w:hint="default" w:ascii="Times New Roman" w:hAnsi="Times New Roman" w:eastAsia="宋体" w:cs="Times New Roman"/>
                <w:color w:val="auto"/>
                <w:sz w:val="21"/>
                <w:szCs w:val="21"/>
              </w:rPr>
              <w:t>合治理和清洁化改造。支持企业积极实施节水技术改造，加强工业</w:t>
            </w:r>
            <w:r>
              <w:rPr>
                <w:rFonts w:hint="default" w:ascii="Times New Roman" w:hAnsi="Times New Roman" w:eastAsia="宋体" w:cs="Times New Roman"/>
                <w:color w:val="auto"/>
                <w:spacing w:val="1"/>
                <w:sz w:val="21"/>
                <w:szCs w:val="21"/>
              </w:rPr>
              <w:t>园区污水集中处理设施运行管理，加快再生水回用设施建设，提升</w:t>
            </w:r>
            <w:r>
              <w:rPr>
                <w:rFonts w:hint="default" w:ascii="Times New Roman" w:hAnsi="Times New Roman" w:eastAsia="宋体" w:cs="Times New Roman"/>
                <w:color w:val="auto"/>
                <w:sz w:val="21"/>
                <w:szCs w:val="21"/>
              </w:rPr>
              <w:t>园区水资源循环利用水平。</w:t>
            </w:r>
          </w:p>
        </w:tc>
        <w:tc>
          <w:tcPr>
            <w:tcW w:w="3007" w:type="dxa"/>
            <w:vMerge w:val="restart"/>
            <w:noWrap w:val="0"/>
            <w:vAlign w:val="center"/>
          </w:tcPr>
          <w:p w14:paraId="4C93EF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本项目采取分区防渗措施</w:t>
            </w:r>
            <w:r>
              <w:rPr>
                <w:rFonts w:hint="eastAsia" w:cs="Times New Roman"/>
                <w:color w:val="auto"/>
                <w:sz w:val="21"/>
                <w:szCs w:val="21"/>
                <w:highlight w:val="none"/>
                <w:vertAlign w:val="baseline"/>
                <w:lang w:val="en-US" w:eastAsia="zh-CN"/>
              </w:rPr>
              <w:t>。</w:t>
            </w:r>
          </w:p>
        </w:tc>
      </w:tr>
      <w:tr w14:paraId="44530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451A67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3B6F10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2F292C4E">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pacing w:val="1"/>
                <w:sz w:val="21"/>
                <w:szCs w:val="21"/>
                <w:highlight w:val="none"/>
              </w:rPr>
              <w:t>〔A2.2-7〕强化重点区域地下水环境风险管控，对化学品生产企业、</w:t>
            </w:r>
            <w:r>
              <w:rPr>
                <w:rFonts w:hint="default" w:ascii="Times New Roman" w:hAnsi="Times New Roman" w:eastAsia="宋体" w:cs="Times New Roman"/>
                <w:color w:val="auto"/>
                <w:sz w:val="21"/>
                <w:szCs w:val="21"/>
                <w:highlight w:val="none"/>
              </w:rPr>
              <w:t>工业集聚区、尾矿库、矿山开采区、危险废物处置场、垃圾填埋场等地下水污染源及周边区域，逐步开展地下水环境状况调查评估，</w:t>
            </w:r>
            <w:r>
              <w:rPr>
                <w:rFonts w:hint="default" w:ascii="Times New Roman" w:hAnsi="Times New Roman" w:eastAsia="宋体" w:cs="Times New Roman"/>
                <w:color w:val="auto"/>
                <w:spacing w:val="-1"/>
                <w:sz w:val="21"/>
                <w:szCs w:val="21"/>
                <w:highlight w:val="none"/>
              </w:rPr>
              <w:t>加强风险管控。</w:t>
            </w:r>
          </w:p>
        </w:tc>
        <w:tc>
          <w:tcPr>
            <w:tcW w:w="3007" w:type="dxa"/>
            <w:vMerge w:val="continue"/>
            <w:noWrap w:val="0"/>
            <w:vAlign w:val="center"/>
          </w:tcPr>
          <w:p w14:paraId="075443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highlight w:val="none"/>
                <w:vertAlign w:val="baseline"/>
                <w:lang w:val="en-US" w:eastAsia="zh-CN"/>
              </w:rPr>
            </w:pPr>
          </w:p>
        </w:tc>
      </w:tr>
      <w:tr w14:paraId="3F3CFE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0883B6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189936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23662211">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〔A2.2-8〕严控土壤重金属污染，加强油</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rPr>
              <w:t>气</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4"/>
                <w:sz w:val="21"/>
                <w:szCs w:val="21"/>
              </w:rPr>
              <w:t>田开发土壤污染防</w:t>
            </w:r>
            <w:r>
              <w:rPr>
                <w:rFonts w:hint="default" w:ascii="Times New Roman" w:hAnsi="Times New Roman" w:eastAsia="宋体" w:cs="Times New Roman"/>
                <w:color w:val="auto"/>
                <w:spacing w:val="1"/>
                <w:sz w:val="21"/>
                <w:szCs w:val="21"/>
              </w:rPr>
              <w:t>治，以历史遗留工业企业污染场地为重点，</w:t>
            </w:r>
            <w:r>
              <w:rPr>
                <w:rFonts w:hint="default" w:ascii="Times New Roman" w:hAnsi="Times New Roman" w:eastAsia="宋体" w:cs="Times New Roman"/>
                <w:color w:val="auto"/>
                <w:sz w:val="21"/>
                <w:szCs w:val="21"/>
              </w:rPr>
              <w:t>开展土壤污染风险管控与修复工程。</w:t>
            </w:r>
          </w:p>
        </w:tc>
        <w:tc>
          <w:tcPr>
            <w:tcW w:w="3007" w:type="dxa"/>
            <w:noWrap w:val="0"/>
            <w:vAlign w:val="center"/>
          </w:tcPr>
          <w:p w14:paraId="4EB94F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本项目不涉及。</w:t>
            </w:r>
          </w:p>
        </w:tc>
      </w:tr>
      <w:tr w14:paraId="7A9421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5B2200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64BE06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77E46B59">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〔A2.2-9〕加强种植业污染防治。深入推进化肥农药减量增效，全</w:t>
            </w:r>
            <w:r>
              <w:rPr>
                <w:rFonts w:hint="default" w:ascii="Times New Roman" w:hAnsi="Times New Roman" w:eastAsia="宋体" w:cs="Times New Roman"/>
                <w:color w:val="auto"/>
                <w:spacing w:val="1"/>
                <w:sz w:val="21"/>
                <w:szCs w:val="21"/>
              </w:rPr>
              <w:t>面推广测土配方施肥，引导推动有机肥、绿肥替代化</w:t>
            </w:r>
            <w:r>
              <w:rPr>
                <w:rFonts w:hint="default" w:ascii="Times New Roman" w:hAnsi="Times New Roman" w:eastAsia="宋体" w:cs="Times New Roman"/>
                <w:color w:val="auto"/>
                <w:sz w:val="21"/>
                <w:szCs w:val="21"/>
              </w:rPr>
              <w:t>肥，集成推广化肥减量增效技术模式，加强农药包装废弃物管理。实施农膜</w:t>
            </w:r>
            <w:r>
              <w:rPr>
                <w:rFonts w:hint="default" w:ascii="Times New Roman" w:hAnsi="Times New Roman" w:eastAsia="宋体" w:cs="Times New Roman"/>
                <w:color w:val="auto"/>
                <w:spacing w:val="-1"/>
                <w:sz w:val="21"/>
                <w:szCs w:val="21"/>
              </w:rPr>
              <w:t>回收</w:t>
            </w:r>
            <w:r>
              <w:rPr>
                <w:rFonts w:hint="default" w:ascii="Times New Roman" w:hAnsi="Times New Roman" w:eastAsia="宋体" w:cs="Times New Roman"/>
                <w:color w:val="auto"/>
                <w:spacing w:val="1"/>
                <w:sz w:val="21"/>
                <w:szCs w:val="21"/>
              </w:rPr>
              <w:t>行动，健全农田废旧地膜回收利用体系，提</w:t>
            </w:r>
            <w:r>
              <w:rPr>
                <w:rFonts w:hint="default" w:ascii="Times New Roman" w:hAnsi="Times New Roman" w:eastAsia="宋体" w:cs="Times New Roman"/>
                <w:color w:val="auto"/>
                <w:sz w:val="21"/>
                <w:szCs w:val="21"/>
              </w:rPr>
              <w:t>高废旧地膜回收率。推进农作物秸秆综合利用，不断完善秸秆收储运用体系，形成布局合理、多元利用的秸秆综合利用格局。</w:t>
            </w:r>
          </w:p>
        </w:tc>
        <w:tc>
          <w:tcPr>
            <w:tcW w:w="3007" w:type="dxa"/>
            <w:noWrap w:val="0"/>
            <w:vAlign w:val="center"/>
          </w:tcPr>
          <w:p w14:paraId="37AE32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本项目不涉及。</w:t>
            </w:r>
          </w:p>
        </w:tc>
      </w:tr>
      <w:tr w14:paraId="6A8444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restart"/>
            <w:noWrap w:val="0"/>
            <w:vAlign w:val="center"/>
          </w:tcPr>
          <w:p w14:paraId="75474DCB">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1"/>
                <w:sz w:val="21"/>
                <w:szCs w:val="21"/>
              </w:rPr>
              <w:t>A3环</w:t>
            </w:r>
            <w:r>
              <w:rPr>
                <w:rFonts w:hint="default" w:ascii="Times New Roman" w:hAnsi="Times New Roman" w:eastAsia="宋体" w:cs="Times New Roman"/>
                <w:color w:val="auto"/>
                <w:spacing w:val="5"/>
                <w:sz w:val="21"/>
                <w:szCs w:val="21"/>
              </w:rPr>
              <w:t>境风</w:t>
            </w:r>
            <w:r>
              <w:rPr>
                <w:rFonts w:hint="default" w:ascii="Times New Roman" w:hAnsi="Times New Roman" w:eastAsia="宋体" w:cs="Times New Roman"/>
                <w:color w:val="auto"/>
                <w:spacing w:val="6"/>
                <w:sz w:val="21"/>
                <w:szCs w:val="21"/>
              </w:rPr>
              <w:t>险防</w:t>
            </w:r>
            <w:r>
              <w:rPr>
                <w:rFonts w:hint="default" w:ascii="Times New Roman" w:hAnsi="Times New Roman" w:eastAsia="宋体" w:cs="Times New Roman"/>
                <w:color w:val="auto"/>
                <w:sz w:val="21"/>
                <w:szCs w:val="21"/>
              </w:rPr>
              <w:t>控</w:t>
            </w:r>
          </w:p>
        </w:tc>
        <w:tc>
          <w:tcPr>
            <w:tcW w:w="878" w:type="dxa"/>
            <w:vMerge w:val="restart"/>
            <w:noWrap w:val="0"/>
            <w:vAlign w:val="center"/>
          </w:tcPr>
          <w:p w14:paraId="424BA3BB">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3"/>
                <w:sz w:val="21"/>
                <w:szCs w:val="21"/>
              </w:rPr>
              <w:t>A3.1人居环境</w:t>
            </w:r>
            <w:r>
              <w:rPr>
                <w:rFonts w:hint="default" w:ascii="Times New Roman" w:hAnsi="Times New Roman" w:eastAsia="宋体" w:cs="Times New Roman"/>
                <w:color w:val="auto"/>
                <w:spacing w:val="5"/>
                <w:sz w:val="21"/>
                <w:szCs w:val="21"/>
              </w:rPr>
              <w:t>要求</w:t>
            </w:r>
          </w:p>
        </w:tc>
        <w:tc>
          <w:tcPr>
            <w:tcW w:w="9497" w:type="dxa"/>
            <w:noWrap w:val="0"/>
            <w:vAlign w:val="center"/>
          </w:tcPr>
          <w:p w14:paraId="2CCE2E58">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〔A3.1-1〕建立和完善重污染天气兵地联合应急预案、预报预警应</w:t>
            </w:r>
            <w:r>
              <w:rPr>
                <w:rFonts w:hint="default" w:ascii="Times New Roman" w:hAnsi="Times New Roman" w:eastAsia="宋体" w:cs="Times New Roman"/>
                <w:color w:val="auto"/>
                <w:spacing w:val="1"/>
                <w:sz w:val="21"/>
                <w:szCs w:val="21"/>
              </w:rPr>
              <w:t>急机制和会商联动机制。“乌一昌一石”区</w:t>
            </w:r>
            <w:r>
              <w:rPr>
                <w:rFonts w:hint="default" w:ascii="Times New Roman" w:hAnsi="Times New Roman" w:eastAsia="宋体" w:cs="Times New Roman"/>
                <w:color w:val="auto"/>
                <w:sz w:val="21"/>
                <w:szCs w:val="21"/>
              </w:rPr>
              <w:t>域内可能影响相邻行政区</w:t>
            </w:r>
            <w:r>
              <w:rPr>
                <w:rFonts w:hint="default" w:ascii="Times New Roman" w:hAnsi="Times New Roman" w:eastAsia="宋体" w:cs="Times New Roman"/>
                <w:color w:val="auto"/>
                <w:spacing w:val="3"/>
                <w:sz w:val="21"/>
                <w:szCs w:val="21"/>
              </w:rPr>
              <w:t>域大气环境的项目，兵地间、城市间必须相互征求意见。</w:t>
            </w:r>
          </w:p>
        </w:tc>
        <w:tc>
          <w:tcPr>
            <w:tcW w:w="3007" w:type="dxa"/>
            <w:vMerge w:val="restart"/>
            <w:noWrap w:val="0"/>
            <w:vAlign w:val="center"/>
          </w:tcPr>
          <w:p w14:paraId="45AD28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4"/>
                <w:lang w:val="en-US" w:eastAsia="zh-CN" w:bidi="ar-SA"/>
              </w:rPr>
              <w:t>项目取得批复后应及时组织开展突发环境事件应急预案编制工作并在昌吉回族自治州生态环境局玛纳斯县分局进行备案，定期演练，加强风险防控体系建设。</w:t>
            </w:r>
          </w:p>
        </w:tc>
      </w:tr>
      <w:tr w14:paraId="2EC7C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0E78CD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584179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7DF1F1AE">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〔A3.1-2〕对跨国境河流、涉及县级及以上集中式饮用水水源地的</w:t>
            </w:r>
            <w:r>
              <w:rPr>
                <w:rFonts w:hint="default" w:ascii="Times New Roman" w:hAnsi="Times New Roman" w:eastAsia="宋体" w:cs="Times New Roman"/>
                <w:color w:val="auto"/>
                <w:sz w:val="21"/>
                <w:szCs w:val="21"/>
              </w:rPr>
              <w:t>河流、其他重要环境敏感目标的河流，建立</w:t>
            </w:r>
            <w:r>
              <w:rPr>
                <w:rFonts w:hint="default" w:ascii="Times New Roman" w:hAnsi="Times New Roman" w:eastAsia="宋体" w:cs="Times New Roman"/>
                <w:color w:val="auto"/>
                <w:spacing w:val="-1"/>
                <w:sz w:val="21"/>
                <w:szCs w:val="21"/>
              </w:rPr>
              <w:t>健全流域上下游突发水</w:t>
            </w:r>
            <w:r>
              <w:rPr>
                <w:rFonts w:hint="default" w:ascii="Times New Roman" w:hAnsi="Times New Roman" w:eastAsia="宋体" w:cs="Times New Roman"/>
                <w:color w:val="auto"/>
                <w:sz w:val="21"/>
                <w:szCs w:val="21"/>
              </w:rPr>
              <w:t>污染事件联防联动机制，建立流域环境应急基础信息动态更新长效机制，绘制全流域“一河一策一图”。建立健全跨部门、跨区域的环境应急协调联动处置机制，强化流域上下游、兵地各部门协调，实</w:t>
            </w:r>
            <w:r>
              <w:rPr>
                <w:rFonts w:hint="default" w:ascii="Times New Roman" w:hAnsi="Times New Roman" w:eastAsia="宋体" w:cs="Times New Roman"/>
                <w:color w:val="auto"/>
                <w:spacing w:val="4"/>
                <w:sz w:val="21"/>
                <w:szCs w:val="21"/>
              </w:rPr>
              <w:t>施联合监测、联合执法、应急联动、信息共享，形成“政府引导、</w:t>
            </w:r>
            <w:r>
              <w:rPr>
                <w:rFonts w:hint="default" w:ascii="Times New Roman" w:hAnsi="Times New Roman" w:eastAsia="宋体" w:cs="Times New Roman"/>
                <w:color w:val="auto"/>
                <w:sz w:val="21"/>
                <w:szCs w:val="21"/>
              </w:rPr>
              <w:t>多元联动、社会参与、专业救援”的环境应急处置机制，持续开展</w:t>
            </w:r>
            <w:r>
              <w:rPr>
                <w:rFonts w:hint="default" w:ascii="Times New Roman" w:hAnsi="Times New Roman" w:eastAsia="宋体" w:cs="Times New Roman"/>
                <w:color w:val="auto"/>
                <w:spacing w:val="-4"/>
                <w:sz w:val="21"/>
                <w:szCs w:val="21"/>
              </w:rPr>
              <w:t>应急综合演练，实现从被动应对到主动防控的重大转变。加强流域</w:t>
            </w:r>
            <w:r>
              <w:rPr>
                <w:rFonts w:hint="default" w:ascii="Times New Roman" w:hAnsi="Times New Roman" w:eastAsia="宋体" w:cs="Times New Roman"/>
                <w:color w:val="auto"/>
                <w:spacing w:val="1"/>
                <w:sz w:val="21"/>
                <w:szCs w:val="21"/>
              </w:rPr>
              <w:t>突发水环境事件应急能力建设，提升应急响应水平，</w:t>
            </w:r>
            <w:r>
              <w:rPr>
                <w:rFonts w:hint="default" w:ascii="Times New Roman" w:hAnsi="Times New Roman" w:eastAsia="宋体" w:cs="Times New Roman"/>
                <w:color w:val="auto"/>
                <w:sz w:val="21"/>
                <w:szCs w:val="21"/>
              </w:rPr>
              <w:t>加强监测预警、拦污控污、信息通报、协同处置、基础保障等工作，防范重大生态环境风险，坚决守住生态环境安全底线。</w:t>
            </w:r>
          </w:p>
        </w:tc>
        <w:tc>
          <w:tcPr>
            <w:tcW w:w="3007" w:type="dxa"/>
            <w:vMerge w:val="continue"/>
            <w:noWrap w:val="0"/>
            <w:vAlign w:val="center"/>
          </w:tcPr>
          <w:p w14:paraId="05C705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r>
      <w:tr w14:paraId="611AC5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32BBD3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264173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0F25753E">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〔A3.1-3〕强化重污染天气监测预报预警能力，建立和完善重污染天气兵地联合应急预案、预警应急机制和会商联动机制，加强轻、</w:t>
            </w:r>
            <w:r>
              <w:rPr>
                <w:rFonts w:hint="default" w:ascii="Times New Roman" w:hAnsi="Times New Roman" w:eastAsia="宋体" w:cs="Times New Roman"/>
                <w:color w:val="auto"/>
                <w:sz w:val="21"/>
                <w:szCs w:val="21"/>
              </w:rPr>
              <w:t>中度污染天气管控。</w:t>
            </w:r>
          </w:p>
        </w:tc>
        <w:tc>
          <w:tcPr>
            <w:tcW w:w="3007" w:type="dxa"/>
            <w:vMerge w:val="continue"/>
            <w:noWrap w:val="0"/>
            <w:vAlign w:val="center"/>
          </w:tcPr>
          <w:p w14:paraId="706334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r>
      <w:tr w14:paraId="7617B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54992B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restart"/>
            <w:noWrap w:val="0"/>
            <w:vAlign w:val="center"/>
          </w:tcPr>
          <w:p w14:paraId="080556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1"/>
                <w:sz w:val="21"/>
                <w:szCs w:val="21"/>
              </w:rPr>
              <w:t>A3.2联</w:t>
            </w:r>
            <w:r>
              <w:rPr>
                <w:rFonts w:hint="default" w:ascii="Times New Roman" w:hAnsi="Times New Roman" w:eastAsia="宋体" w:cs="Times New Roman"/>
                <w:color w:val="auto"/>
                <w:spacing w:val="3"/>
                <w:sz w:val="21"/>
                <w:szCs w:val="21"/>
              </w:rPr>
              <w:t>防联控</w:t>
            </w:r>
            <w:r>
              <w:rPr>
                <w:rFonts w:hint="default" w:ascii="Times New Roman" w:hAnsi="Times New Roman" w:eastAsia="宋体" w:cs="Times New Roman"/>
                <w:color w:val="auto"/>
                <w:spacing w:val="5"/>
                <w:sz w:val="21"/>
                <w:szCs w:val="21"/>
              </w:rPr>
              <w:t>要求</w:t>
            </w:r>
          </w:p>
        </w:tc>
        <w:tc>
          <w:tcPr>
            <w:tcW w:w="9497" w:type="dxa"/>
            <w:noWrap w:val="0"/>
            <w:vAlign w:val="center"/>
          </w:tcPr>
          <w:p w14:paraId="1A1D26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〔A3.2-1〕提升饮用水安全保障水平。以县级及以上集中式饮用水</w:t>
            </w:r>
            <w:r>
              <w:rPr>
                <w:rFonts w:hint="default" w:ascii="Times New Roman" w:hAnsi="Times New Roman" w:eastAsia="宋体" w:cs="Times New Roman"/>
                <w:color w:val="auto"/>
                <w:spacing w:val="1"/>
                <w:sz w:val="21"/>
                <w:szCs w:val="21"/>
              </w:rPr>
              <w:t>水源地为重点，推进饮用水水源保护区规范化建设，统筹推进备用</w:t>
            </w:r>
            <w:r>
              <w:rPr>
                <w:rFonts w:hint="default" w:ascii="Times New Roman" w:hAnsi="Times New Roman" w:eastAsia="宋体" w:cs="Times New Roman"/>
                <w:color w:val="auto"/>
                <w:sz w:val="21"/>
                <w:szCs w:val="21"/>
              </w:rPr>
              <w:t>水源或应急水源建设。单一水源供水的重点城市于2025年底前基</w:t>
            </w:r>
            <w:r>
              <w:rPr>
                <w:rFonts w:hint="default" w:ascii="Times New Roman" w:hAnsi="Times New Roman" w:eastAsia="宋体" w:cs="Times New Roman"/>
                <w:color w:val="auto"/>
                <w:spacing w:val="1"/>
                <w:sz w:val="21"/>
                <w:szCs w:val="21"/>
              </w:rPr>
              <w:t>本完成备用水源或应急水源建设，有条件的地区开展兵地互为</w:t>
            </w:r>
            <w:r>
              <w:rPr>
                <w:rFonts w:hint="default" w:ascii="Times New Roman" w:hAnsi="Times New Roman" w:eastAsia="宋体" w:cs="Times New Roman"/>
                <w:color w:val="auto"/>
                <w:sz w:val="21"/>
                <w:szCs w:val="21"/>
              </w:rPr>
              <w:t>备用</w:t>
            </w:r>
            <w:r>
              <w:rPr>
                <w:rFonts w:hint="default" w:ascii="Times New Roman" w:hAnsi="Times New Roman" w:eastAsia="宋体" w:cs="Times New Roman"/>
                <w:color w:val="auto"/>
                <w:spacing w:val="-2"/>
                <w:sz w:val="21"/>
                <w:szCs w:val="21"/>
              </w:rPr>
              <w:t>水源建设。梯次推进农村集中式饮用水水源保护区划定，到2025年，</w:t>
            </w:r>
            <w:r>
              <w:rPr>
                <w:rFonts w:hint="default" w:ascii="Times New Roman" w:hAnsi="Times New Roman" w:eastAsia="宋体" w:cs="Times New Roman"/>
                <w:color w:val="auto"/>
                <w:sz w:val="21"/>
                <w:szCs w:val="21"/>
              </w:rPr>
              <w:t>完成乡镇级集中式饮用水水源保护区划定与勘界立标。开展“千吨万人”农村饮用水水源保护区环境风险排查整治，加强农村水源水</w:t>
            </w:r>
            <w:r>
              <w:rPr>
                <w:rFonts w:hint="default" w:ascii="Times New Roman" w:hAnsi="Times New Roman" w:eastAsia="宋体" w:cs="Times New Roman"/>
                <w:color w:val="auto"/>
                <w:spacing w:val="-1"/>
                <w:sz w:val="21"/>
                <w:szCs w:val="21"/>
              </w:rPr>
              <w:t>质监测，依法清理饮用水水源保护区内违法建筑和排污口，实施从</w:t>
            </w:r>
            <w:r>
              <w:rPr>
                <w:rFonts w:hint="default" w:ascii="Times New Roman" w:hAnsi="Times New Roman" w:eastAsia="宋体" w:cs="Times New Roman"/>
                <w:color w:val="auto"/>
                <w:sz w:val="21"/>
                <w:szCs w:val="21"/>
              </w:rPr>
              <w:t>水源到水龙头全过程监管。强化饮用水水源保护区环境应急管</w:t>
            </w:r>
            <w:r>
              <w:rPr>
                <w:rFonts w:hint="default" w:ascii="Times New Roman" w:hAnsi="Times New Roman" w:eastAsia="宋体" w:cs="Times New Roman"/>
                <w:color w:val="auto"/>
                <w:spacing w:val="-1"/>
                <w:sz w:val="21"/>
                <w:szCs w:val="21"/>
              </w:rPr>
              <w:t>理，</w:t>
            </w:r>
            <w:r>
              <w:rPr>
                <w:rFonts w:hint="default" w:ascii="Times New Roman" w:hAnsi="Times New Roman" w:eastAsia="宋体" w:cs="Times New Roman"/>
                <w:color w:val="auto"/>
                <w:sz w:val="21"/>
                <w:szCs w:val="21"/>
              </w:rPr>
              <w:t>完善重大突发环境事件的物资和技术储备。针对汇水区、补给区存</w:t>
            </w:r>
            <w:r>
              <w:rPr>
                <w:rFonts w:hint="default" w:ascii="Times New Roman" w:hAnsi="Times New Roman" w:eastAsia="宋体" w:cs="Times New Roman"/>
                <w:color w:val="auto"/>
                <w:spacing w:val="1"/>
                <w:sz w:val="21"/>
                <w:szCs w:val="21"/>
              </w:rPr>
              <w:t>在兵地跨界的，建立统一的饮用水水源应急和执法机制，</w:t>
            </w:r>
            <w:r>
              <w:rPr>
                <w:rFonts w:hint="default" w:ascii="Times New Roman" w:hAnsi="Times New Roman" w:eastAsia="宋体" w:cs="Times New Roman"/>
                <w:color w:val="auto"/>
                <w:sz w:val="21"/>
                <w:szCs w:val="21"/>
              </w:rPr>
              <w:t>共享应急物资。</w:t>
            </w:r>
          </w:p>
        </w:tc>
        <w:tc>
          <w:tcPr>
            <w:tcW w:w="3007" w:type="dxa"/>
            <w:vMerge w:val="continue"/>
            <w:noWrap w:val="0"/>
            <w:vAlign w:val="center"/>
          </w:tcPr>
          <w:p w14:paraId="2390E2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r>
      <w:tr w14:paraId="6FCC3A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0B52E2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17DEA5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1B175791">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〔A3.2-2〕依法推行农用地分类管理制度，强化受污染耕地安全利</w:t>
            </w:r>
            <w:r>
              <w:rPr>
                <w:rFonts w:hint="default" w:ascii="Times New Roman" w:hAnsi="Times New Roman" w:eastAsia="宋体" w:cs="Times New Roman"/>
                <w:color w:val="auto"/>
                <w:spacing w:val="1"/>
                <w:sz w:val="21"/>
                <w:szCs w:val="21"/>
              </w:rPr>
              <w:t>用和风险管控。因地制宜制定实施安全利用方案，</w:t>
            </w:r>
            <w:r>
              <w:rPr>
                <w:rFonts w:hint="default" w:ascii="Times New Roman" w:hAnsi="Times New Roman" w:eastAsia="宋体" w:cs="Times New Roman"/>
                <w:color w:val="auto"/>
                <w:sz w:val="21"/>
                <w:szCs w:val="21"/>
              </w:rPr>
              <w:t>鼓励采取种植结构调整等措施，确保受污染耕地全部实现安全利用。</w:t>
            </w:r>
          </w:p>
        </w:tc>
        <w:tc>
          <w:tcPr>
            <w:tcW w:w="3007" w:type="dxa"/>
            <w:vMerge w:val="continue"/>
            <w:noWrap w:val="0"/>
            <w:vAlign w:val="center"/>
          </w:tcPr>
          <w:p w14:paraId="6F94DD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r>
      <w:tr w14:paraId="215771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2FCBE6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6360E9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78C77CEC">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〔A3.2-3〕加强新污染物多环境介质协同治理。排放重点管控新污</w:t>
            </w:r>
            <w:r>
              <w:rPr>
                <w:rFonts w:hint="default" w:ascii="Times New Roman" w:hAnsi="Times New Roman" w:eastAsia="宋体" w:cs="Times New Roman"/>
                <w:color w:val="auto"/>
                <w:spacing w:val="1"/>
                <w:sz w:val="21"/>
                <w:szCs w:val="21"/>
              </w:rPr>
              <w:t>染物的企事业单位应采取污染控制措施，达到</w:t>
            </w:r>
            <w:r>
              <w:rPr>
                <w:rFonts w:hint="default" w:ascii="Times New Roman" w:hAnsi="Times New Roman" w:eastAsia="宋体" w:cs="Times New Roman"/>
                <w:color w:val="auto"/>
                <w:sz w:val="21"/>
                <w:szCs w:val="21"/>
              </w:rPr>
              <w:t>相关污染物排放标准</w:t>
            </w:r>
            <w:r>
              <w:rPr>
                <w:rFonts w:hint="default" w:ascii="Times New Roman" w:hAnsi="Times New Roman" w:eastAsia="宋体" w:cs="Times New Roman"/>
                <w:color w:val="auto"/>
                <w:spacing w:val="1"/>
                <w:sz w:val="21"/>
                <w:szCs w:val="21"/>
              </w:rPr>
              <w:t>及环境质量目标要求；按照排污许可管理有关要</w:t>
            </w:r>
            <w:r>
              <w:rPr>
                <w:rFonts w:hint="default" w:ascii="Times New Roman" w:hAnsi="Times New Roman" w:eastAsia="宋体" w:cs="Times New Roman"/>
                <w:color w:val="auto"/>
                <w:sz w:val="21"/>
                <w:szCs w:val="21"/>
              </w:rPr>
              <w:t>求，依法申领排污</w:t>
            </w:r>
            <w:r>
              <w:rPr>
                <w:rFonts w:hint="default" w:ascii="Times New Roman" w:hAnsi="Times New Roman" w:eastAsia="宋体" w:cs="Times New Roman"/>
                <w:color w:val="auto"/>
                <w:spacing w:val="1"/>
                <w:sz w:val="21"/>
                <w:szCs w:val="21"/>
              </w:rPr>
              <w:t>许可证或填写排污登记表，并在其中载明执行</w:t>
            </w:r>
            <w:r>
              <w:rPr>
                <w:rFonts w:hint="default" w:ascii="Times New Roman" w:hAnsi="Times New Roman" w:eastAsia="宋体" w:cs="Times New Roman"/>
                <w:color w:val="auto"/>
                <w:sz w:val="21"/>
                <w:szCs w:val="21"/>
              </w:rPr>
              <w:t>的污染控制标准要求及采取的污染控制措施。排放重点管控新污染物的企事业单位和其</w:t>
            </w:r>
            <w:r>
              <w:rPr>
                <w:rFonts w:hint="default" w:ascii="Times New Roman" w:hAnsi="Times New Roman" w:eastAsia="宋体" w:cs="Times New Roman"/>
                <w:color w:val="auto"/>
                <w:spacing w:val="-1"/>
                <w:sz w:val="21"/>
                <w:szCs w:val="21"/>
              </w:rPr>
              <w:t>他生产经营者应按照相关法律法规要求，对排放</w:t>
            </w:r>
            <w:r>
              <w:rPr>
                <w:rFonts w:hint="default" w:ascii="Times New Roman" w:hAnsi="Times New Roman" w:eastAsia="宋体" w:cs="Times New Roman"/>
                <w:color w:val="auto"/>
                <w:spacing w:val="-1"/>
                <w:sz w:val="21"/>
                <w:szCs w:val="21"/>
                <w:lang w:eastAsia="zh-CN"/>
              </w:rPr>
              <w:t>（</w:t>
            </w:r>
            <w:r>
              <w:rPr>
                <w:rFonts w:hint="default" w:ascii="Times New Roman" w:hAnsi="Times New Roman" w:eastAsia="宋体" w:cs="Times New Roman"/>
                <w:color w:val="auto"/>
                <w:spacing w:val="-1"/>
                <w:sz w:val="21"/>
                <w:szCs w:val="21"/>
              </w:rPr>
              <w:t>污</w:t>
            </w:r>
            <w:r>
              <w:rPr>
                <w:rFonts w:hint="default" w:ascii="Times New Roman" w:hAnsi="Times New Roman" w:eastAsia="宋体" w:cs="Times New Roman"/>
                <w:color w:val="auto"/>
                <w:spacing w:val="-1"/>
                <w:sz w:val="21"/>
                <w:szCs w:val="21"/>
                <w:lang w:eastAsia="zh-CN"/>
              </w:rPr>
              <w:t>）</w:t>
            </w:r>
            <w:r>
              <w:rPr>
                <w:rFonts w:hint="default" w:ascii="Times New Roman" w:hAnsi="Times New Roman" w:eastAsia="宋体" w:cs="Times New Roman"/>
                <w:color w:val="auto"/>
                <w:spacing w:val="-1"/>
                <w:sz w:val="21"/>
                <w:szCs w:val="21"/>
              </w:rPr>
              <w:t>口及其周边</w:t>
            </w:r>
            <w:r>
              <w:rPr>
                <w:rFonts w:hint="default" w:ascii="Times New Roman" w:hAnsi="Times New Roman" w:eastAsia="宋体" w:cs="Times New Roman"/>
                <w:color w:val="auto"/>
                <w:sz w:val="21"/>
                <w:szCs w:val="21"/>
              </w:rPr>
              <w:t>环境定期开展环境监测，评估环境风险，排查整治环境安全隐</w:t>
            </w:r>
            <w:r>
              <w:rPr>
                <w:rFonts w:hint="default" w:ascii="Times New Roman" w:hAnsi="Times New Roman" w:eastAsia="宋体" w:cs="Times New Roman"/>
                <w:color w:val="auto"/>
                <w:spacing w:val="-1"/>
                <w:sz w:val="21"/>
                <w:szCs w:val="21"/>
              </w:rPr>
              <w:t>患，依法公开新污染物信息，采取措施防范环境风险。土壤</w:t>
            </w:r>
            <w:r>
              <w:rPr>
                <w:rFonts w:hint="default" w:ascii="Times New Roman" w:hAnsi="Times New Roman" w:eastAsia="宋体" w:cs="Times New Roman"/>
                <w:color w:val="auto"/>
                <w:spacing w:val="-2"/>
                <w:sz w:val="21"/>
                <w:szCs w:val="21"/>
              </w:rPr>
              <w:t>污染重点监管单位应严格控制有毒有害物质排放，建立土壤污染隐患排查制度，</w:t>
            </w:r>
            <w:r>
              <w:rPr>
                <w:rFonts w:hint="default" w:ascii="Times New Roman" w:hAnsi="Times New Roman" w:eastAsia="宋体" w:cs="Times New Roman"/>
                <w:color w:val="auto"/>
                <w:spacing w:val="2"/>
                <w:sz w:val="21"/>
                <w:szCs w:val="21"/>
              </w:rPr>
              <w:t>防止有毒有害物质渗漏、流失、扬散。</w:t>
            </w:r>
          </w:p>
        </w:tc>
        <w:tc>
          <w:tcPr>
            <w:tcW w:w="3007" w:type="dxa"/>
            <w:vMerge w:val="continue"/>
            <w:noWrap w:val="0"/>
            <w:vAlign w:val="center"/>
          </w:tcPr>
          <w:p w14:paraId="4B3CED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r>
      <w:tr w14:paraId="7D6586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1DCFE3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79200C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2BF6166C">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〔A3.2-4〕加强环境风险预警防控。加强涉危险废物企业、涉重金</w:t>
            </w:r>
            <w:r>
              <w:rPr>
                <w:rFonts w:hint="default" w:ascii="Times New Roman" w:hAnsi="Times New Roman" w:eastAsia="宋体" w:cs="Times New Roman"/>
                <w:color w:val="auto"/>
                <w:spacing w:val="1"/>
                <w:sz w:val="21"/>
                <w:szCs w:val="21"/>
              </w:rPr>
              <w:t>属企业、化工园区、集中式饮用水水源地及重点流域环境风险调查</w:t>
            </w:r>
            <w:r>
              <w:rPr>
                <w:rFonts w:hint="default" w:ascii="Times New Roman" w:hAnsi="Times New Roman" w:eastAsia="宋体" w:cs="Times New Roman"/>
                <w:color w:val="auto"/>
                <w:sz w:val="21"/>
                <w:szCs w:val="21"/>
              </w:rPr>
              <w:t>评估，实施分类分级风险管控，协同推进重点区域、流域生态环境</w:t>
            </w:r>
            <w:r>
              <w:rPr>
                <w:rFonts w:hint="default" w:ascii="Times New Roman" w:hAnsi="Times New Roman" w:eastAsia="宋体" w:cs="Times New Roman"/>
                <w:color w:val="auto"/>
                <w:spacing w:val="-1"/>
                <w:sz w:val="21"/>
                <w:szCs w:val="21"/>
              </w:rPr>
              <w:t>污染综合防治、风险防控与生态修复。</w:t>
            </w:r>
          </w:p>
        </w:tc>
        <w:tc>
          <w:tcPr>
            <w:tcW w:w="3007" w:type="dxa"/>
            <w:vMerge w:val="continue"/>
            <w:noWrap w:val="0"/>
            <w:vAlign w:val="center"/>
          </w:tcPr>
          <w:p w14:paraId="051B54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r>
      <w:tr w14:paraId="136BAB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19AD32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7CF679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6CD0029B">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〔A3.2-5〕强化生态环境应急管理。实施企业突发生态环境应急预</w:t>
            </w:r>
            <w:r>
              <w:rPr>
                <w:rFonts w:hint="default" w:ascii="Times New Roman" w:hAnsi="Times New Roman" w:eastAsia="宋体" w:cs="Times New Roman"/>
                <w:color w:val="auto"/>
                <w:spacing w:val="1"/>
                <w:sz w:val="21"/>
                <w:szCs w:val="21"/>
              </w:rPr>
              <w:t>案电子化备案，完成县级以上政府突发环境事件</w:t>
            </w:r>
            <w:r>
              <w:rPr>
                <w:rFonts w:hint="default" w:ascii="Times New Roman" w:hAnsi="Times New Roman" w:eastAsia="宋体" w:cs="Times New Roman"/>
                <w:color w:val="auto"/>
                <w:sz w:val="21"/>
                <w:szCs w:val="21"/>
              </w:rPr>
              <w:t>应急预案修编。完</w:t>
            </w:r>
            <w:r>
              <w:rPr>
                <w:rFonts w:hint="default" w:ascii="Times New Roman" w:hAnsi="Times New Roman" w:eastAsia="宋体" w:cs="Times New Roman"/>
                <w:color w:val="auto"/>
                <w:spacing w:val="1"/>
                <w:sz w:val="21"/>
                <w:szCs w:val="21"/>
              </w:rPr>
              <w:t>善区域和企业应急处置物资储备系统，结合新疆各地特征污染</w:t>
            </w:r>
            <w:r>
              <w:rPr>
                <w:rFonts w:hint="default" w:ascii="Times New Roman" w:hAnsi="Times New Roman" w:eastAsia="宋体" w:cs="Times New Roman"/>
                <w:color w:val="auto"/>
                <w:sz w:val="21"/>
                <w:szCs w:val="21"/>
              </w:rPr>
              <w:t>物的</w:t>
            </w:r>
            <w:r>
              <w:rPr>
                <w:rFonts w:hint="default" w:ascii="Times New Roman" w:hAnsi="Times New Roman" w:eastAsia="宋体" w:cs="Times New Roman"/>
                <w:color w:val="auto"/>
                <w:spacing w:val="1"/>
                <w:sz w:val="21"/>
                <w:szCs w:val="21"/>
              </w:rPr>
              <w:t>特性，加强应急物资储备及应急物资信息化建设</w:t>
            </w:r>
            <w:r>
              <w:rPr>
                <w:rFonts w:hint="default" w:ascii="Times New Roman" w:hAnsi="Times New Roman" w:eastAsia="宋体" w:cs="Times New Roman"/>
                <w:color w:val="auto"/>
                <w:sz w:val="21"/>
                <w:szCs w:val="21"/>
              </w:rPr>
              <w:t>，掌握社会应急物</w:t>
            </w:r>
            <w:r>
              <w:rPr>
                <w:rFonts w:hint="default" w:ascii="Times New Roman" w:hAnsi="Times New Roman" w:eastAsia="宋体" w:cs="Times New Roman"/>
                <w:color w:val="auto"/>
                <w:spacing w:val="1"/>
                <w:sz w:val="21"/>
                <w:szCs w:val="21"/>
              </w:rPr>
              <w:t>资储备动态信息，妥善应对各类突发生态环境事件。加强应急监测</w:t>
            </w:r>
            <w:r>
              <w:rPr>
                <w:rFonts w:hint="default" w:ascii="Times New Roman" w:hAnsi="Times New Roman" w:eastAsia="宋体" w:cs="Times New Roman"/>
                <w:color w:val="auto"/>
                <w:sz w:val="21"/>
                <w:szCs w:val="21"/>
              </w:rPr>
              <w:t>装备配置，定期开展应急演练，增强实战能</w:t>
            </w:r>
            <w:r>
              <w:rPr>
                <w:rFonts w:hint="default" w:ascii="Times New Roman" w:hAnsi="Times New Roman" w:eastAsia="宋体" w:cs="Times New Roman"/>
                <w:color w:val="auto"/>
                <w:spacing w:val="-1"/>
                <w:sz w:val="21"/>
                <w:szCs w:val="21"/>
              </w:rPr>
              <w:t>力。</w:t>
            </w:r>
          </w:p>
        </w:tc>
        <w:tc>
          <w:tcPr>
            <w:tcW w:w="3007" w:type="dxa"/>
            <w:vMerge w:val="continue"/>
            <w:noWrap w:val="0"/>
            <w:vAlign w:val="center"/>
          </w:tcPr>
          <w:p w14:paraId="6F913C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r>
      <w:tr w14:paraId="6BB71A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393072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47F44D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271EDA45">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rPr>
              <w:t>〔A3.2-6〕强化兵地联防联控联治，落实兵地统一规划、统一政策、统一标准、统一要求、统一推进的防治管理措施，完善重大项目环境影响评价区域会商、重污染天气兵地联合应急联动机制。建立兵地生态环境联合执法和联合监测长效机制。</w:t>
            </w:r>
          </w:p>
        </w:tc>
        <w:tc>
          <w:tcPr>
            <w:tcW w:w="3007" w:type="dxa"/>
            <w:vMerge w:val="continue"/>
            <w:noWrap w:val="0"/>
            <w:vAlign w:val="center"/>
          </w:tcPr>
          <w:p w14:paraId="0C0CD2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r>
      <w:tr w14:paraId="70F9BE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restart"/>
            <w:noWrap w:val="0"/>
            <w:vAlign w:val="center"/>
          </w:tcPr>
          <w:p w14:paraId="014361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A4资源利用要求</w:t>
            </w:r>
          </w:p>
        </w:tc>
        <w:tc>
          <w:tcPr>
            <w:tcW w:w="878" w:type="dxa"/>
            <w:vMerge w:val="restart"/>
            <w:noWrap w:val="0"/>
            <w:vAlign w:val="center"/>
          </w:tcPr>
          <w:p w14:paraId="268E9A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3"/>
                <w:sz w:val="21"/>
                <w:szCs w:val="21"/>
              </w:rPr>
              <w:t>A4.1水</w:t>
            </w:r>
            <w:r>
              <w:rPr>
                <w:rFonts w:hint="default" w:ascii="Times New Roman" w:hAnsi="Times New Roman" w:eastAsia="宋体" w:cs="Times New Roman"/>
                <w:color w:val="auto"/>
                <w:spacing w:val="5"/>
                <w:sz w:val="21"/>
                <w:szCs w:val="21"/>
              </w:rPr>
              <w:t>资源</w:t>
            </w:r>
          </w:p>
        </w:tc>
        <w:tc>
          <w:tcPr>
            <w:tcW w:w="9497" w:type="dxa"/>
            <w:noWrap w:val="0"/>
            <w:vAlign w:val="center"/>
          </w:tcPr>
          <w:p w14:paraId="55400CC9">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〔A4.1-1〕自治区用水总量2025年、2030年控制在国家下达的</w:t>
            </w:r>
            <w:r>
              <w:rPr>
                <w:rFonts w:hint="default" w:ascii="Times New Roman" w:hAnsi="Times New Roman" w:eastAsia="宋体" w:cs="Times New Roman"/>
                <w:color w:val="auto"/>
                <w:sz w:val="21"/>
                <w:szCs w:val="21"/>
              </w:rPr>
              <w:t>指标内。</w:t>
            </w:r>
          </w:p>
        </w:tc>
        <w:tc>
          <w:tcPr>
            <w:tcW w:w="3007" w:type="dxa"/>
            <w:vMerge w:val="restart"/>
            <w:noWrap w:val="0"/>
            <w:vAlign w:val="center"/>
          </w:tcPr>
          <w:p w14:paraId="0FFD21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4"/>
                <w:lang w:val="en-US" w:eastAsia="zh-CN" w:bidi="ar-SA"/>
              </w:rPr>
              <w:t>项目运营过程中对区域水资源影响较小，符合资源利用要求。</w:t>
            </w:r>
          </w:p>
        </w:tc>
      </w:tr>
      <w:tr w14:paraId="45C86D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428" w:type="dxa"/>
            <w:vMerge w:val="continue"/>
            <w:noWrap w:val="0"/>
            <w:vAlign w:val="center"/>
          </w:tcPr>
          <w:p w14:paraId="1EE21B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6DD417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4855B3D4">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〔A4.1-2〕加大城镇污水再生利用工程建设力度，推进区域再生水</w:t>
            </w:r>
            <w:r>
              <w:rPr>
                <w:rFonts w:hint="default" w:ascii="Times New Roman" w:hAnsi="Times New Roman" w:eastAsia="宋体" w:cs="Times New Roman"/>
                <w:color w:val="auto"/>
                <w:sz w:val="21"/>
                <w:szCs w:val="21"/>
              </w:rPr>
              <w:t>循环利用，到2025年，城市生活污水再生利用率力争达到60%。</w:t>
            </w:r>
            <w:r>
              <w:rPr>
                <w:rFonts w:hint="default" w:ascii="Times New Roman" w:hAnsi="Times New Roman" w:eastAsia="宋体" w:cs="Times New Roman"/>
                <w:color w:val="auto"/>
                <w:spacing w:val="4"/>
                <w:sz w:val="21"/>
                <w:szCs w:val="21"/>
              </w:rPr>
              <w:t>〔A4.1-3〕加强农村水利基础设施建设，推进</w:t>
            </w:r>
            <w:r>
              <w:rPr>
                <w:rFonts w:hint="default" w:ascii="Times New Roman" w:hAnsi="Times New Roman" w:eastAsia="宋体" w:cs="Times New Roman"/>
                <w:color w:val="auto"/>
                <w:spacing w:val="3"/>
                <w:sz w:val="21"/>
                <w:szCs w:val="21"/>
              </w:rPr>
              <w:t>农村供水保障工程，</w:t>
            </w:r>
            <w:r>
              <w:rPr>
                <w:rFonts w:hint="default" w:ascii="Times New Roman" w:hAnsi="Times New Roman" w:eastAsia="宋体" w:cs="Times New Roman"/>
                <w:color w:val="auto"/>
                <w:spacing w:val="1"/>
                <w:sz w:val="21"/>
                <w:szCs w:val="21"/>
              </w:rPr>
              <w:t>农村自来水普及率、集中供水率分别达到99.3</w:t>
            </w:r>
            <w:r>
              <w:rPr>
                <w:rFonts w:hint="default" w:ascii="Times New Roman" w:hAnsi="Times New Roman" w:eastAsia="宋体" w:cs="Times New Roman"/>
                <w:color w:val="auto"/>
                <w:sz w:val="21"/>
                <w:szCs w:val="21"/>
              </w:rPr>
              <w:t>%、99.7%。</w:t>
            </w:r>
          </w:p>
        </w:tc>
        <w:tc>
          <w:tcPr>
            <w:tcW w:w="3007" w:type="dxa"/>
            <w:vMerge w:val="continue"/>
            <w:noWrap w:val="0"/>
            <w:vAlign w:val="center"/>
          </w:tcPr>
          <w:p w14:paraId="19AD51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r>
      <w:tr w14:paraId="3B1C51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3B4598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7477A7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4C2AAF85">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〔A4.1-4〕地下水资源利用实行总量控制和水位控制。取用地下水</w:t>
            </w:r>
            <w:r>
              <w:rPr>
                <w:rFonts w:hint="default" w:ascii="Times New Roman" w:hAnsi="Times New Roman" w:eastAsia="宋体" w:cs="Times New Roman"/>
                <w:color w:val="auto"/>
                <w:spacing w:val="1"/>
                <w:sz w:val="21"/>
                <w:szCs w:val="21"/>
              </w:rPr>
              <w:t>资源，应当按照国家和自治区有关规定申请取水许可。地下水利用</w:t>
            </w:r>
            <w:r>
              <w:rPr>
                <w:rFonts w:hint="default" w:ascii="Times New Roman" w:hAnsi="Times New Roman" w:eastAsia="宋体" w:cs="Times New Roman"/>
                <w:color w:val="auto"/>
                <w:sz w:val="21"/>
                <w:szCs w:val="21"/>
              </w:rPr>
              <w:t>应当以浅层地下水为主。</w:t>
            </w:r>
          </w:p>
        </w:tc>
        <w:tc>
          <w:tcPr>
            <w:tcW w:w="3007" w:type="dxa"/>
            <w:vMerge w:val="continue"/>
            <w:noWrap w:val="0"/>
            <w:vAlign w:val="center"/>
          </w:tcPr>
          <w:p w14:paraId="405B17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r>
      <w:tr w14:paraId="3227F8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06A73E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noWrap w:val="0"/>
            <w:vAlign w:val="center"/>
          </w:tcPr>
          <w:p w14:paraId="2C7107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1"/>
                <w:sz w:val="21"/>
                <w:szCs w:val="21"/>
              </w:rPr>
              <w:t>A4.2土</w:t>
            </w:r>
            <w:r>
              <w:rPr>
                <w:rFonts w:hint="default" w:ascii="Times New Roman" w:hAnsi="Times New Roman" w:eastAsia="宋体" w:cs="Times New Roman"/>
                <w:color w:val="auto"/>
                <w:spacing w:val="-3"/>
                <w:sz w:val="21"/>
                <w:szCs w:val="21"/>
              </w:rPr>
              <w:t>地资源</w:t>
            </w:r>
          </w:p>
        </w:tc>
        <w:tc>
          <w:tcPr>
            <w:tcW w:w="9497" w:type="dxa"/>
            <w:noWrap w:val="0"/>
            <w:vAlign w:val="center"/>
          </w:tcPr>
          <w:p w14:paraId="6430BD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〔A4.2-1〕土地资源上线指标控制在最终批复的国土空间规划控制</w:t>
            </w:r>
            <w:r>
              <w:rPr>
                <w:rFonts w:hint="default" w:ascii="Times New Roman" w:hAnsi="Times New Roman" w:eastAsia="宋体" w:cs="Times New Roman"/>
                <w:color w:val="auto"/>
                <w:sz w:val="21"/>
                <w:szCs w:val="21"/>
              </w:rPr>
              <w:t>指标内。</w:t>
            </w:r>
          </w:p>
        </w:tc>
        <w:tc>
          <w:tcPr>
            <w:tcW w:w="3007" w:type="dxa"/>
            <w:noWrap w:val="0"/>
            <w:vAlign w:val="center"/>
          </w:tcPr>
          <w:p w14:paraId="6CED05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本项目符合国土空间规划要求，用地属于设施农用地。</w:t>
            </w:r>
          </w:p>
        </w:tc>
      </w:tr>
      <w:tr w14:paraId="72CD67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22AA35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restart"/>
            <w:noWrap w:val="0"/>
            <w:vAlign w:val="center"/>
          </w:tcPr>
          <w:p w14:paraId="4868A7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1"/>
                <w:sz w:val="21"/>
                <w:szCs w:val="21"/>
              </w:rPr>
              <w:t>A4.3能</w:t>
            </w:r>
            <w:r>
              <w:rPr>
                <w:rFonts w:hint="default" w:ascii="Times New Roman" w:hAnsi="Times New Roman" w:eastAsia="宋体" w:cs="Times New Roman"/>
                <w:color w:val="auto"/>
                <w:spacing w:val="9"/>
                <w:sz w:val="21"/>
                <w:szCs w:val="21"/>
              </w:rPr>
              <w:t>源利用</w:t>
            </w:r>
          </w:p>
        </w:tc>
        <w:tc>
          <w:tcPr>
            <w:tcW w:w="9497" w:type="dxa"/>
            <w:noWrap w:val="0"/>
            <w:vAlign w:val="center"/>
          </w:tcPr>
          <w:p w14:paraId="28D87787">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〔A4.3-1〕单位地区生产总值二氧化碳排放降低水平完成国家下达</w:t>
            </w:r>
            <w:r>
              <w:rPr>
                <w:rFonts w:hint="default" w:ascii="Times New Roman" w:hAnsi="Times New Roman" w:eastAsia="宋体" w:cs="Times New Roman"/>
                <w:color w:val="auto"/>
                <w:sz w:val="21"/>
                <w:szCs w:val="21"/>
              </w:rPr>
              <w:t>指标。</w:t>
            </w:r>
            <w:r>
              <w:rPr>
                <w:rFonts w:hint="default" w:ascii="Times New Roman" w:hAnsi="Times New Roman" w:eastAsia="宋体" w:cs="Times New Roman"/>
                <w:color w:val="auto"/>
                <w:spacing w:val="4"/>
                <w:sz w:val="21"/>
                <w:szCs w:val="21"/>
              </w:rPr>
              <w:t>〔A4.3-2〕到2025年，自治区万元国内生产总值能耗比</w:t>
            </w:r>
            <w:r>
              <w:rPr>
                <w:rFonts w:hint="default" w:ascii="Times New Roman" w:hAnsi="Times New Roman" w:eastAsia="宋体" w:cs="Times New Roman"/>
                <w:color w:val="auto"/>
                <w:spacing w:val="3"/>
                <w:sz w:val="21"/>
                <w:szCs w:val="21"/>
              </w:rPr>
              <w:t>2020年下</w:t>
            </w:r>
            <w:r>
              <w:rPr>
                <w:rFonts w:hint="default" w:ascii="Times New Roman" w:hAnsi="Times New Roman" w:eastAsia="宋体" w:cs="Times New Roman"/>
                <w:color w:val="auto"/>
                <w:spacing w:val="1"/>
                <w:sz w:val="21"/>
                <w:szCs w:val="21"/>
              </w:rPr>
              <w:t>降14.5%。</w:t>
            </w:r>
            <w:r>
              <w:rPr>
                <w:rFonts w:hint="default" w:ascii="Times New Roman" w:hAnsi="Times New Roman" w:eastAsia="宋体" w:cs="Times New Roman"/>
                <w:color w:val="auto"/>
                <w:spacing w:val="3"/>
                <w:sz w:val="21"/>
                <w:szCs w:val="21"/>
              </w:rPr>
              <w:t>〔A4.3-3〕到2025年，非化石能源占一次能源消费比重达18%以上。</w:t>
            </w:r>
          </w:p>
        </w:tc>
        <w:tc>
          <w:tcPr>
            <w:tcW w:w="3007" w:type="dxa"/>
            <w:vMerge w:val="restart"/>
            <w:noWrap w:val="0"/>
            <w:vAlign w:val="center"/>
          </w:tcPr>
          <w:p w14:paraId="57A8E0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本项目不涉及煤炭等高污染燃料，生产过程使用电力作为生产供能能源。</w:t>
            </w:r>
          </w:p>
        </w:tc>
      </w:tr>
      <w:tr w14:paraId="5E82CA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3E9DEB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4987DD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6FF7BA1E">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7"/>
                <w:sz w:val="21"/>
                <w:szCs w:val="21"/>
              </w:rPr>
              <w:t>〔A4.3-4〕鼓励使用清洁能源或电厂热力、工业余热等替代锅炉、</w:t>
            </w:r>
            <w:r>
              <w:rPr>
                <w:rFonts w:hint="default" w:ascii="Times New Roman" w:hAnsi="Times New Roman" w:eastAsia="宋体" w:cs="Times New Roman"/>
                <w:color w:val="auto"/>
                <w:sz w:val="21"/>
                <w:szCs w:val="21"/>
              </w:rPr>
              <w:t>炉窑燃料用煤。</w:t>
            </w:r>
          </w:p>
        </w:tc>
        <w:tc>
          <w:tcPr>
            <w:tcW w:w="3007" w:type="dxa"/>
            <w:vMerge w:val="continue"/>
            <w:noWrap w:val="0"/>
            <w:vAlign w:val="center"/>
          </w:tcPr>
          <w:p w14:paraId="7152A5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r>
      <w:tr w14:paraId="693737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56CAAD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31529B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694B1A11">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〔A4.3-5〕以碳达峰碳中和工作为引领，着力提高能源资源利用效</w:t>
            </w:r>
            <w:r>
              <w:rPr>
                <w:rFonts w:hint="default" w:ascii="Times New Roman" w:hAnsi="Times New Roman" w:eastAsia="宋体" w:cs="Times New Roman"/>
                <w:color w:val="auto"/>
                <w:spacing w:val="1"/>
                <w:sz w:val="21"/>
                <w:szCs w:val="21"/>
              </w:rPr>
              <w:t>率。引导重点行业深入实施清洁生产改造，钢铁、</w:t>
            </w:r>
            <w:r>
              <w:rPr>
                <w:rFonts w:hint="default" w:ascii="Times New Roman" w:hAnsi="Times New Roman" w:eastAsia="宋体" w:cs="Times New Roman"/>
                <w:color w:val="auto"/>
                <w:sz w:val="21"/>
                <w:szCs w:val="21"/>
              </w:rPr>
              <w:t>建材、石油化工等重点行业以及其他行业重点用能单位持续开展节能降</w:t>
            </w:r>
            <w:r>
              <w:rPr>
                <w:rFonts w:hint="default" w:ascii="Times New Roman" w:hAnsi="Times New Roman" w:eastAsia="宋体" w:cs="Times New Roman"/>
                <w:color w:val="auto"/>
                <w:spacing w:val="-1"/>
                <w:sz w:val="21"/>
                <w:szCs w:val="21"/>
              </w:rPr>
              <w:t>耗。</w:t>
            </w:r>
          </w:p>
        </w:tc>
        <w:tc>
          <w:tcPr>
            <w:tcW w:w="3007" w:type="dxa"/>
            <w:vMerge w:val="continue"/>
            <w:noWrap w:val="0"/>
            <w:vAlign w:val="center"/>
          </w:tcPr>
          <w:p w14:paraId="2FFC63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r>
      <w:tr w14:paraId="17CA18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22C4D9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4DB8F3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1DBF40DC">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〔A4.3-6〕深入推进碳达峰碳中和行动。推动</w:t>
            </w:r>
            <w:r>
              <w:rPr>
                <w:rFonts w:hint="default" w:ascii="Times New Roman" w:hAnsi="Times New Roman" w:eastAsia="宋体" w:cs="Times New Roman"/>
                <w:color w:val="auto"/>
                <w:spacing w:val="3"/>
                <w:sz w:val="21"/>
                <w:szCs w:val="21"/>
              </w:rPr>
              <w:t>能源清洁低碳转型，</w:t>
            </w:r>
            <w:r>
              <w:rPr>
                <w:rFonts w:hint="default" w:ascii="Times New Roman" w:hAnsi="Times New Roman" w:eastAsia="宋体" w:cs="Times New Roman"/>
                <w:color w:val="auto"/>
                <w:spacing w:val="-1"/>
                <w:sz w:val="21"/>
                <w:szCs w:val="21"/>
              </w:rPr>
              <w:t>加强能耗“双控”管理，优化能源消费结构。新增原料用能不纳入</w:t>
            </w:r>
            <w:r>
              <w:rPr>
                <w:rFonts w:hint="default" w:ascii="Times New Roman" w:hAnsi="Times New Roman" w:eastAsia="宋体" w:cs="Times New Roman"/>
                <w:color w:val="auto"/>
                <w:sz w:val="21"/>
                <w:szCs w:val="21"/>
              </w:rPr>
              <w:t>能源消费总量控制。持续推进散煤整治。</w:t>
            </w:r>
          </w:p>
        </w:tc>
        <w:tc>
          <w:tcPr>
            <w:tcW w:w="3007" w:type="dxa"/>
            <w:vMerge w:val="continue"/>
            <w:noWrap w:val="0"/>
            <w:vAlign w:val="center"/>
          </w:tcPr>
          <w:p w14:paraId="444CCB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r>
      <w:tr w14:paraId="59B6A6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428" w:type="dxa"/>
            <w:vMerge w:val="continue"/>
            <w:noWrap w:val="0"/>
            <w:vAlign w:val="center"/>
          </w:tcPr>
          <w:p w14:paraId="597246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noWrap w:val="0"/>
            <w:vAlign w:val="center"/>
          </w:tcPr>
          <w:p w14:paraId="203650A4">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1"/>
                <w:sz w:val="21"/>
                <w:szCs w:val="21"/>
              </w:rPr>
              <w:t>A4.4禁</w:t>
            </w:r>
            <w:r>
              <w:rPr>
                <w:rFonts w:hint="default" w:ascii="Times New Roman" w:hAnsi="Times New Roman" w:eastAsia="宋体" w:cs="Times New Roman"/>
                <w:color w:val="auto"/>
                <w:spacing w:val="4"/>
                <w:sz w:val="21"/>
                <w:szCs w:val="21"/>
              </w:rPr>
              <w:t>燃区要</w:t>
            </w:r>
            <w:r>
              <w:rPr>
                <w:rFonts w:hint="default" w:ascii="Times New Roman" w:hAnsi="Times New Roman" w:eastAsia="宋体" w:cs="Times New Roman"/>
                <w:color w:val="auto"/>
                <w:sz w:val="21"/>
                <w:szCs w:val="21"/>
              </w:rPr>
              <w:t>求</w:t>
            </w:r>
          </w:p>
        </w:tc>
        <w:tc>
          <w:tcPr>
            <w:tcW w:w="9497" w:type="dxa"/>
            <w:noWrap w:val="0"/>
            <w:vAlign w:val="center"/>
          </w:tcPr>
          <w:p w14:paraId="179D25F8">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7"/>
                <w:sz w:val="21"/>
                <w:szCs w:val="21"/>
              </w:rPr>
              <w:t>〔A4.4-1〕在禁燃区内，禁止销售、燃用高污染燃料；禁止新建、</w:t>
            </w:r>
            <w:r>
              <w:rPr>
                <w:rFonts w:hint="default" w:ascii="Times New Roman" w:hAnsi="Times New Roman" w:eastAsia="宋体" w:cs="Times New Roman"/>
                <w:color w:val="auto"/>
                <w:spacing w:val="1"/>
                <w:sz w:val="21"/>
                <w:szCs w:val="21"/>
              </w:rPr>
              <w:t>扩建燃用高污染燃料的设施。已建成的，应当在</w:t>
            </w:r>
            <w:r>
              <w:rPr>
                <w:rFonts w:hint="default" w:ascii="Times New Roman" w:hAnsi="Times New Roman" w:eastAsia="宋体" w:cs="Times New Roman"/>
                <w:color w:val="auto"/>
                <w:sz w:val="21"/>
                <w:szCs w:val="21"/>
              </w:rPr>
              <w:t>规定期限内改用清洁能源。</w:t>
            </w:r>
          </w:p>
        </w:tc>
        <w:tc>
          <w:tcPr>
            <w:tcW w:w="3007" w:type="dxa"/>
            <w:vMerge w:val="continue"/>
            <w:noWrap w:val="0"/>
            <w:vAlign w:val="center"/>
          </w:tcPr>
          <w:p w14:paraId="1D3D94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r>
      <w:tr w14:paraId="66520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33163A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restart"/>
            <w:noWrap w:val="0"/>
            <w:vAlign w:val="center"/>
          </w:tcPr>
          <w:p w14:paraId="17F3C380">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1"/>
                <w:sz w:val="21"/>
                <w:szCs w:val="21"/>
              </w:rPr>
              <w:t>A4.5资</w:t>
            </w:r>
            <w:r>
              <w:rPr>
                <w:rFonts w:hint="default" w:ascii="Times New Roman" w:hAnsi="Times New Roman" w:eastAsia="宋体" w:cs="Times New Roman"/>
                <w:color w:val="auto"/>
                <w:spacing w:val="-2"/>
                <w:sz w:val="21"/>
                <w:szCs w:val="21"/>
              </w:rPr>
              <w:t>源综合</w:t>
            </w:r>
            <w:r>
              <w:rPr>
                <w:rFonts w:hint="default" w:ascii="Times New Roman" w:hAnsi="Times New Roman" w:eastAsia="宋体" w:cs="Times New Roman"/>
                <w:color w:val="auto"/>
                <w:spacing w:val="14"/>
                <w:sz w:val="21"/>
                <w:szCs w:val="21"/>
              </w:rPr>
              <w:t>利用</w:t>
            </w:r>
          </w:p>
        </w:tc>
        <w:tc>
          <w:tcPr>
            <w:tcW w:w="9497" w:type="dxa"/>
            <w:noWrap w:val="0"/>
            <w:vAlign w:val="center"/>
          </w:tcPr>
          <w:p w14:paraId="77465074">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4"/>
                <w:sz w:val="21"/>
                <w:szCs w:val="21"/>
              </w:rPr>
              <w:t>〔A4.5-1〕加强固体废物源头减量、资源化利用和无害化处置，最</w:t>
            </w:r>
            <w:r>
              <w:rPr>
                <w:rFonts w:hint="default" w:ascii="Times New Roman" w:hAnsi="Times New Roman" w:eastAsia="宋体" w:cs="Times New Roman"/>
                <w:color w:val="auto"/>
                <w:sz w:val="21"/>
                <w:szCs w:val="21"/>
              </w:rPr>
              <w:t>大限度减少填埋量。推进工业固体废物精细化、名录化环境管</w:t>
            </w:r>
            <w:r>
              <w:rPr>
                <w:rFonts w:hint="default" w:ascii="Times New Roman" w:hAnsi="Times New Roman" w:eastAsia="宋体" w:cs="Times New Roman"/>
                <w:color w:val="auto"/>
                <w:spacing w:val="-1"/>
                <w:sz w:val="21"/>
                <w:szCs w:val="21"/>
              </w:rPr>
              <w:t>理，</w:t>
            </w:r>
            <w:r>
              <w:rPr>
                <w:rFonts w:hint="default" w:ascii="Times New Roman" w:hAnsi="Times New Roman" w:eastAsia="宋体" w:cs="Times New Roman"/>
                <w:color w:val="auto"/>
                <w:spacing w:val="1"/>
                <w:sz w:val="21"/>
                <w:szCs w:val="21"/>
              </w:rPr>
              <w:t>促进大宗工业固废综合利用、主要农业废弃物全量利用。</w:t>
            </w:r>
            <w:r>
              <w:rPr>
                <w:rFonts w:hint="default" w:ascii="Times New Roman" w:hAnsi="Times New Roman" w:eastAsia="宋体" w:cs="Times New Roman"/>
                <w:color w:val="auto"/>
                <w:sz w:val="21"/>
                <w:szCs w:val="21"/>
              </w:rPr>
              <w:t>加快构建</w:t>
            </w:r>
            <w:r>
              <w:rPr>
                <w:rFonts w:hint="default" w:ascii="Times New Roman" w:hAnsi="Times New Roman" w:eastAsia="宋体" w:cs="Times New Roman"/>
                <w:color w:val="auto"/>
                <w:spacing w:val="1"/>
                <w:sz w:val="21"/>
                <w:szCs w:val="21"/>
              </w:rPr>
              <w:t>废旧物资回收和循环利用体系，健全强制报废制度和废旧家电、消费电子等耐用消费品回收处理体系，推行生产企业“逆向</w:t>
            </w:r>
            <w:r>
              <w:rPr>
                <w:rFonts w:hint="default" w:ascii="Times New Roman" w:hAnsi="Times New Roman" w:eastAsia="宋体" w:cs="Times New Roman"/>
                <w:color w:val="auto"/>
                <w:sz w:val="21"/>
                <w:szCs w:val="21"/>
              </w:rPr>
              <w:t>回收”等</w:t>
            </w:r>
            <w:r>
              <w:rPr>
                <w:rFonts w:hint="default" w:ascii="Times New Roman" w:hAnsi="Times New Roman" w:eastAsia="宋体" w:cs="Times New Roman"/>
                <w:color w:val="auto"/>
                <w:spacing w:val="1"/>
                <w:sz w:val="21"/>
                <w:szCs w:val="21"/>
              </w:rPr>
              <w:t>模式。以尾矿和共伴生矿、煤矸石、炉渣、粉煤灰、脱硫石膏、冶</w:t>
            </w:r>
            <w:r>
              <w:rPr>
                <w:rFonts w:hint="default" w:ascii="Times New Roman" w:hAnsi="Times New Roman" w:eastAsia="宋体" w:cs="Times New Roman"/>
                <w:color w:val="auto"/>
                <w:spacing w:val="-2"/>
                <w:sz w:val="21"/>
                <w:szCs w:val="21"/>
              </w:rPr>
              <w:t>炼渣、建筑垃圾等为重点，持续推进固体废物综合利用和环境整治，</w:t>
            </w:r>
            <w:r>
              <w:rPr>
                <w:rFonts w:hint="default" w:ascii="Times New Roman" w:hAnsi="Times New Roman" w:eastAsia="宋体" w:cs="Times New Roman"/>
                <w:color w:val="auto"/>
                <w:spacing w:val="1"/>
                <w:sz w:val="21"/>
                <w:szCs w:val="21"/>
              </w:rPr>
              <w:t>不断提高大宗固体废物资源化利用水平。推行生活垃</w:t>
            </w:r>
            <w:r>
              <w:rPr>
                <w:rFonts w:hint="default" w:ascii="Times New Roman" w:hAnsi="Times New Roman" w:eastAsia="宋体" w:cs="Times New Roman"/>
                <w:color w:val="auto"/>
                <w:sz w:val="21"/>
                <w:szCs w:val="21"/>
              </w:rPr>
              <w:t>圾分类，加快建设县</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市</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生活垃圾处理设施，到2025年，全疆城市生活垃圾无害化处理率达到99%以上。</w:t>
            </w:r>
          </w:p>
        </w:tc>
        <w:tc>
          <w:tcPr>
            <w:tcW w:w="3007" w:type="dxa"/>
            <w:vMerge w:val="restart"/>
            <w:noWrap w:val="0"/>
            <w:vAlign w:val="center"/>
          </w:tcPr>
          <w:p w14:paraId="6E32CE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kern w:val="0"/>
                <w:sz w:val="21"/>
                <w:szCs w:val="24"/>
                <w:highlight w:val="none"/>
                <w:lang w:val="en-US" w:eastAsia="zh-CN" w:bidi="ar-SA"/>
              </w:rPr>
              <w:t>一般工业废物全部合理处置，生活垃圾集中收集后委托环卫部门定期清运，除尘灰以及不合格产品作为原料回用生产，</w:t>
            </w:r>
            <w:r>
              <w:rPr>
                <w:rFonts w:hint="eastAsia" w:cs="Times New Roman"/>
                <w:color w:val="auto"/>
                <w:kern w:val="0"/>
                <w:sz w:val="21"/>
                <w:szCs w:val="24"/>
                <w:highlight w:val="none"/>
                <w:lang w:val="en-US" w:eastAsia="zh-CN" w:bidi="ar-SA"/>
              </w:rPr>
              <w:t>危险废物暂存于新建5m</w:t>
            </w:r>
            <w:r>
              <w:rPr>
                <w:rFonts w:hint="eastAsia" w:cs="Times New Roman"/>
                <w:color w:val="auto"/>
                <w:kern w:val="0"/>
                <w:sz w:val="21"/>
                <w:szCs w:val="24"/>
                <w:highlight w:val="none"/>
                <w:vertAlign w:val="superscript"/>
                <w:lang w:val="en-US" w:eastAsia="zh-CN" w:bidi="ar-SA"/>
              </w:rPr>
              <w:t>2</w:t>
            </w:r>
            <w:r>
              <w:rPr>
                <w:rFonts w:hint="eastAsia" w:cs="Times New Roman"/>
                <w:color w:val="auto"/>
                <w:kern w:val="0"/>
                <w:sz w:val="21"/>
                <w:szCs w:val="24"/>
                <w:highlight w:val="none"/>
                <w:lang w:val="en-US" w:eastAsia="zh-CN" w:bidi="ar-SA"/>
              </w:rPr>
              <w:t>危险废物贮存库内，定期交由资质单位处置；</w:t>
            </w:r>
            <w:r>
              <w:rPr>
                <w:rFonts w:hint="default" w:ascii="Times New Roman" w:hAnsi="Times New Roman" w:eastAsia="宋体" w:cs="Times New Roman"/>
                <w:color w:val="auto"/>
                <w:sz w:val="21"/>
                <w:szCs w:val="24"/>
                <w:lang w:val="en-US" w:eastAsia="zh-CN" w:bidi="ar-SA"/>
              </w:rPr>
              <w:t>固体废物无害化处置率达到100%。</w:t>
            </w:r>
          </w:p>
        </w:tc>
      </w:tr>
      <w:tr w14:paraId="030833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396FF6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513660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3641FA27">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2"/>
                <w:sz w:val="21"/>
                <w:szCs w:val="21"/>
              </w:rPr>
              <w:t>〔A4.5-2〕推动工业固废按元素价值综合开发利用，加快推进尾矿</w:t>
            </w:r>
            <w:r>
              <w:rPr>
                <w:rFonts w:hint="default" w:ascii="Times New Roman" w:hAnsi="Times New Roman" w:eastAsia="宋体" w:cs="Times New Roman"/>
                <w:color w:val="auto"/>
                <w:spacing w:val="2"/>
                <w:sz w:val="21"/>
                <w:szCs w:val="21"/>
                <w:lang w:eastAsia="zh-CN"/>
              </w:rPr>
              <w:t>（</w:t>
            </w:r>
            <w:r>
              <w:rPr>
                <w:rFonts w:hint="default" w:ascii="Times New Roman" w:hAnsi="Times New Roman" w:eastAsia="宋体" w:cs="Times New Roman"/>
                <w:color w:val="auto"/>
                <w:sz w:val="21"/>
                <w:szCs w:val="21"/>
              </w:rPr>
              <w:t>共伴生矿</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粉煤灰、煤矸石、冶炼渣、工业副产石膏、赤泥、化工废渣等工业固废在有价组分提取、建材生产、市政设施建设、井下充填、生态修复、土壤治理等领域的规模化利用。着力提升工业固废在生产纤维材料、微晶玻璃、超细化填料、低碳水泥、固废基</w:t>
            </w:r>
            <w:r>
              <w:rPr>
                <w:rFonts w:hint="default" w:ascii="Times New Roman" w:hAnsi="Times New Roman" w:eastAsia="宋体" w:cs="Times New Roman"/>
                <w:color w:val="auto"/>
                <w:spacing w:val="-2"/>
                <w:sz w:val="21"/>
                <w:szCs w:val="21"/>
              </w:rPr>
              <w:t>高性能混凝土、预制件、节能型建筑材料等领域的高值化利用水平。</w:t>
            </w:r>
          </w:p>
        </w:tc>
        <w:tc>
          <w:tcPr>
            <w:tcW w:w="3007" w:type="dxa"/>
            <w:vMerge w:val="continue"/>
            <w:noWrap w:val="0"/>
            <w:vAlign w:val="center"/>
          </w:tcPr>
          <w:p w14:paraId="38F42F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r>
      <w:tr w14:paraId="4F078F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50B9E3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552C68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3416AA7E">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pacing w:val="2"/>
                <w:sz w:val="21"/>
                <w:szCs w:val="21"/>
              </w:rPr>
              <w:t>〔A4.5-3〕结合工业领域减污降碳要求，加快探索钢铁、有色、化</w:t>
            </w:r>
            <w:r>
              <w:rPr>
                <w:rFonts w:hint="default" w:ascii="Times New Roman" w:hAnsi="Times New Roman" w:eastAsia="宋体" w:cs="Times New Roman"/>
                <w:color w:val="auto"/>
                <w:spacing w:val="-2"/>
                <w:sz w:val="21"/>
                <w:szCs w:val="21"/>
              </w:rPr>
              <w:t>工、建材等重点行业工业固体废物减量化路径，全面推行清洁生产。</w:t>
            </w:r>
            <w:r>
              <w:rPr>
                <w:rFonts w:hint="default" w:ascii="Times New Roman" w:hAnsi="Times New Roman" w:eastAsia="宋体" w:cs="Times New Roman"/>
                <w:color w:val="auto"/>
                <w:spacing w:val="-4"/>
                <w:sz w:val="21"/>
                <w:szCs w:val="21"/>
              </w:rPr>
              <w:t>全面推进绿色矿山、“无废”矿区建设，推广尾矿等大宗工业固体废</w:t>
            </w:r>
            <w:r>
              <w:rPr>
                <w:rFonts w:hint="default" w:ascii="Times New Roman" w:hAnsi="Times New Roman" w:eastAsia="宋体" w:cs="Times New Roman"/>
                <w:color w:val="auto"/>
                <w:spacing w:val="1"/>
                <w:sz w:val="21"/>
                <w:szCs w:val="21"/>
              </w:rPr>
              <w:t>物环境友好型井下充填回填，减少尾矿库贮存量。推动大宗工业固</w:t>
            </w:r>
            <w:r>
              <w:rPr>
                <w:rFonts w:hint="default" w:ascii="Times New Roman" w:hAnsi="Times New Roman" w:eastAsia="宋体" w:cs="Times New Roman"/>
                <w:color w:val="auto"/>
                <w:sz w:val="21"/>
                <w:szCs w:val="21"/>
              </w:rPr>
              <w:t>体废物在提取有价组分、生产建材、筑路、生态修复、土壤治理等</w:t>
            </w:r>
            <w:r>
              <w:rPr>
                <w:rFonts w:hint="default" w:ascii="Times New Roman" w:hAnsi="Times New Roman" w:eastAsia="宋体" w:cs="Times New Roman"/>
                <w:color w:val="auto"/>
                <w:spacing w:val="1"/>
                <w:sz w:val="21"/>
                <w:szCs w:val="21"/>
              </w:rPr>
              <w:t>领域的规模化利用。</w:t>
            </w:r>
          </w:p>
        </w:tc>
        <w:tc>
          <w:tcPr>
            <w:tcW w:w="3007" w:type="dxa"/>
            <w:vMerge w:val="continue"/>
            <w:noWrap w:val="0"/>
            <w:vAlign w:val="center"/>
          </w:tcPr>
          <w:p w14:paraId="7DA1EE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r>
      <w:tr w14:paraId="3F806D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28" w:type="dxa"/>
            <w:vMerge w:val="continue"/>
            <w:noWrap w:val="0"/>
            <w:vAlign w:val="center"/>
          </w:tcPr>
          <w:p w14:paraId="7C3AAC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878" w:type="dxa"/>
            <w:vMerge w:val="continue"/>
            <w:noWrap w:val="0"/>
            <w:vAlign w:val="center"/>
          </w:tcPr>
          <w:p w14:paraId="38E861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rPr>
            </w:pPr>
          </w:p>
        </w:tc>
        <w:tc>
          <w:tcPr>
            <w:tcW w:w="9497" w:type="dxa"/>
            <w:noWrap w:val="0"/>
            <w:vAlign w:val="center"/>
          </w:tcPr>
          <w:p w14:paraId="147D1CE5">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rPr>
              <w:t>〔A4.5-4〕发展生态种植、生态养殖，建立农业循环经济发展模式，</w:t>
            </w:r>
            <w:r>
              <w:rPr>
                <w:rFonts w:hint="default" w:ascii="Times New Roman" w:hAnsi="Times New Roman" w:eastAsia="宋体" w:cs="Times New Roman"/>
                <w:color w:val="auto"/>
                <w:spacing w:val="-4"/>
                <w:sz w:val="21"/>
                <w:szCs w:val="21"/>
              </w:rPr>
              <w:t>促进农业固体废物综合利用。鼓励和引导农民采用增施有机</w:t>
            </w:r>
            <w:r>
              <w:rPr>
                <w:rFonts w:hint="default" w:ascii="Times New Roman" w:hAnsi="Times New Roman" w:eastAsia="宋体" w:cs="Times New Roman"/>
                <w:color w:val="auto"/>
                <w:spacing w:val="-5"/>
                <w:sz w:val="21"/>
                <w:szCs w:val="21"/>
              </w:rPr>
              <w:t>肥秸秆</w:t>
            </w:r>
            <w:r>
              <w:rPr>
                <w:rFonts w:hint="default" w:ascii="Times New Roman" w:hAnsi="Times New Roman" w:eastAsia="宋体" w:cs="Times New Roman"/>
                <w:color w:val="auto"/>
                <w:spacing w:val="-4"/>
                <w:sz w:val="21"/>
                <w:szCs w:val="21"/>
              </w:rPr>
              <w:t>还田、种植绿肥等技术，持续减少化肥农药使用比例。加大畜禽粪污和秸秆资源化利用先进技术和新型市场模式的集成推广，推动形成长效运行机制。</w:t>
            </w:r>
          </w:p>
        </w:tc>
        <w:tc>
          <w:tcPr>
            <w:tcW w:w="3007" w:type="dxa"/>
            <w:noWrap w:val="0"/>
            <w:vAlign w:val="center"/>
          </w:tcPr>
          <w:p w14:paraId="5BD0A9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本项目不涉及。</w:t>
            </w:r>
          </w:p>
        </w:tc>
      </w:tr>
    </w:tbl>
    <w:p w14:paraId="2C7A79D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b/>
          <w:color w:val="auto"/>
          <w:sz w:val="21"/>
          <w:szCs w:val="21"/>
          <w:highlight w:val="none"/>
          <w:lang w:val="en-US" w:eastAsia="en-US" w:bidi="en-US"/>
        </w:rPr>
      </w:pPr>
      <w:r>
        <w:rPr>
          <w:rFonts w:hint="default" w:ascii="Times New Roman" w:hAnsi="Times New Roman" w:eastAsia="宋体" w:cs="Times New Roman"/>
          <w:b/>
          <w:color w:val="auto"/>
          <w:sz w:val="21"/>
          <w:szCs w:val="21"/>
          <w:highlight w:val="none"/>
          <w:lang w:val="en-US" w:eastAsia="en-US" w:bidi="en-US"/>
        </w:rPr>
        <w:t>表1</w:t>
      </w:r>
      <w:r>
        <w:rPr>
          <w:rFonts w:hint="default" w:ascii="Times New Roman" w:hAnsi="Times New Roman" w:eastAsia="宋体" w:cs="Times New Roman"/>
          <w:b/>
          <w:color w:val="auto"/>
          <w:sz w:val="21"/>
          <w:szCs w:val="21"/>
          <w:highlight w:val="none"/>
          <w:lang w:val="en-US" w:eastAsia="zh-CN" w:bidi="en-US"/>
        </w:rPr>
        <w:t>.3-2昌吉回族自治州生态环境管控分区</w:t>
      </w:r>
      <w:r>
        <w:rPr>
          <w:rFonts w:hint="default" w:ascii="Times New Roman" w:hAnsi="Times New Roman" w:eastAsia="宋体" w:cs="Times New Roman"/>
          <w:b/>
          <w:color w:val="auto"/>
          <w:sz w:val="21"/>
          <w:szCs w:val="21"/>
          <w:highlight w:val="none"/>
          <w:lang w:val="en-US" w:eastAsia="en-US" w:bidi="en-US"/>
        </w:rPr>
        <w:t>准入要求</w:t>
      </w:r>
    </w:p>
    <w:tbl>
      <w:tblPr>
        <w:tblStyle w:val="23"/>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6975"/>
        <w:gridCol w:w="4528"/>
      </w:tblGrid>
      <w:tr w14:paraId="37A52E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9" w:type="pct"/>
            <w:tcBorders>
              <w:tl2br w:val="nil"/>
              <w:tr2bl w:val="nil"/>
            </w:tcBorders>
            <w:noWrap w:val="0"/>
            <w:vAlign w:val="center"/>
          </w:tcPr>
          <w:p w14:paraId="4E376F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bidi="ar-SA"/>
              </w:rPr>
              <w:t>管控维度</w:t>
            </w:r>
          </w:p>
        </w:tc>
        <w:tc>
          <w:tcPr>
            <w:tcW w:w="2462" w:type="pct"/>
            <w:tcBorders>
              <w:tl2br w:val="nil"/>
              <w:tr2bl w:val="nil"/>
            </w:tcBorders>
            <w:noWrap w:val="0"/>
            <w:vAlign w:val="center"/>
          </w:tcPr>
          <w:p w14:paraId="2CF024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bidi="ar-SA"/>
              </w:rPr>
              <w:t>管控要求</w:t>
            </w:r>
          </w:p>
        </w:tc>
        <w:tc>
          <w:tcPr>
            <w:tcW w:w="1598" w:type="pct"/>
            <w:tcBorders>
              <w:tl2br w:val="nil"/>
              <w:tr2bl w:val="nil"/>
            </w:tcBorders>
            <w:noWrap w:val="0"/>
            <w:vAlign w:val="center"/>
          </w:tcPr>
          <w:p w14:paraId="7CEC19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bidi="ar-SA"/>
              </w:rPr>
              <w:t>符合性分析</w:t>
            </w:r>
          </w:p>
        </w:tc>
      </w:tr>
      <w:tr w14:paraId="60744A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9" w:type="pct"/>
            <w:tcBorders>
              <w:tl2br w:val="nil"/>
              <w:tr2bl w:val="nil"/>
            </w:tcBorders>
            <w:noWrap w:val="0"/>
            <w:vAlign w:val="center"/>
          </w:tcPr>
          <w:p w14:paraId="199AE5E8">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bidi="ar-SA"/>
              </w:rPr>
              <w:t>资源开发利用效率要求</w:t>
            </w:r>
          </w:p>
        </w:tc>
        <w:tc>
          <w:tcPr>
            <w:tcW w:w="2462" w:type="pct"/>
            <w:tcBorders>
              <w:tl2br w:val="nil"/>
              <w:tr2bl w:val="nil"/>
            </w:tcBorders>
            <w:noWrap w:val="0"/>
            <w:vAlign w:val="center"/>
          </w:tcPr>
          <w:p w14:paraId="743275F5">
            <w:pPr>
              <w:keepNext w:val="0"/>
              <w:keepLines w:val="0"/>
              <w:widowControl/>
              <w:numPr>
                <w:ilvl w:val="0"/>
                <w:numId w:val="0"/>
              </w:numPr>
              <w:suppressLineNumbers w:val="0"/>
              <w:spacing w:before="0" w:beforeAutospacing="0" w:after="0" w:afterAutospacing="0"/>
              <w:ind w:left="0" w:leftChars="0" w:right="0" w:firstLine="0" w:firstLineChars="0"/>
              <w:jc w:val="left"/>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①县级以上人民政府水行政主管部门应当合理配置地表水、地下水，从严控制地下水取水总量。</w:t>
            </w:r>
          </w:p>
          <w:p w14:paraId="6EDB450E">
            <w:pPr>
              <w:keepNext w:val="0"/>
              <w:keepLines w:val="0"/>
              <w:widowControl/>
              <w:numPr>
                <w:ilvl w:val="0"/>
                <w:numId w:val="0"/>
              </w:numPr>
              <w:suppressLineNumbers w:val="0"/>
              <w:spacing w:before="0" w:beforeAutospacing="0" w:after="0" w:afterAutospacing="0"/>
              <w:ind w:left="0" w:right="0"/>
              <w:jc w:val="left"/>
              <w:rPr>
                <w:rFonts w:hint="default" w:ascii="Times New Roman" w:hAnsi="Times New Roman" w:eastAsia="宋体" w:cs="Times New Roman"/>
                <w:b w:val="0"/>
                <w:bCs w:val="0"/>
                <w:color w:val="auto"/>
                <w:sz w:val="21"/>
                <w:szCs w:val="21"/>
                <w:highlight w:val="none"/>
                <w:lang w:val="en-US" w:eastAsia="zh-CN" w:bidi="ar-SA"/>
              </w:rPr>
            </w:pPr>
            <w:r>
              <w:rPr>
                <w:rFonts w:hint="default" w:ascii="Times New Roman" w:hAnsi="Times New Roman" w:eastAsia="宋体" w:cs="Times New Roman"/>
                <w:color w:val="auto"/>
                <w:sz w:val="21"/>
                <w:szCs w:val="21"/>
                <w:lang w:val="en-US" w:eastAsia="zh-CN" w:bidi="ar-SA"/>
              </w:rPr>
              <w:t>②严守水资源开发利用控制、用水效率控制和水功能区限制纳污“三条红线”，严格实行区域用水总量和强度控制，强化用水定额管理。推进地下水超采综合治理。</w:t>
            </w:r>
          </w:p>
        </w:tc>
        <w:tc>
          <w:tcPr>
            <w:tcW w:w="1598" w:type="pct"/>
            <w:tcBorders>
              <w:tl2br w:val="nil"/>
              <w:tr2bl w:val="nil"/>
            </w:tcBorders>
            <w:noWrap w:val="0"/>
            <w:vAlign w:val="center"/>
          </w:tcPr>
          <w:p w14:paraId="2FB38D35">
            <w:pPr>
              <w:keepNext w:val="0"/>
              <w:keepLines w:val="0"/>
              <w:widowControl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auto"/>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本项目生产运营不涉及用水，生产过程中对区域水资源影响较小，符合资源利用要求；本项目不涉及煤炭等高污染燃料，生产过程使用电力作为生产供能能源。</w:t>
            </w:r>
          </w:p>
        </w:tc>
      </w:tr>
    </w:tbl>
    <w:p w14:paraId="69D78F5B">
      <w:pPr>
        <w:pStyle w:val="2"/>
        <w:rPr>
          <w:rFonts w:hint="default" w:ascii="Times New Roman" w:hAnsi="Times New Roman" w:eastAsia="宋体" w:cs="Times New Roman"/>
          <w:color w:val="auto"/>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5118ADE9">
      <w:pPr>
        <w:widowControl w:val="0"/>
        <w:numPr>
          <w:ilvl w:val="0"/>
          <w:numId w:val="2"/>
        </w:numPr>
        <w:overflowPunct w:val="0"/>
        <w:autoSpaceDE w:val="0"/>
        <w:autoSpaceDN w:val="0"/>
        <w:bidi w:val="0"/>
        <w:adjustRightInd w:val="0"/>
        <w:snapToGrid w:val="0"/>
        <w:spacing w:before="0" w:after="0" w:line="560" w:lineRule="exact"/>
        <w:ind w:left="0" w:leftChars="0" w:right="0" w:rightChars="0" w:firstLine="0" w:firstLineChars="0"/>
        <w:jc w:val="center"/>
        <w:outlineLvl w:val="0"/>
        <w:rPr>
          <w:rFonts w:hint="default" w:ascii="Times New Roman" w:hAnsi="Times New Roman" w:eastAsia="宋体" w:cs="Times New Roman"/>
          <w:b/>
          <w:color w:val="auto"/>
          <w:kern w:val="44"/>
          <w:sz w:val="28"/>
          <w:szCs w:val="22"/>
          <w:lang w:val="en-US" w:eastAsia="zh-CN" w:bidi="ar-SA"/>
        </w:rPr>
      </w:pPr>
      <w:bookmarkStart w:id="4" w:name="_Toc10432"/>
      <w:r>
        <w:rPr>
          <w:rFonts w:hint="default" w:ascii="Times New Roman" w:hAnsi="Times New Roman" w:eastAsia="宋体" w:cs="Times New Roman"/>
          <w:b/>
          <w:color w:val="auto"/>
          <w:kern w:val="44"/>
          <w:sz w:val="28"/>
          <w:szCs w:val="22"/>
          <w:lang w:val="en-US" w:eastAsia="zh-CN" w:bidi="ar-SA"/>
        </w:rPr>
        <w:t>建设项目工程分析</w:t>
      </w:r>
      <w:bookmarkEnd w:id="4"/>
    </w:p>
    <w:tbl>
      <w:tblPr>
        <w:tblStyle w:val="2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750"/>
      </w:tblGrid>
      <w:tr w14:paraId="348F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5" w:hRule="atLeast"/>
          <w:jc w:val="center"/>
        </w:trPr>
        <w:tc>
          <w:tcPr>
            <w:tcW w:w="404" w:type="dxa"/>
            <w:vAlign w:val="center"/>
          </w:tcPr>
          <w:p w14:paraId="7671EFB7">
            <w:pPr>
              <w:numPr>
                <w:ilvl w:val="0"/>
                <w:numId w:val="0"/>
              </w:numPr>
              <w:overflowPunct w:val="0"/>
              <w:autoSpaceDE w:val="0"/>
              <w:autoSpaceDN w:val="0"/>
              <w:adjustRightInd w:val="0"/>
              <w:snapToGrid w:val="0"/>
              <w:spacing w:before="0" w:after="0" w:line="500" w:lineRule="exact"/>
              <w:ind w:right="0" w:rightChars="0"/>
              <w:jc w:val="both"/>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sz w:val="24"/>
                <w:szCs w:val="24"/>
                <w:lang w:val="en-US" w:eastAsia="zh-CN" w:bidi="ar-SA"/>
              </w:rPr>
              <w:t>建设内容</w:t>
            </w:r>
          </w:p>
        </w:tc>
        <w:tc>
          <w:tcPr>
            <w:tcW w:w="8667" w:type="dxa"/>
            <w:vAlign w:val="top"/>
          </w:tcPr>
          <w:p w14:paraId="0A5860AA">
            <w:pPr>
              <w:widowControl w:val="0"/>
              <w:overflowPunct w:val="0"/>
              <w:autoSpaceDE w:val="0"/>
              <w:autoSpaceDN w:val="0"/>
              <w:bidi w:val="0"/>
              <w:adjustRightInd w:val="0"/>
              <w:snapToGrid w:val="0"/>
              <w:spacing w:before="0" w:after="0" w:line="360" w:lineRule="auto"/>
              <w:ind w:right="0"/>
              <w:jc w:val="both"/>
              <w:outlineLvl w:val="1"/>
              <w:rPr>
                <w:rFonts w:hint="default" w:ascii="Times New Roman" w:hAnsi="Times New Roman" w:eastAsia="宋体" w:cs="Times New Roman"/>
                <w:color w:val="auto"/>
                <w:sz w:val="24"/>
                <w:szCs w:val="24"/>
                <w:lang w:val="en-US"/>
              </w:rPr>
            </w:pPr>
            <w:r>
              <w:rPr>
                <w:rFonts w:hint="eastAsia" w:cs="Times New Roman"/>
                <w:b/>
                <w:color w:val="auto"/>
                <w:sz w:val="24"/>
                <w:szCs w:val="24"/>
                <w:lang w:val="en-US" w:eastAsia="zh-CN" w:bidi="ar-SA"/>
              </w:rPr>
              <w:t>1、</w:t>
            </w:r>
            <w:r>
              <w:rPr>
                <w:rFonts w:hint="default" w:ascii="Times New Roman" w:hAnsi="Times New Roman" w:eastAsia="宋体" w:cs="Times New Roman"/>
                <w:b/>
                <w:color w:val="auto"/>
                <w:sz w:val="24"/>
                <w:szCs w:val="24"/>
                <w:lang w:val="en-US" w:eastAsia="zh-CN" w:bidi="ar-SA"/>
              </w:rPr>
              <w:t>项目背景</w:t>
            </w:r>
          </w:p>
          <w:p w14:paraId="4AED332A">
            <w:pPr>
              <w:widowControl w:val="0"/>
              <w:autoSpaceDE w:val="0"/>
              <w:autoSpaceDN w:val="0"/>
              <w:spacing w:line="360" w:lineRule="auto"/>
              <w:ind w:firstLine="480" w:firstLineChars="200"/>
              <w:jc w:val="both"/>
              <w:rPr>
                <w:rFonts w:hint="default" w:ascii="Times New Roman" w:hAnsi="Times New Roman" w:eastAsia="宋体" w:cs="Times New Roman"/>
                <w:bCs/>
                <w:color w:val="auto"/>
                <w:kern w:val="0"/>
                <w:sz w:val="24"/>
                <w:szCs w:val="24"/>
                <w:lang w:val="en-US" w:eastAsia="zh-CN" w:bidi="ar-SA"/>
              </w:rPr>
            </w:pPr>
            <w:r>
              <w:rPr>
                <w:rFonts w:hint="default" w:ascii="Times New Roman" w:hAnsi="Times New Roman" w:eastAsia="宋体" w:cs="Times New Roman"/>
                <w:color w:val="auto"/>
                <w:lang w:val="en-US" w:eastAsia="zh-CN"/>
              </w:rPr>
              <w:t>大禹升辉农业科技有限公司</w:t>
            </w:r>
            <w:r>
              <w:rPr>
                <w:rFonts w:hint="default" w:ascii="Times New Roman" w:hAnsi="Times New Roman" w:eastAsia="宋体" w:cs="Times New Roman"/>
                <w:bCs/>
                <w:color w:val="auto"/>
                <w:kern w:val="0"/>
                <w:sz w:val="24"/>
                <w:szCs w:val="24"/>
                <w:lang w:val="en-US" w:eastAsia="zh-CN" w:bidi="ar-SA"/>
              </w:rPr>
              <w:t>于2020年9月21日取得《关于&lt;</w:t>
            </w:r>
            <w:r>
              <w:rPr>
                <w:rFonts w:hint="default" w:ascii="Times New Roman" w:hAnsi="Times New Roman" w:eastAsia="宋体" w:cs="Times New Roman"/>
                <w:color w:val="auto"/>
                <w:lang w:val="en-US" w:eastAsia="zh-CN"/>
              </w:rPr>
              <w:t>玛纳斯县大禹升辉农业科技有限公司年产1万吨有机肥、1万吨液态肥建设项目&gt;的批复</w:t>
            </w:r>
            <w:r>
              <w:rPr>
                <w:rFonts w:hint="default" w:ascii="Times New Roman" w:hAnsi="Times New Roman" w:eastAsia="宋体" w:cs="Times New Roman"/>
                <w:bCs/>
                <w:color w:val="auto"/>
                <w:kern w:val="0"/>
                <w:sz w:val="24"/>
                <w:szCs w:val="24"/>
                <w:lang w:val="en-US" w:eastAsia="zh-CN" w:bidi="ar-SA"/>
              </w:rPr>
              <w:t>》（玛环审[2020]27号），该企业倒闭，后由新疆美康惠农科技发展有限公司接收并建设，由于有机肥生产恶臭产生量过大，因此，项目工艺由</w:t>
            </w:r>
            <w:r>
              <w:rPr>
                <w:rFonts w:hint="default" w:ascii="Times New Roman" w:hAnsi="Times New Roman" w:eastAsia="宋体" w:cs="Times New Roman"/>
                <w:color w:val="auto"/>
                <w:lang w:val="en-US" w:eastAsia="zh-CN"/>
              </w:rPr>
              <w:t>原料准备→混合搅拌→翻堆发酵→出发酵场→筛分→烘干，变更为：原料准备→罐内搅拌、发酵、烘干→筛分，</w:t>
            </w:r>
            <w:r>
              <w:rPr>
                <w:rFonts w:hint="default" w:ascii="Times New Roman" w:hAnsi="Times New Roman" w:eastAsia="宋体" w:cs="Times New Roman"/>
                <w:b w:val="0"/>
                <w:bCs w:val="0"/>
                <w:color w:val="auto"/>
                <w:lang w:val="en-US" w:eastAsia="zh-CN"/>
              </w:rPr>
              <w:t>现已建成</w:t>
            </w:r>
            <w:r>
              <w:rPr>
                <w:rFonts w:hint="default" w:ascii="Times New Roman" w:hAnsi="Times New Roman" w:eastAsia="宋体" w:cs="Times New Roman"/>
                <w:bCs/>
                <w:color w:val="auto"/>
                <w:kern w:val="0"/>
                <w:sz w:val="24"/>
                <w:szCs w:val="24"/>
                <w:lang w:val="en-US" w:eastAsia="zh-CN" w:bidi="ar-SA"/>
              </w:rPr>
              <w:t>。</w:t>
            </w:r>
          </w:p>
          <w:p w14:paraId="141D7261">
            <w:pPr>
              <w:widowControl w:val="0"/>
              <w:autoSpaceDE w:val="0"/>
              <w:autoSpaceDN w:val="0"/>
              <w:spacing w:line="360" w:lineRule="auto"/>
              <w:ind w:firstLine="480" w:firstLineChars="200"/>
              <w:jc w:val="both"/>
              <w:rPr>
                <w:rFonts w:hint="default" w:ascii="Times New Roman" w:hAnsi="Times New Roman" w:eastAsia="宋体" w:cs="Times New Roman"/>
                <w:bCs/>
                <w:color w:val="auto"/>
                <w:kern w:val="0"/>
                <w:sz w:val="24"/>
                <w:szCs w:val="24"/>
                <w:lang w:val="en-US" w:eastAsia="zh-CN" w:bidi="ar-SA"/>
              </w:rPr>
            </w:pPr>
            <w:r>
              <w:rPr>
                <w:rFonts w:hint="default" w:ascii="Times New Roman" w:hAnsi="Times New Roman" w:eastAsia="宋体" w:cs="Times New Roman"/>
                <w:bCs/>
                <w:color w:val="auto"/>
                <w:kern w:val="0"/>
                <w:sz w:val="24"/>
                <w:szCs w:val="24"/>
                <w:lang w:val="en-US" w:eastAsia="zh-CN" w:bidi="ar-SA"/>
              </w:rPr>
              <w:t>本项目变动内容与《污染影响类建设项目重大变动清单（试行）》对照见下表。</w:t>
            </w:r>
          </w:p>
          <w:p w14:paraId="519EF162">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表</w:t>
            </w:r>
            <w:r>
              <w:rPr>
                <w:rFonts w:hint="eastAsia" w:cs="Times New Roman"/>
                <w:b/>
                <w:color w:val="auto"/>
                <w:kern w:val="2"/>
                <w:sz w:val="21"/>
                <w:szCs w:val="21"/>
                <w:lang w:val="en-US" w:eastAsia="zh-CN" w:bidi="ar-SA"/>
              </w:rPr>
              <w:t>2.1</w:t>
            </w:r>
            <w:r>
              <w:rPr>
                <w:rFonts w:hint="default" w:ascii="Times New Roman" w:hAnsi="Times New Roman" w:eastAsia="宋体" w:cs="Times New Roman"/>
                <w:b/>
                <w:color w:val="auto"/>
                <w:kern w:val="2"/>
                <w:sz w:val="21"/>
                <w:szCs w:val="21"/>
                <w:lang w:val="en-US" w:eastAsia="zh-CN" w:bidi="ar-SA"/>
              </w:rPr>
              <w:t>-1 本项目变动与重大变动清单对照表</w:t>
            </w:r>
          </w:p>
          <w:tbl>
            <w:tblPr>
              <w:tblStyle w:val="23"/>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5573"/>
              <w:gridCol w:w="2346"/>
            </w:tblGrid>
            <w:tr w14:paraId="7C3D61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20" w:type="pct"/>
                  <w:gridSpan w:val="2"/>
                  <w:tcBorders>
                    <w:tl2br w:val="nil"/>
                    <w:tr2bl w:val="nil"/>
                  </w:tcBorders>
                  <w:noWrap w:val="0"/>
                  <w:vAlign w:val="center"/>
                </w:tcPr>
                <w:p w14:paraId="0159B94A">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属于重大变动内容</w:t>
                  </w:r>
                </w:p>
              </w:tc>
              <w:tc>
                <w:tcPr>
                  <w:tcW w:w="1379" w:type="pct"/>
                  <w:tcBorders>
                    <w:tl2br w:val="nil"/>
                    <w:tr2bl w:val="nil"/>
                  </w:tcBorders>
                  <w:noWrap w:val="0"/>
                  <w:vAlign w:val="center"/>
                </w:tcPr>
                <w:p w14:paraId="67BCB3AA">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是否属于重大变动</w:t>
                  </w:r>
                </w:p>
              </w:tc>
            </w:tr>
            <w:tr w14:paraId="09ED7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4" w:type="pct"/>
                  <w:tcBorders>
                    <w:tl2br w:val="nil"/>
                    <w:tr2bl w:val="nil"/>
                  </w:tcBorders>
                  <w:noWrap w:val="0"/>
                  <w:vAlign w:val="center"/>
                </w:tcPr>
                <w:p w14:paraId="760D12CB">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性质</w:t>
                  </w:r>
                </w:p>
              </w:tc>
              <w:tc>
                <w:tcPr>
                  <w:tcW w:w="3276" w:type="pct"/>
                  <w:tcBorders>
                    <w:tl2br w:val="nil"/>
                    <w:tr2bl w:val="nil"/>
                  </w:tcBorders>
                  <w:noWrap w:val="0"/>
                  <w:vAlign w:val="center"/>
                </w:tcPr>
                <w:p w14:paraId="5D860CBC">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1、建设项目开发、使用功能发生变化的</w:t>
                  </w:r>
                </w:p>
              </w:tc>
              <w:tc>
                <w:tcPr>
                  <w:tcW w:w="1379" w:type="pct"/>
                  <w:tcBorders>
                    <w:tl2br w:val="nil"/>
                    <w:tr2bl w:val="nil"/>
                  </w:tcBorders>
                  <w:noWrap w:val="0"/>
                  <w:vAlign w:val="center"/>
                </w:tcPr>
                <w:p w14:paraId="276CF28D">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不属于</w:t>
                  </w:r>
                </w:p>
              </w:tc>
            </w:tr>
            <w:tr w14:paraId="11F3F3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4" w:type="pct"/>
                  <w:vMerge w:val="restart"/>
                  <w:tcBorders>
                    <w:tl2br w:val="nil"/>
                    <w:tr2bl w:val="nil"/>
                  </w:tcBorders>
                  <w:noWrap w:val="0"/>
                  <w:vAlign w:val="center"/>
                </w:tcPr>
                <w:p w14:paraId="3B2F17BF">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规模</w:t>
                  </w:r>
                </w:p>
              </w:tc>
              <w:tc>
                <w:tcPr>
                  <w:tcW w:w="3276" w:type="pct"/>
                  <w:tcBorders>
                    <w:tl2br w:val="nil"/>
                    <w:tr2bl w:val="nil"/>
                  </w:tcBorders>
                  <w:noWrap w:val="0"/>
                  <w:vAlign w:val="center"/>
                </w:tcPr>
                <w:p w14:paraId="15069860">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2、生产、处置、或储存能力增加30%及以上的</w:t>
                  </w:r>
                </w:p>
              </w:tc>
              <w:tc>
                <w:tcPr>
                  <w:tcW w:w="1379" w:type="pct"/>
                  <w:tcBorders>
                    <w:tl2br w:val="nil"/>
                    <w:tr2bl w:val="nil"/>
                  </w:tcBorders>
                  <w:noWrap w:val="0"/>
                  <w:vAlign w:val="center"/>
                </w:tcPr>
                <w:p w14:paraId="7526968B">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不属于</w:t>
                  </w:r>
                </w:p>
              </w:tc>
            </w:tr>
            <w:tr w14:paraId="78355A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4" w:type="pct"/>
                  <w:vMerge w:val="continue"/>
                  <w:tcBorders>
                    <w:tl2br w:val="nil"/>
                    <w:tr2bl w:val="nil"/>
                  </w:tcBorders>
                  <w:noWrap w:val="0"/>
                  <w:vAlign w:val="center"/>
                </w:tcPr>
                <w:p w14:paraId="1A4B2DF8">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p>
              </w:tc>
              <w:tc>
                <w:tcPr>
                  <w:tcW w:w="3276" w:type="pct"/>
                  <w:tcBorders>
                    <w:tl2br w:val="nil"/>
                    <w:tr2bl w:val="nil"/>
                  </w:tcBorders>
                  <w:noWrap w:val="0"/>
                  <w:vAlign w:val="center"/>
                </w:tcPr>
                <w:p w14:paraId="215DCAC9">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3、生产、处置或储存能力增大，导致废水第一类污染物排放量增加的</w:t>
                  </w:r>
                </w:p>
              </w:tc>
              <w:tc>
                <w:tcPr>
                  <w:tcW w:w="1379" w:type="pct"/>
                  <w:tcBorders>
                    <w:tl2br w:val="nil"/>
                    <w:tr2bl w:val="nil"/>
                  </w:tcBorders>
                  <w:noWrap w:val="0"/>
                  <w:vAlign w:val="center"/>
                </w:tcPr>
                <w:p w14:paraId="4B46B3FD">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不属于</w:t>
                  </w:r>
                </w:p>
              </w:tc>
            </w:tr>
            <w:tr w14:paraId="50A8CC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4" w:type="pct"/>
                  <w:vMerge w:val="continue"/>
                  <w:tcBorders>
                    <w:tl2br w:val="nil"/>
                    <w:tr2bl w:val="nil"/>
                  </w:tcBorders>
                  <w:noWrap w:val="0"/>
                  <w:vAlign w:val="center"/>
                </w:tcPr>
                <w:p w14:paraId="66B97A9C">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p>
              </w:tc>
              <w:tc>
                <w:tcPr>
                  <w:tcW w:w="3276" w:type="pct"/>
                  <w:tcBorders>
                    <w:tl2br w:val="nil"/>
                    <w:tr2bl w:val="nil"/>
                  </w:tcBorders>
                  <w:noWrap w:val="0"/>
                  <w:vAlign w:val="center"/>
                </w:tcPr>
                <w:p w14:paraId="44639CC0">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4、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10%及以上的</w:t>
                  </w:r>
                </w:p>
              </w:tc>
              <w:tc>
                <w:tcPr>
                  <w:tcW w:w="2346" w:type="dxa"/>
                  <w:tcBorders>
                    <w:tl2br w:val="nil"/>
                    <w:tr2bl w:val="nil"/>
                  </w:tcBorders>
                  <w:noWrap w:val="0"/>
                  <w:vAlign w:val="center"/>
                </w:tcPr>
                <w:p w14:paraId="1DA02C21">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0000FF"/>
                      <w:kern w:val="0"/>
                      <w:sz w:val="21"/>
                      <w:szCs w:val="24"/>
                      <w:lang w:val="en-US" w:eastAsia="zh-CN" w:bidi="ar-SA"/>
                    </w:rPr>
                    <w:t>本项目位于环境质量达标区，</w:t>
                  </w:r>
                  <w:r>
                    <w:rPr>
                      <w:rFonts w:hint="eastAsia" w:cs="Times New Roman"/>
                      <w:color w:val="0000FF"/>
                      <w:kern w:val="0"/>
                      <w:sz w:val="21"/>
                      <w:szCs w:val="24"/>
                      <w:lang w:val="en-US" w:eastAsia="zh-CN" w:bidi="ar-SA"/>
                    </w:rPr>
                    <w:t>颗粒物</w:t>
                  </w:r>
                  <w:r>
                    <w:rPr>
                      <w:rFonts w:hint="default" w:ascii="Times New Roman" w:hAnsi="Times New Roman" w:eastAsia="宋体" w:cs="Times New Roman"/>
                      <w:color w:val="0000FF"/>
                      <w:kern w:val="0"/>
                      <w:sz w:val="21"/>
                      <w:szCs w:val="24"/>
                      <w:lang w:val="en-US" w:eastAsia="zh-CN" w:bidi="ar-SA"/>
                    </w:rPr>
                    <w:t>排放量增加超过10%，属于</w:t>
                  </w:r>
                  <w:r>
                    <w:rPr>
                      <w:rFonts w:hint="default" w:ascii="Times New Roman" w:hAnsi="Times New Roman" w:eastAsia="宋体" w:cs="Times New Roman"/>
                      <w:color w:val="0000FF"/>
                      <w:kern w:val="2"/>
                      <w:sz w:val="21"/>
                      <w:szCs w:val="21"/>
                      <w:highlight w:val="none"/>
                      <w:lang w:val="en-US" w:eastAsia="zh-CN"/>
                    </w:rPr>
                    <w:t>重大变动</w:t>
                  </w:r>
                  <w:r>
                    <w:rPr>
                      <w:rFonts w:hint="default" w:ascii="Times New Roman" w:hAnsi="Times New Roman" w:eastAsia="宋体" w:cs="Times New Roman"/>
                      <w:color w:val="0000FF"/>
                      <w:kern w:val="0"/>
                      <w:sz w:val="21"/>
                      <w:szCs w:val="24"/>
                      <w:lang w:val="en-US" w:eastAsia="zh-CN" w:bidi="ar-SA"/>
                    </w:rPr>
                    <w:t>。</w:t>
                  </w:r>
                </w:p>
              </w:tc>
            </w:tr>
            <w:tr w14:paraId="2C4F2A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4" w:type="pct"/>
                  <w:tcBorders>
                    <w:tl2br w:val="nil"/>
                    <w:tr2bl w:val="nil"/>
                  </w:tcBorders>
                  <w:noWrap w:val="0"/>
                  <w:vAlign w:val="center"/>
                </w:tcPr>
                <w:p w14:paraId="73FAD2F4">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地点</w:t>
                  </w:r>
                </w:p>
              </w:tc>
              <w:tc>
                <w:tcPr>
                  <w:tcW w:w="3276" w:type="pct"/>
                  <w:tcBorders>
                    <w:tl2br w:val="nil"/>
                    <w:tr2bl w:val="nil"/>
                  </w:tcBorders>
                  <w:noWrap w:val="0"/>
                  <w:vAlign w:val="center"/>
                </w:tcPr>
                <w:p w14:paraId="522B694F">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5、重新选址；在原厂址附近调整（包括总平面布置变化）导致环境防护距离范围变化且新增敏感点的</w:t>
                  </w:r>
                </w:p>
              </w:tc>
              <w:tc>
                <w:tcPr>
                  <w:tcW w:w="2346" w:type="dxa"/>
                  <w:tcBorders>
                    <w:tl2br w:val="nil"/>
                    <w:tr2bl w:val="nil"/>
                  </w:tcBorders>
                  <w:noWrap w:val="0"/>
                  <w:vAlign w:val="center"/>
                </w:tcPr>
                <w:p w14:paraId="09DAC8E8">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本项目总平面布置变化，未造成环境防护距离范围变化，未新增敏感点，不属于。</w:t>
                  </w:r>
                </w:p>
              </w:tc>
            </w:tr>
            <w:tr w14:paraId="1CE0FE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4" w:type="pct"/>
                  <w:vMerge w:val="restart"/>
                  <w:tcBorders>
                    <w:tl2br w:val="nil"/>
                    <w:tr2bl w:val="nil"/>
                  </w:tcBorders>
                  <w:noWrap w:val="0"/>
                  <w:vAlign w:val="center"/>
                </w:tcPr>
                <w:p w14:paraId="3B226176">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生产工艺</w:t>
                  </w:r>
                </w:p>
              </w:tc>
              <w:tc>
                <w:tcPr>
                  <w:tcW w:w="3276" w:type="pct"/>
                  <w:tcBorders>
                    <w:tl2br w:val="nil"/>
                    <w:tr2bl w:val="nil"/>
                  </w:tcBorders>
                  <w:noWrap w:val="0"/>
                  <w:vAlign w:val="center"/>
                </w:tcPr>
                <w:p w14:paraId="4BD72092">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6、新增产品品种或生产工艺（含主要生产装置、设备及配套设施）、主要原辅材料、燃料变化，导致以下情形之一：</w:t>
                  </w:r>
                </w:p>
                <w:p w14:paraId="685D9CEF">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（1）新增排放污染物种类的（毒性、挥发性降低的除外）；</w:t>
                  </w:r>
                </w:p>
                <w:p w14:paraId="13C98C19">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（2）位于环境质量不达标区的建设项目相应污染物排放量增加的；</w:t>
                  </w:r>
                </w:p>
                <w:p w14:paraId="2E3F39C3">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（3）废水第一类污染物排放量增加的；</w:t>
                  </w:r>
                </w:p>
                <w:p w14:paraId="0AC4A3C4">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（4）其他污染物排放量增加10%及以上的。</w:t>
                  </w:r>
                </w:p>
              </w:tc>
              <w:tc>
                <w:tcPr>
                  <w:tcW w:w="2346" w:type="dxa"/>
                  <w:tcBorders>
                    <w:tl2br w:val="nil"/>
                    <w:tr2bl w:val="nil"/>
                  </w:tcBorders>
                  <w:noWrap w:val="0"/>
                  <w:vAlign w:val="center"/>
                </w:tcPr>
                <w:p w14:paraId="5F91E29D">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0000FF"/>
                      <w:kern w:val="0"/>
                      <w:sz w:val="21"/>
                      <w:szCs w:val="24"/>
                      <w:lang w:val="en-US" w:eastAsia="zh-CN" w:bidi="ar-SA"/>
                    </w:rPr>
                    <w:t>本项目生产工艺变动，新增包装工段，颗粒物增加10%，</w:t>
                  </w:r>
                  <w:r>
                    <w:rPr>
                      <w:rFonts w:hint="default" w:ascii="Times New Roman" w:hAnsi="Times New Roman" w:eastAsia="宋体" w:cs="Times New Roman"/>
                      <w:color w:val="0000FF"/>
                      <w:kern w:val="2"/>
                      <w:sz w:val="21"/>
                      <w:szCs w:val="21"/>
                      <w:highlight w:val="none"/>
                      <w:lang w:val="en-US" w:eastAsia="zh-CN"/>
                    </w:rPr>
                    <w:t>属于重大变动</w:t>
                  </w:r>
                </w:p>
              </w:tc>
            </w:tr>
            <w:tr w14:paraId="338CE6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4" w:type="pct"/>
                  <w:vMerge w:val="continue"/>
                  <w:tcBorders>
                    <w:tl2br w:val="nil"/>
                    <w:tr2bl w:val="nil"/>
                  </w:tcBorders>
                  <w:noWrap w:val="0"/>
                  <w:vAlign w:val="center"/>
                </w:tcPr>
                <w:p w14:paraId="067160F8">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p>
              </w:tc>
              <w:tc>
                <w:tcPr>
                  <w:tcW w:w="3276" w:type="pct"/>
                  <w:tcBorders>
                    <w:tl2br w:val="nil"/>
                    <w:tr2bl w:val="nil"/>
                  </w:tcBorders>
                  <w:noWrap w:val="0"/>
                  <w:vAlign w:val="center"/>
                </w:tcPr>
                <w:p w14:paraId="1BACB5F3">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7、物料运输、装卸、贮存方式变化，导致大气污染物无组织排放量增加10%及以上的</w:t>
                  </w:r>
                </w:p>
              </w:tc>
              <w:tc>
                <w:tcPr>
                  <w:tcW w:w="1379" w:type="pct"/>
                  <w:tcBorders>
                    <w:tl2br w:val="nil"/>
                    <w:tr2bl w:val="nil"/>
                  </w:tcBorders>
                  <w:noWrap w:val="0"/>
                  <w:vAlign w:val="center"/>
                </w:tcPr>
                <w:p w14:paraId="0CD362C2">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不属于</w:t>
                  </w:r>
                </w:p>
              </w:tc>
            </w:tr>
            <w:tr w14:paraId="141B62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4" w:type="pct"/>
                  <w:vMerge w:val="restart"/>
                  <w:tcBorders>
                    <w:tl2br w:val="nil"/>
                    <w:tr2bl w:val="nil"/>
                  </w:tcBorders>
                  <w:noWrap w:val="0"/>
                  <w:vAlign w:val="center"/>
                </w:tcPr>
                <w:p w14:paraId="741BD9BA">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环境保护措施</w:t>
                  </w:r>
                </w:p>
              </w:tc>
              <w:tc>
                <w:tcPr>
                  <w:tcW w:w="3276" w:type="pct"/>
                  <w:tcBorders>
                    <w:tl2br w:val="nil"/>
                    <w:tr2bl w:val="nil"/>
                  </w:tcBorders>
                  <w:noWrap w:val="0"/>
                  <w:vAlign w:val="center"/>
                </w:tcPr>
                <w:p w14:paraId="07F22EC9">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8、废气、废水污染防治措施变化，导致第6条中所列情形之一（废气无组织排放改为有组织排放、污染防治措施强化或改进的除外）或大气污染物无组织排放量增加10%及以上的</w:t>
                  </w:r>
                </w:p>
              </w:tc>
              <w:tc>
                <w:tcPr>
                  <w:tcW w:w="1379" w:type="pct"/>
                  <w:tcBorders>
                    <w:tl2br w:val="nil"/>
                    <w:tr2bl w:val="nil"/>
                  </w:tcBorders>
                  <w:noWrap w:val="0"/>
                  <w:vAlign w:val="center"/>
                </w:tcPr>
                <w:p w14:paraId="312FE069">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不属于</w:t>
                  </w:r>
                </w:p>
              </w:tc>
            </w:tr>
            <w:tr w14:paraId="2DD4F0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4" w:type="pct"/>
                  <w:vMerge w:val="continue"/>
                  <w:tcBorders>
                    <w:tl2br w:val="nil"/>
                    <w:tr2bl w:val="nil"/>
                  </w:tcBorders>
                  <w:noWrap w:val="0"/>
                  <w:vAlign w:val="center"/>
                </w:tcPr>
                <w:p w14:paraId="4F25ED14">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p>
              </w:tc>
              <w:tc>
                <w:tcPr>
                  <w:tcW w:w="3276" w:type="pct"/>
                  <w:tcBorders>
                    <w:tl2br w:val="nil"/>
                    <w:tr2bl w:val="nil"/>
                  </w:tcBorders>
                  <w:noWrap w:val="0"/>
                  <w:vAlign w:val="center"/>
                </w:tcPr>
                <w:p w14:paraId="3D5BAE10">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9、新增废水直接排放口；废水由间接排放改为直接排放；废水直接排放口位置变化，导致不利环境影响加重的</w:t>
                  </w:r>
                </w:p>
              </w:tc>
              <w:tc>
                <w:tcPr>
                  <w:tcW w:w="1379" w:type="pct"/>
                  <w:tcBorders>
                    <w:tl2br w:val="nil"/>
                    <w:tr2bl w:val="nil"/>
                  </w:tcBorders>
                  <w:noWrap w:val="0"/>
                  <w:vAlign w:val="center"/>
                </w:tcPr>
                <w:p w14:paraId="508C32D3">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不属于</w:t>
                  </w:r>
                </w:p>
              </w:tc>
            </w:tr>
            <w:tr w14:paraId="27D57F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4" w:type="pct"/>
                  <w:vMerge w:val="continue"/>
                  <w:tcBorders>
                    <w:tl2br w:val="nil"/>
                    <w:tr2bl w:val="nil"/>
                  </w:tcBorders>
                  <w:noWrap w:val="0"/>
                  <w:vAlign w:val="center"/>
                </w:tcPr>
                <w:p w14:paraId="16CA5FF6">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p>
              </w:tc>
              <w:tc>
                <w:tcPr>
                  <w:tcW w:w="3276" w:type="pct"/>
                  <w:tcBorders>
                    <w:tl2br w:val="nil"/>
                    <w:tr2bl w:val="nil"/>
                  </w:tcBorders>
                  <w:noWrap w:val="0"/>
                  <w:vAlign w:val="center"/>
                </w:tcPr>
                <w:p w14:paraId="16F90443">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10、新增废气主要排放口（废气无组织排放改为有组织排放的除外）；主要排放口排气筒高度降低10%及以上的</w:t>
                  </w:r>
                </w:p>
              </w:tc>
              <w:tc>
                <w:tcPr>
                  <w:tcW w:w="1379" w:type="pct"/>
                  <w:tcBorders>
                    <w:tl2br w:val="nil"/>
                    <w:tr2bl w:val="nil"/>
                  </w:tcBorders>
                  <w:noWrap w:val="0"/>
                  <w:vAlign w:val="center"/>
                </w:tcPr>
                <w:p w14:paraId="7662F254">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不属于</w:t>
                  </w:r>
                </w:p>
              </w:tc>
            </w:tr>
            <w:tr w14:paraId="4338BA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4" w:type="pct"/>
                  <w:vMerge w:val="continue"/>
                  <w:tcBorders>
                    <w:tl2br w:val="nil"/>
                    <w:tr2bl w:val="nil"/>
                  </w:tcBorders>
                  <w:noWrap w:val="0"/>
                  <w:vAlign w:val="center"/>
                </w:tcPr>
                <w:p w14:paraId="35B735DB">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p>
              </w:tc>
              <w:tc>
                <w:tcPr>
                  <w:tcW w:w="3276" w:type="pct"/>
                  <w:tcBorders>
                    <w:tl2br w:val="nil"/>
                    <w:tr2bl w:val="nil"/>
                  </w:tcBorders>
                  <w:noWrap w:val="0"/>
                  <w:vAlign w:val="center"/>
                </w:tcPr>
                <w:p w14:paraId="4CF0B2C3">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11、噪声、土壤或地下水污染防治措施变化，导致不利环境影响加重的</w:t>
                  </w:r>
                </w:p>
              </w:tc>
              <w:tc>
                <w:tcPr>
                  <w:tcW w:w="1379" w:type="pct"/>
                  <w:tcBorders>
                    <w:tl2br w:val="nil"/>
                    <w:tr2bl w:val="nil"/>
                  </w:tcBorders>
                  <w:noWrap w:val="0"/>
                  <w:vAlign w:val="center"/>
                </w:tcPr>
                <w:p w14:paraId="1A36D637">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不属于</w:t>
                  </w:r>
                </w:p>
              </w:tc>
            </w:tr>
            <w:tr w14:paraId="09D8B8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4" w:type="pct"/>
                  <w:vMerge w:val="continue"/>
                  <w:tcBorders>
                    <w:tl2br w:val="nil"/>
                    <w:tr2bl w:val="nil"/>
                  </w:tcBorders>
                  <w:noWrap w:val="0"/>
                  <w:vAlign w:val="center"/>
                </w:tcPr>
                <w:p w14:paraId="3AAE9E4C">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p>
              </w:tc>
              <w:tc>
                <w:tcPr>
                  <w:tcW w:w="3276" w:type="pct"/>
                  <w:tcBorders>
                    <w:tl2br w:val="nil"/>
                    <w:tr2bl w:val="nil"/>
                  </w:tcBorders>
                  <w:noWrap w:val="0"/>
                  <w:vAlign w:val="center"/>
                </w:tcPr>
                <w:p w14:paraId="4166162D">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12、固体废物利用处置方式由委托外单位利用处置改为自行利用处置的（自行利用处置设施单独开展环境影响评价的除外）；固体废物自行处置方式变化，导致不利环境影响加重的</w:t>
                  </w:r>
                </w:p>
              </w:tc>
              <w:tc>
                <w:tcPr>
                  <w:tcW w:w="1379" w:type="pct"/>
                  <w:tcBorders>
                    <w:tl2br w:val="nil"/>
                    <w:tr2bl w:val="nil"/>
                  </w:tcBorders>
                  <w:noWrap w:val="0"/>
                  <w:vAlign w:val="center"/>
                </w:tcPr>
                <w:p w14:paraId="4D7EA204">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不属于</w:t>
                  </w:r>
                </w:p>
              </w:tc>
            </w:tr>
            <w:tr w14:paraId="379972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4" w:type="pct"/>
                  <w:vMerge w:val="continue"/>
                  <w:tcBorders>
                    <w:tl2br w:val="nil"/>
                    <w:tr2bl w:val="nil"/>
                  </w:tcBorders>
                  <w:noWrap w:val="0"/>
                  <w:vAlign w:val="center"/>
                </w:tcPr>
                <w:p w14:paraId="48051BCE">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p>
              </w:tc>
              <w:tc>
                <w:tcPr>
                  <w:tcW w:w="3276" w:type="pct"/>
                  <w:tcBorders>
                    <w:tl2br w:val="nil"/>
                    <w:tr2bl w:val="nil"/>
                  </w:tcBorders>
                  <w:noWrap w:val="0"/>
                  <w:vAlign w:val="center"/>
                </w:tcPr>
                <w:p w14:paraId="731FBB87">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13、事故废水暂存能力或拦截设施变化，导致环境风险防范能力弱化或降低的</w:t>
                  </w:r>
                </w:p>
              </w:tc>
              <w:tc>
                <w:tcPr>
                  <w:tcW w:w="1379" w:type="pct"/>
                  <w:tcBorders>
                    <w:tl2br w:val="nil"/>
                    <w:tr2bl w:val="nil"/>
                  </w:tcBorders>
                  <w:noWrap w:val="0"/>
                  <w:vAlign w:val="center"/>
                </w:tcPr>
                <w:p w14:paraId="46044960">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4"/>
                      <w:lang w:val="en-US" w:eastAsia="zh-CN" w:bidi="ar-SA"/>
                    </w:rPr>
                  </w:pPr>
                  <w:r>
                    <w:rPr>
                      <w:rFonts w:hint="default" w:ascii="Times New Roman" w:hAnsi="Times New Roman" w:eastAsia="宋体" w:cs="Times New Roman"/>
                      <w:color w:val="auto"/>
                      <w:kern w:val="0"/>
                      <w:sz w:val="21"/>
                      <w:szCs w:val="24"/>
                      <w:lang w:val="en-US" w:eastAsia="zh-CN" w:bidi="ar-SA"/>
                    </w:rPr>
                    <w:t>不属于</w:t>
                  </w:r>
                </w:p>
              </w:tc>
            </w:tr>
          </w:tbl>
          <w:p w14:paraId="04B9BF37">
            <w:pPr>
              <w:widowControl w:val="0"/>
              <w:autoSpaceDE w:val="0"/>
              <w:autoSpaceDN w:val="0"/>
              <w:spacing w:line="360" w:lineRule="auto"/>
              <w:ind w:firstLine="480" w:firstLineChars="200"/>
              <w:jc w:val="both"/>
              <w:rPr>
                <w:rFonts w:hint="default" w:ascii="Times New Roman" w:hAnsi="Times New Roman" w:eastAsia="宋体" w:cs="Times New Roman"/>
                <w:bCs/>
                <w:color w:val="auto"/>
                <w:kern w:val="0"/>
                <w:sz w:val="24"/>
                <w:szCs w:val="24"/>
                <w:highlight w:val="none"/>
                <w:lang w:val="en-US" w:eastAsia="zh-CN" w:bidi="ar-SA"/>
              </w:rPr>
            </w:pPr>
            <w:r>
              <w:rPr>
                <w:rFonts w:hint="default" w:ascii="Times New Roman" w:hAnsi="Times New Roman" w:eastAsia="宋体" w:cs="Times New Roman"/>
                <w:bCs/>
                <w:color w:val="auto"/>
                <w:kern w:val="0"/>
                <w:sz w:val="24"/>
                <w:szCs w:val="24"/>
                <w:highlight w:val="none"/>
                <w:lang w:val="en-US" w:eastAsia="zh-CN" w:bidi="ar-SA"/>
              </w:rPr>
              <w:t>对照《污染影响类建设项目重大变动清单（试行）》，本项目生产工艺、污染防治措施发生变动，属于“6、生产工艺变更。</w:t>
            </w:r>
          </w:p>
          <w:p w14:paraId="0A7F876B">
            <w:pPr>
              <w:widowControl w:val="0"/>
              <w:autoSpaceDE w:val="0"/>
              <w:autoSpaceDN w:val="0"/>
              <w:spacing w:line="360" w:lineRule="auto"/>
              <w:ind w:firstLine="480" w:firstLineChars="200"/>
              <w:jc w:val="both"/>
              <w:rPr>
                <w:rFonts w:hint="default" w:ascii="Times New Roman" w:hAnsi="Times New Roman" w:eastAsia="宋体" w:cs="Times New Roman"/>
                <w:b/>
                <w:color w:val="auto"/>
                <w:sz w:val="28"/>
                <w:szCs w:val="30"/>
                <w:highlight w:val="yellow"/>
                <w:lang w:val="en-US" w:eastAsia="zh-CN" w:bidi="ar-SA"/>
              </w:rPr>
            </w:pPr>
            <w:r>
              <w:rPr>
                <w:rFonts w:hint="default" w:ascii="Times New Roman" w:hAnsi="Times New Roman" w:eastAsia="宋体" w:cs="Times New Roman"/>
                <w:bCs/>
                <w:color w:val="auto"/>
                <w:kern w:val="0"/>
                <w:sz w:val="24"/>
                <w:szCs w:val="24"/>
                <w:highlight w:val="none"/>
                <w:lang w:val="en-US" w:eastAsia="zh-CN" w:bidi="ar-SA"/>
              </w:rPr>
              <w:t>根据《建设项目环境保护管理条例》“建设项目环境影响报告书、环境影响报告表经批准后，建设项目的性质、规模、地点、采用的生产工艺或者防治污染、防止生态破坏的措施发生重大变动的，建设单位应当重新报批建设项目环境影响报告书、环境影响报告表。”以及原环评批复“</w:t>
            </w:r>
            <w:r>
              <w:rPr>
                <w:rFonts w:hint="default" w:ascii="Times New Roman" w:hAnsi="Times New Roman" w:eastAsia="宋体" w:cs="Times New Roman"/>
                <w:bCs/>
                <w:color w:val="auto"/>
                <w:kern w:val="0"/>
                <w:sz w:val="24"/>
                <w:szCs w:val="24"/>
                <w:lang w:val="en-US" w:eastAsia="zh-CN" w:bidi="ar-SA"/>
              </w:rPr>
              <w:t>（玛环审[2020]27号）</w:t>
            </w:r>
            <w:r>
              <w:rPr>
                <w:rFonts w:hint="default" w:ascii="Times New Roman" w:hAnsi="Times New Roman" w:eastAsia="宋体" w:cs="Times New Roman"/>
                <w:bCs/>
                <w:color w:val="auto"/>
                <w:kern w:val="0"/>
                <w:sz w:val="24"/>
                <w:szCs w:val="24"/>
                <w:highlight w:val="none"/>
                <w:lang w:val="en-US" w:eastAsia="zh-CN" w:bidi="ar-SA"/>
              </w:rPr>
              <w:t>”文件，“如项目的性质、规模、地点、防治污染的措施发生重大变动，须报我局重新审批。”因此，</w:t>
            </w:r>
            <w:r>
              <w:rPr>
                <w:rFonts w:hint="default" w:ascii="Times New Roman" w:hAnsi="Times New Roman" w:eastAsia="宋体" w:cs="Times New Roman"/>
                <w:color w:val="auto"/>
                <w:sz w:val="24"/>
                <w:szCs w:val="24"/>
                <w:highlight w:val="none"/>
                <w:lang w:val="en-US" w:eastAsia="zh-CN" w:bidi="ar-SA"/>
              </w:rPr>
              <w:t>建设单位决定重新报批建设项目环境影响报告表。</w:t>
            </w:r>
          </w:p>
          <w:p w14:paraId="0738937D">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right="0"/>
              <w:jc w:val="left"/>
              <w:textAlignment w:val="auto"/>
              <w:outlineLvl w:val="1"/>
              <w:rPr>
                <w:rFonts w:hint="default" w:ascii="Times New Roman" w:hAnsi="Times New Roman" w:eastAsia="宋体" w:cs="Times New Roman"/>
                <w:b/>
                <w:color w:val="auto"/>
                <w:sz w:val="24"/>
                <w:szCs w:val="28"/>
                <w:lang w:val="en-US" w:eastAsia="zh-CN" w:bidi="ar-SA"/>
              </w:rPr>
            </w:pPr>
            <w:r>
              <w:rPr>
                <w:rFonts w:hint="eastAsia" w:cs="Times New Roman"/>
                <w:b/>
                <w:color w:val="auto"/>
                <w:sz w:val="24"/>
                <w:szCs w:val="28"/>
                <w:lang w:val="en-US" w:eastAsia="zh-CN" w:bidi="ar-SA"/>
              </w:rPr>
              <w:t>2、</w:t>
            </w:r>
            <w:r>
              <w:rPr>
                <w:rFonts w:hint="default" w:ascii="Times New Roman" w:hAnsi="Times New Roman" w:eastAsia="宋体" w:cs="Times New Roman"/>
                <w:b/>
                <w:color w:val="auto"/>
                <w:sz w:val="24"/>
                <w:szCs w:val="28"/>
                <w:lang w:val="en-US" w:eastAsia="zh-CN" w:bidi="ar-SA"/>
              </w:rPr>
              <w:t>项目概况</w:t>
            </w:r>
          </w:p>
          <w:p w14:paraId="5FF247AA">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0" w:after="0" w:line="360" w:lineRule="auto"/>
              <w:ind w:right="0" w:rightChars="0" w:firstLine="480" w:firstLineChars="200"/>
              <w:jc w:val="left"/>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（1）项目名称：新疆美康惠农科技发展有限公司有机肥建设项目</w:t>
            </w:r>
          </w:p>
          <w:p w14:paraId="344081BC">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0" w:after="0" w:line="360" w:lineRule="auto"/>
              <w:ind w:leftChars="200" w:right="0" w:rightChars="0"/>
              <w:jc w:val="left"/>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（2）建设单位：新疆美康惠农科技发展有限公司</w:t>
            </w:r>
          </w:p>
          <w:p w14:paraId="52D5509C">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right="0" w:firstLine="480" w:firstLineChars="200"/>
              <w:jc w:val="left"/>
              <w:textAlignment w:val="auto"/>
              <w:rPr>
                <w:rFonts w:hint="default" w:ascii="Times New Roman" w:hAnsi="Times New Roman" w:eastAsia="宋体" w:cs="Times New Roman"/>
                <w:color w:val="auto"/>
                <w:highlight w:val="none"/>
                <w:lang w:val="en-US" w:eastAsia="zh-CN"/>
              </w:rPr>
            </w:pPr>
            <w:bookmarkStart w:id="5" w:name="_Toc287433921"/>
            <w:bookmarkStart w:id="6" w:name="_Toc287433051"/>
            <w:bookmarkStart w:id="7" w:name="_Toc287434123"/>
            <w:r>
              <w:rPr>
                <w:rFonts w:hint="default" w:ascii="Times New Roman" w:hAnsi="Times New Roman" w:eastAsia="宋体" w:cs="Times New Roman"/>
                <w:color w:val="auto"/>
                <w:highlight w:val="none"/>
                <w:lang w:val="en-US" w:eastAsia="zh-CN"/>
              </w:rPr>
              <w:t>（3）项目性质</w:t>
            </w:r>
            <w:bookmarkEnd w:id="5"/>
            <w:bookmarkEnd w:id="6"/>
            <w:bookmarkEnd w:id="7"/>
            <w:r>
              <w:rPr>
                <w:rFonts w:hint="default" w:ascii="Times New Roman" w:hAnsi="Times New Roman" w:eastAsia="宋体" w:cs="Times New Roman"/>
                <w:color w:val="auto"/>
                <w:highlight w:val="none"/>
                <w:lang w:val="en-US" w:eastAsia="zh-CN"/>
              </w:rPr>
              <w:t>：新建</w:t>
            </w:r>
            <w:r>
              <w:rPr>
                <w:rFonts w:hint="default" w:ascii="Times New Roman" w:hAnsi="Times New Roman" w:eastAsia="宋体" w:cs="Times New Roman"/>
                <w:color w:val="auto"/>
                <w:lang w:val="en-US" w:eastAsia="zh-CN"/>
              </w:rPr>
              <w:t>（重新报批）</w:t>
            </w:r>
          </w:p>
          <w:p w14:paraId="3724425F">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right="0" w:firstLine="480" w:firstLineChars="200"/>
              <w:jc w:val="both"/>
              <w:textAlignment w:val="auto"/>
              <w:rPr>
                <w:rFonts w:hint="default" w:ascii="Times New Roman" w:hAnsi="Times New Roman" w:eastAsia="宋体" w:cs="Times New Roman"/>
                <w:color w:val="auto"/>
                <w:lang w:val="en-US" w:eastAsia="zh-CN"/>
              </w:rPr>
            </w:pPr>
            <w:bookmarkStart w:id="8" w:name="_Toc287433922"/>
            <w:bookmarkStart w:id="9" w:name="_Toc287434124"/>
            <w:bookmarkStart w:id="10" w:name="_Toc287433052"/>
            <w:r>
              <w:rPr>
                <w:rFonts w:hint="default" w:ascii="Times New Roman" w:hAnsi="Times New Roman" w:eastAsia="宋体" w:cs="Times New Roman"/>
                <w:color w:val="auto"/>
                <w:lang w:val="en-US" w:eastAsia="zh-CN"/>
              </w:rPr>
              <w:t>（4）建设地点</w:t>
            </w:r>
            <w:bookmarkEnd w:id="8"/>
            <w:bookmarkEnd w:id="9"/>
            <w:bookmarkEnd w:id="10"/>
            <w:r>
              <w:rPr>
                <w:rFonts w:hint="default" w:ascii="Times New Roman" w:hAnsi="Times New Roman" w:eastAsia="宋体" w:cs="Times New Roman"/>
                <w:color w:val="auto"/>
                <w:lang w:val="en-US" w:eastAsia="zh-CN"/>
              </w:rPr>
              <w:t>：本项目选址位于</w:t>
            </w:r>
            <w:r>
              <w:rPr>
                <w:rFonts w:hint="default" w:ascii="Times New Roman" w:hAnsi="Times New Roman" w:eastAsia="宋体" w:cs="Times New Roman"/>
                <w:color w:val="auto"/>
                <w:sz w:val="24"/>
                <w:szCs w:val="24"/>
                <w:vertAlign w:val="baseline"/>
                <w:lang w:val="en-US" w:eastAsia="zh-CN" w:bidi="ar-SA"/>
              </w:rPr>
              <w:t>新疆维吾尔自治区昌吉回族自治州玛纳斯县玛纳斯镇</w:t>
            </w:r>
            <w:r>
              <w:rPr>
                <w:rFonts w:hint="default" w:ascii="Times New Roman" w:hAnsi="Times New Roman" w:eastAsia="宋体" w:cs="Times New Roman"/>
                <w:color w:val="auto"/>
                <w:lang w:val="en-US" w:eastAsia="zh-CN"/>
              </w:rPr>
              <w:t>，场界中心地理坐标为：E86°18′05.344″，N44°19′44.816″。本项目地理位置图见</w:t>
            </w:r>
            <w:r>
              <w:rPr>
                <w:rFonts w:hint="eastAsia" w:cs="Times New Roman"/>
                <w:color w:val="auto"/>
                <w:lang w:val="en-US" w:eastAsia="zh-CN"/>
              </w:rPr>
              <w:t>附图3</w:t>
            </w:r>
            <w:r>
              <w:rPr>
                <w:rFonts w:hint="default" w:ascii="Times New Roman" w:hAnsi="Times New Roman" w:eastAsia="宋体" w:cs="Times New Roman"/>
                <w:color w:val="auto"/>
                <w:lang w:val="en-US" w:eastAsia="zh-CN"/>
              </w:rPr>
              <w:t>。项目</w:t>
            </w:r>
            <w:r>
              <w:rPr>
                <w:rFonts w:hint="eastAsia" w:cs="Times New Roman"/>
                <w:color w:val="auto"/>
                <w:lang w:val="en-US" w:eastAsia="zh-CN"/>
              </w:rPr>
              <w:t>周边环境关系图见附图6</w:t>
            </w:r>
            <w:r>
              <w:rPr>
                <w:rFonts w:hint="default" w:ascii="Times New Roman" w:hAnsi="Times New Roman" w:eastAsia="宋体" w:cs="Times New Roman"/>
                <w:color w:val="auto"/>
                <w:lang w:val="en-US" w:eastAsia="zh-CN"/>
              </w:rPr>
              <w:t>。</w:t>
            </w:r>
          </w:p>
          <w:p w14:paraId="5643966B">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right="0" w:firstLine="480" w:firstLineChars="200"/>
              <w:jc w:val="left"/>
              <w:textAlignment w:val="auto"/>
              <w:rPr>
                <w:rFonts w:hint="default" w:ascii="Times New Roman" w:hAnsi="Times New Roman" w:eastAsia="宋体" w:cs="Times New Roman"/>
                <w:color w:val="auto"/>
                <w:lang w:val="en-US" w:eastAsia="zh-CN"/>
              </w:rPr>
            </w:pPr>
            <w:bookmarkStart w:id="11" w:name="_Toc287433053"/>
            <w:bookmarkStart w:id="12" w:name="_Toc287433923"/>
            <w:bookmarkStart w:id="13" w:name="_Toc287434125"/>
            <w:r>
              <w:rPr>
                <w:rFonts w:hint="default" w:ascii="Times New Roman" w:hAnsi="Times New Roman" w:eastAsia="宋体" w:cs="Times New Roman"/>
                <w:color w:val="auto"/>
                <w:lang w:val="en-US" w:eastAsia="zh-CN"/>
              </w:rPr>
              <w:t>（5）项目投资</w:t>
            </w:r>
            <w:bookmarkEnd w:id="11"/>
            <w:bookmarkEnd w:id="12"/>
            <w:bookmarkEnd w:id="13"/>
            <w:r>
              <w:rPr>
                <w:rFonts w:hint="default" w:ascii="Times New Roman" w:hAnsi="Times New Roman" w:eastAsia="宋体" w:cs="Times New Roman"/>
                <w:color w:val="auto"/>
                <w:lang w:val="en-US" w:eastAsia="zh-CN"/>
              </w:rPr>
              <w:t>：项目总投资</w:t>
            </w:r>
            <w:r>
              <w:rPr>
                <w:rFonts w:hint="default" w:ascii="Times New Roman" w:hAnsi="Times New Roman" w:eastAsia="宋体" w:cs="Times New Roman"/>
                <w:color w:val="auto"/>
                <w:highlight w:val="none"/>
                <w:lang w:val="en-US" w:eastAsia="zh-CN"/>
              </w:rPr>
              <w:t>390</w:t>
            </w:r>
            <w:r>
              <w:rPr>
                <w:rFonts w:hint="default" w:ascii="Times New Roman" w:hAnsi="Times New Roman" w:eastAsia="宋体" w:cs="Times New Roman"/>
                <w:color w:val="auto"/>
                <w:lang w:val="en-US" w:eastAsia="zh-CN"/>
              </w:rPr>
              <w:t>万元，均为企业自有资金。</w:t>
            </w:r>
          </w:p>
          <w:p w14:paraId="6B42A1C7">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right="0" w:firstLine="480" w:firstLineChars="200"/>
              <w:jc w:val="left"/>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（6）组织结构及生产制度；本项目员工年工作时间为365天计，1班制，每天工作共12小时。</w:t>
            </w:r>
          </w:p>
          <w:p w14:paraId="56CCF0E6">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right="0" w:firstLine="480" w:firstLineChars="200"/>
              <w:jc w:val="left"/>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（7）劳动定员及人员培训：</w:t>
            </w:r>
            <w:r>
              <w:rPr>
                <w:rFonts w:hint="default" w:ascii="Times New Roman" w:hAnsi="Times New Roman" w:eastAsia="宋体" w:cs="Times New Roman"/>
                <w:b w:val="0"/>
                <w:bCs w:val="0"/>
                <w:color w:val="auto"/>
                <w:highlight w:val="none"/>
                <w:lang w:val="en-US" w:eastAsia="zh-CN"/>
              </w:rPr>
              <w:t>根据本项目生产管理的需要，结合自动化水平，本项目新增劳动用工为10人。</w:t>
            </w:r>
          </w:p>
          <w:p w14:paraId="161D7F03">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right="0" w:firstLine="480" w:firstLineChars="200"/>
              <w:jc w:val="left"/>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（8）建设规模：占地面积9872.63m</w:t>
            </w:r>
            <w:r>
              <w:rPr>
                <w:rFonts w:hint="default" w:ascii="Times New Roman" w:hAnsi="Times New Roman" w:eastAsia="宋体" w:cs="Times New Roman"/>
                <w:b w:val="0"/>
                <w:bCs w:val="0"/>
                <w:color w:val="auto"/>
                <w:vertAlign w:val="superscript"/>
                <w:lang w:val="en-US" w:eastAsia="zh-CN"/>
              </w:rPr>
              <w:t>2</w:t>
            </w:r>
            <w:r>
              <w:rPr>
                <w:rFonts w:hint="default" w:ascii="Times New Roman" w:hAnsi="Times New Roman" w:eastAsia="宋体" w:cs="Times New Roman"/>
                <w:b w:val="0"/>
                <w:bCs w:val="0"/>
                <w:color w:val="auto"/>
                <w:lang w:val="en-US" w:eastAsia="zh-CN"/>
              </w:rPr>
              <w:t>，变更前建设规模年产固体有机肥1万吨、液体有机肥1万吨，变更后建设规模</w:t>
            </w:r>
            <w:r>
              <w:rPr>
                <w:rFonts w:hint="default" w:ascii="Times New Roman" w:hAnsi="Times New Roman" w:eastAsia="宋体" w:cs="Times New Roman"/>
                <w:color w:val="auto"/>
                <w:lang w:val="en-US" w:eastAsia="zh-CN"/>
              </w:rPr>
              <w:t>年产固体有机肥1万吨</w:t>
            </w:r>
            <w:r>
              <w:rPr>
                <w:rFonts w:hint="default" w:ascii="Times New Roman" w:hAnsi="Times New Roman" w:eastAsia="宋体" w:cs="Times New Roman"/>
                <w:b w:val="0"/>
                <w:bCs w:val="0"/>
                <w:color w:val="auto"/>
                <w:lang w:val="en-US" w:eastAsia="zh-CN"/>
              </w:rPr>
              <w:t>。</w:t>
            </w:r>
          </w:p>
          <w:p w14:paraId="12D42C3E">
            <w:pPr>
              <w:keepNext w:val="0"/>
              <w:keepLines w:val="0"/>
              <w:pageBreakBefore w:val="0"/>
              <w:widowControl/>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color w:val="auto"/>
                <w:kern w:val="0"/>
                <w:sz w:val="21"/>
                <w:szCs w:val="21"/>
                <w:highlight w:val="none"/>
                <w:lang w:val="en-US" w:eastAsia="en-US" w:bidi="en-US"/>
              </w:rPr>
            </w:pPr>
            <w:bookmarkStart w:id="14" w:name="3、生产规模及内容"/>
            <w:bookmarkEnd w:id="14"/>
            <w:r>
              <w:rPr>
                <w:rFonts w:hint="default" w:ascii="Times New Roman" w:hAnsi="Times New Roman" w:eastAsia="宋体" w:cs="Times New Roman"/>
                <w:b/>
                <w:color w:val="auto"/>
                <w:kern w:val="0"/>
                <w:sz w:val="21"/>
                <w:szCs w:val="21"/>
                <w:highlight w:val="none"/>
                <w:lang w:val="en-US" w:eastAsia="en-US" w:bidi="en-US"/>
              </w:rPr>
              <w:t>表</w:t>
            </w:r>
            <w:r>
              <w:rPr>
                <w:rFonts w:hint="default" w:ascii="Times New Roman" w:hAnsi="Times New Roman" w:eastAsia="宋体" w:cs="Times New Roman"/>
                <w:b/>
                <w:color w:val="auto"/>
                <w:kern w:val="0"/>
                <w:sz w:val="21"/>
                <w:szCs w:val="21"/>
                <w:highlight w:val="none"/>
                <w:lang w:val="en-US" w:eastAsia="zh-CN" w:bidi="en-US"/>
              </w:rPr>
              <w:t>2.</w:t>
            </w:r>
            <w:r>
              <w:rPr>
                <w:rFonts w:hint="eastAsia" w:cs="Times New Roman"/>
                <w:b/>
                <w:color w:val="auto"/>
                <w:kern w:val="0"/>
                <w:sz w:val="21"/>
                <w:szCs w:val="21"/>
                <w:highlight w:val="none"/>
                <w:lang w:val="en-US" w:eastAsia="zh-CN" w:bidi="en-US"/>
              </w:rPr>
              <w:t>2</w:t>
            </w:r>
            <w:r>
              <w:rPr>
                <w:rFonts w:hint="default" w:ascii="Times New Roman" w:hAnsi="Times New Roman" w:eastAsia="宋体" w:cs="Times New Roman"/>
                <w:b/>
                <w:color w:val="auto"/>
                <w:kern w:val="0"/>
                <w:sz w:val="21"/>
                <w:szCs w:val="21"/>
                <w:highlight w:val="none"/>
                <w:lang w:val="en-US" w:eastAsia="zh-CN" w:bidi="en-US"/>
              </w:rPr>
              <w:t>-1</w:t>
            </w:r>
            <w:r>
              <w:rPr>
                <w:rFonts w:hint="default" w:ascii="Times New Roman" w:hAnsi="Times New Roman" w:eastAsia="宋体" w:cs="Times New Roman"/>
                <w:b/>
                <w:color w:val="auto"/>
                <w:kern w:val="0"/>
                <w:sz w:val="21"/>
                <w:szCs w:val="21"/>
                <w:highlight w:val="none"/>
                <w:lang w:val="en-US" w:eastAsia="en-US" w:bidi="en-US"/>
              </w:rPr>
              <w:t>项目</w:t>
            </w:r>
            <w:r>
              <w:rPr>
                <w:rFonts w:hint="default" w:ascii="Times New Roman" w:hAnsi="Times New Roman" w:eastAsia="宋体" w:cs="Times New Roman"/>
                <w:b/>
                <w:color w:val="auto"/>
                <w:kern w:val="0"/>
                <w:sz w:val="21"/>
                <w:szCs w:val="21"/>
                <w:highlight w:val="none"/>
                <w:lang w:val="en-US" w:eastAsia="zh-CN" w:bidi="en-US"/>
              </w:rPr>
              <w:t>变更前后建设内容和建设规模对比</w:t>
            </w:r>
            <w:r>
              <w:rPr>
                <w:rFonts w:hint="default" w:ascii="Times New Roman" w:hAnsi="Times New Roman" w:eastAsia="宋体" w:cs="Times New Roman"/>
                <w:b/>
                <w:color w:val="auto"/>
                <w:kern w:val="0"/>
                <w:sz w:val="21"/>
                <w:szCs w:val="21"/>
                <w:highlight w:val="none"/>
                <w:lang w:val="en-US" w:eastAsia="en-US" w:bidi="en-US"/>
              </w:rPr>
              <w:t>一览表</w:t>
            </w:r>
          </w:p>
          <w:tbl>
            <w:tblPr>
              <w:tblStyle w:val="22"/>
              <w:tblW w:w="850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6"/>
              <w:gridCol w:w="2887"/>
              <w:gridCol w:w="2483"/>
              <w:gridCol w:w="2038"/>
            </w:tblGrid>
            <w:tr w14:paraId="01B331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096" w:type="dxa"/>
                  <w:noWrap w:val="0"/>
                  <w:vAlign w:val="center"/>
                </w:tcPr>
                <w:p w14:paraId="212120E0">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项目</w:t>
                  </w:r>
                </w:p>
              </w:tc>
              <w:tc>
                <w:tcPr>
                  <w:tcW w:w="2887" w:type="dxa"/>
                  <w:noWrap w:val="0"/>
                  <w:vAlign w:val="center"/>
                </w:tcPr>
                <w:p w14:paraId="60740CF4">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变更前项目环评报告及批复建设内容</w:t>
                  </w:r>
                </w:p>
              </w:tc>
              <w:tc>
                <w:tcPr>
                  <w:tcW w:w="2483" w:type="dxa"/>
                  <w:noWrap w:val="0"/>
                  <w:vAlign w:val="center"/>
                </w:tcPr>
                <w:p w14:paraId="6FF518DC">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本项目（变更后）</w:t>
                  </w:r>
                </w:p>
              </w:tc>
              <w:tc>
                <w:tcPr>
                  <w:tcW w:w="2038" w:type="dxa"/>
                  <w:noWrap w:val="0"/>
                  <w:vAlign w:val="center"/>
                </w:tcPr>
                <w:p w14:paraId="2C7C63CA">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备注</w:t>
                  </w:r>
                </w:p>
              </w:tc>
            </w:tr>
            <w:tr w14:paraId="3BC7C0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096" w:type="dxa"/>
                  <w:noWrap w:val="0"/>
                  <w:vAlign w:val="center"/>
                </w:tcPr>
                <w:p w14:paraId="629E5090">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建设规模</w:t>
                  </w:r>
                </w:p>
              </w:tc>
              <w:tc>
                <w:tcPr>
                  <w:tcW w:w="2887" w:type="dxa"/>
                  <w:noWrap w:val="0"/>
                  <w:vAlign w:val="center"/>
                </w:tcPr>
                <w:p w14:paraId="0C6CE9F6">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年产1万吨有机肥（固体肥）年产1万吨有机肥（液体肥）</w:t>
                  </w:r>
                </w:p>
              </w:tc>
              <w:tc>
                <w:tcPr>
                  <w:tcW w:w="2483" w:type="dxa"/>
                  <w:noWrap w:val="0"/>
                  <w:vAlign w:val="center"/>
                </w:tcPr>
                <w:p w14:paraId="3EBBFE4F">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年产1万吨有机肥（固体肥）</w:t>
                  </w:r>
                </w:p>
              </w:tc>
              <w:tc>
                <w:tcPr>
                  <w:tcW w:w="2038" w:type="dxa"/>
                  <w:noWrap w:val="0"/>
                  <w:vAlign w:val="center"/>
                </w:tcPr>
                <w:p w14:paraId="07E98F59">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生产规模减少一半；产品由液体肥变更为固体有机肥</w:t>
                  </w:r>
                </w:p>
              </w:tc>
            </w:tr>
            <w:tr w14:paraId="5FA5BC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096" w:type="dxa"/>
                  <w:noWrap w:val="0"/>
                  <w:vAlign w:val="center"/>
                </w:tcPr>
                <w:p w14:paraId="007057DB">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建设地点</w:t>
                  </w:r>
                </w:p>
              </w:tc>
              <w:tc>
                <w:tcPr>
                  <w:tcW w:w="2887" w:type="dxa"/>
                  <w:noWrap w:val="0"/>
                  <w:vAlign w:val="center"/>
                </w:tcPr>
                <w:p w14:paraId="4F329B6F">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新疆维吾尔自治区昌吉回族自治州玛纳斯县玛纳斯镇，场界中心地理坐标为：E86°18′05.344″，N44°19′44.816″。</w:t>
                  </w:r>
                </w:p>
              </w:tc>
              <w:tc>
                <w:tcPr>
                  <w:tcW w:w="2483" w:type="dxa"/>
                  <w:noWrap w:val="0"/>
                  <w:vAlign w:val="center"/>
                </w:tcPr>
                <w:p w14:paraId="78320859">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新疆维吾尔自治区昌吉回族自治州玛纳斯县玛纳斯镇，场界中心地理坐标为：E86°18′05.344″，N44°19′44.816″。</w:t>
                  </w:r>
                </w:p>
              </w:tc>
              <w:tc>
                <w:tcPr>
                  <w:tcW w:w="2038" w:type="dxa"/>
                  <w:noWrap w:val="0"/>
                  <w:vAlign w:val="center"/>
                </w:tcPr>
                <w:p w14:paraId="77450959">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rPr>
                    <w:t>未变动</w:t>
                  </w:r>
                </w:p>
              </w:tc>
            </w:tr>
            <w:tr w14:paraId="010618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096" w:type="dxa"/>
                  <w:noWrap w:val="0"/>
                  <w:vAlign w:val="center"/>
                </w:tcPr>
                <w:p w14:paraId="003AF7C7">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总投资和环保投资</w:t>
                  </w:r>
                </w:p>
              </w:tc>
              <w:tc>
                <w:tcPr>
                  <w:tcW w:w="2887" w:type="dxa"/>
                  <w:noWrap w:val="0"/>
                  <w:vAlign w:val="center"/>
                </w:tcPr>
                <w:p w14:paraId="2046BF20">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总投资390万元，环保投资35万元</w:t>
                  </w:r>
                </w:p>
              </w:tc>
              <w:tc>
                <w:tcPr>
                  <w:tcW w:w="2483" w:type="dxa"/>
                  <w:noWrap w:val="0"/>
                  <w:vAlign w:val="center"/>
                </w:tcPr>
                <w:p w14:paraId="12CD263E">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总投资390万元，环保投资</w:t>
                  </w:r>
                  <w:r>
                    <w:rPr>
                      <w:rFonts w:hint="eastAsia" w:cs="Times New Roman"/>
                      <w:color w:val="auto"/>
                      <w:kern w:val="0"/>
                      <w:sz w:val="21"/>
                      <w:szCs w:val="21"/>
                      <w:highlight w:val="none"/>
                      <w:lang w:val="en-US" w:eastAsia="zh-CN" w:bidi="ar-SA"/>
                    </w:rPr>
                    <w:t>37</w:t>
                  </w:r>
                  <w:r>
                    <w:rPr>
                      <w:rFonts w:hint="default" w:ascii="Times New Roman" w:hAnsi="Times New Roman" w:eastAsia="宋体" w:cs="Times New Roman"/>
                      <w:color w:val="auto"/>
                      <w:kern w:val="0"/>
                      <w:sz w:val="21"/>
                      <w:szCs w:val="21"/>
                      <w:highlight w:val="none"/>
                      <w:lang w:val="en-US" w:eastAsia="zh-CN" w:bidi="ar-SA"/>
                    </w:rPr>
                    <w:t>万元</w:t>
                  </w:r>
                </w:p>
              </w:tc>
              <w:tc>
                <w:tcPr>
                  <w:tcW w:w="2038" w:type="dxa"/>
                  <w:noWrap w:val="0"/>
                  <w:vAlign w:val="center"/>
                </w:tcPr>
                <w:p w14:paraId="0BC8BF97">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新建1座5m</w:t>
                  </w:r>
                  <w:r>
                    <w:rPr>
                      <w:rFonts w:hint="eastAsia" w:cs="Times New Roman"/>
                      <w:color w:val="auto"/>
                      <w:kern w:val="0"/>
                      <w:sz w:val="21"/>
                      <w:szCs w:val="21"/>
                      <w:highlight w:val="none"/>
                      <w:vertAlign w:val="superscript"/>
                      <w:lang w:val="en-US" w:eastAsia="zh-CN" w:bidi="ar-SA"/>
                    </w:rPr>
                    <w:t>2</w:t>
                  </w:r>
                  <w:r>
                    <w:rPr>
                      <w:rFonts w:hint="eastAsia" w:cs="Times New Roman"/>
                      <w:color w:val="auto"/>
                      <w:kern w:val="0"/>
                      <w:sz w:val="21"/>
                      <w:szCs w:val="21"/>
                      <w:highlight w:val="none"/>
                      <w:lang w:val="en-US" w:eastAsia="zh-CN" w:bidi="ar-SA"/>
                    </w:rPr>
                    <w:t>的危险废物贮存库，</w:t>
                  </w:r>
                  <w:r>
                    <w:rPr>
                      <w:rFonts w:hint="default" w:ascii="Times New Roman" w:hAnsi="Times New Roman" w:eastAsia="宋体" w:cs="Times New Roman"/>
                      <w:color w:val="auto"/>
                      <w:kern w:val="0"/>
                      <w:sz w:val="21"/>
                      <w:szCs w:val="21"/>
                      <w:highlight w:val="none"/>
                      <w:lang w:val="en-US" w:eastAsia="zh-CN" w:bidi="ar-SA"/>
                    </w:rPr>
                    <w:t>环保投资增加</w:t>
                  </w:r>
                  <w:r>
                    <w:rPr>
                      <w:rFonts w:hint="eastAsia" w:cs="Times New Roman"/>
                      <w:color w:val="auto"/>
                      <w:kern w:val="0"/>
                      <w:sz w:val="21"/>
                      <w:szCs w:val="21"/>
                      <w:highlight w:val="none"/>
                      <w:lang w:val="en-US" w:eastAsia="zh-CN" w:bidi="ar-SA"/>
                    </w:rPr>
                    <w:t>2</w:t>
                  </w:r>
                  <w:r>
                    <w:rPr>
                      <w:rFonts w:hint="default" w:ascii="Times New Roman" w:hAnsi="Times New Roman" w:eastAsia="宋体" w:cs="Times New Roman"/>
                      <w:color w:val="auto"/>
                      <w:kern w:val="0"/>
                      <w:sz w:val="21"/>
                      <w:szCs w:val="21"/>
                      <w:highlight w:val="none"/>
                      <w:lang w:val="en-US" w:eastAsia="zh-CN" w:bidi="ar-SA"/>
                    </w:rPr>
                    <w:t>万元</w:t>
                  </w:r>
                </w:p>
              </w:tc>
            </w:tr>
            <w:tr w14:paraId="69ECE9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096" w:type="dxa"/>
                  <w:noWrap w:val="0"/>
                  <w:vAlign w:val="center"/>
                </w:tcPr>
                <w:p w14:paraId="1D8DE731">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劳动定员及工作制度</w:t>
                  </w:r>
                </w:p>
              </w:tc>
              <w:tc>
                <w:tcPr>
                  <w:tcW w:w="2887" w:type="dxa"/>
                  <w:noWrap w:val="0"/>
                  <w:vAlign w:val="center"/>
                </w:tcPr>
                <w:p w14:paraId="04F74807">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10人，1班，每班12小时，年工作300天</w:t>
                  </w:r>
                </w:p>
              </w:tc>
              <w:tc>
                <w:tcPr>
                  <w:tcW w:w="2483" w:type="dxa"/>
                  <w:noWrap w:val="0"/>
                  <w:vAlign w:val="center"/>
                </w:tcPr>
                <w:p w14:paraId="25B684FC">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10人，1班，每班12小时，年工作365天</w:t>
                  </w:r>
                </w:p>
              </w:tc>
              <w:tc>
                <w:tcPr>
                  <w:tcW w:w="2038" w:type="dxa"/>
                  <w:noWrap w:val="0"/>
                  <w:vAlign w:val="center"/>
                </w:tcPr>
                <w:p w14:paraId="43AE7DF7">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变更为全年生产</w:t>
                  </w:r>
                </w:p>
              </w:tc>
            </w:tr>
            <w:tr w14:paraId="58A609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096" w:type="dxa"/>
                  <w:noWrap w:val="0"/>
                  <w:vAlign w:val="center"/>
                </w:tcPr>
                <w:p w14:paraId="1859323B">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生产工艺</w:t>
                  </w:r>
                </w:p>
              </w:tc>
              <w:tc>
                <w:tcPr>
                  <w:tcW w:w="2887" w:type="dxa"/>
                  <w:noWrap w:val="0"/>
                  <w:vAlign w:val="center"/>
                </w:tcPr>
                <w:p w14:paraId="77AD76C6">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原料准备→混合搅拌→翻堆发酵→出发酵场→筛分→烘干</w:t>
                  </w:r>
                </w:p>
              </w:tc>
              <w:tc>
                <w:tcPr>
                  <w:tcW w:w="2483" w:type="dxa"/>
                  <w:noWrap w:val="0"/>
                  <w:vAlign w:val="center"/>
                </w:tcPr>
                <w:p w14:paraId="4956B111">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原料准备→罐内搅拌、发酵、烘干→筛分</w:t>
                  </w:r>
                </w:p>
              </w:tc>
              <w:tc>
                <w:tcPr>
                  <w:tcW w:w="2038" w:type="dxa"/>
                  <w:noWrap w:val="0"/>
                  <w:vAlign w:val="center"/>
                </w:tcPr>
                <w:p w14:paraId="0BDC02D7">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搅拌、翻堆发酵工艺变更为罐内一体化处理</w:t>
                  </w:r>
                </w:p>
              </w:tc>
            </w:tr>
          </w:tbl>
          <w:p w14:paraId="7A122125">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right="0"/>
              <w:jc w:val="left"/>
              <w:textAlignment w:val="auto"/>
              <w:outlineLvl w:val="1"/>
              <w:rPr>
                <w:rFonts w:hint="default" w:ascii="Times New Roman" w:hAnsi="Times New Roman" w:eastAsia="宋体" w:cs="Times New Roman"/>
                <w:b/>
                <w:bCs/>
                <w:color w:val="0000FF"/>
                <w:sz w:val="24"/>
                <w:szCs w:val="28"/>
                <w:lang w:val="en-US" w:eastAsia="zh-CN" w:bidi="ar-SA"/>
              </w:rPr>
            </w:pPr>
            <w:r>
              <w:rPr>
                <w:rFonts w:hint="eastAsia" w:cs="Times New Roman"/>
                <w:b/>
                <w:bCs/>
                <w:color w:val="0000FF"/>
                <w:sz w:val="24"/>
                <w:szCs w:val="28"/>
                <w:lang w:val="en-US" w:eastAsia="zh-CN" w:bidi="ar-SA"/>
              </w:rPr>
              <w:t>3、</w:t>
            </w:r>
            <w:r>
              <w:rPr>
                <w:rFonts w:hint="default" w:ascii="Times New Roman" w:hAnsi="Times New Roman" w:eastAsia="宋体" w:cs="Times New Roman"/>
                <w:b/>
                <w:bCs/>
                <w:color w:val="0000FF"/>
                <w:sz w:val="24"/>
                <w:szCs w:val="28"/>
                <w:lang w:val="en-US" w:eastAsia="zh-CN" w:bidi="ar-SA"/>
              </w:rPr>
              <w:t xml:space="preserve">建设内容 </w:t>
            </w:r>
          </w:p>
          <w:p w14:paraId="58A056E5">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right="0" w:firstLine="480" w:firstLineChars="200"/>
              <w:jc w:val="left"/>
              <w:textAlignment w:val="auto"/>
              <w:rPr>
                <w:rFonts w:hint="default" w:ascii="Times New Roman" w:hAnsi="Times New Roman" w:eastAsia="宋体" w:cs="Times New Roman"/>
                <w:b w:val="0"/>
                <w:bCs w:val="0"/>
                <w:color w:val="0000FF"/>
                <w:lang w:val="en-US" w:eastAsia="zh-CN"/>
              </w:rPr>
            </w:pPr>
            <w:r>
              <w:rPr>
                <w:rFonts w:hint="default" w:ascii="Times New Roman" w:hAnsi="Times New Roman" w:eastAsia="宋体" w:cs="Times New Roman"/>
                <w:b w:val="0"/>
                <w:bCs w:val="0"/>
                <w:color w:val="0000FF"/>
                <w:lang w:val="en-US" w:eastAsia="zh-CN"/>
              </w:rPr>
              <w:t>本项目为重新报批项目。</w:t>
            </w:r>
          </w:p>
          <w:p w14:paraId="26F3BB3C">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right="0" w:firstLine="480" w:firstLineChars="200"/>
              <w:jc w:val="left"/>
              <w:textAlignment w:val="auto"/>
              <w:rPr>
                <w:rFonts w:hint="default" w:ascii="Times New Roman" w:hAnsi="Times New Roman" w:eastAsia="宋体" w:cs="Times New Roman"/>
                <w:b w:val="0"/>
                <w:bCs w:val="0"/>
                <w:color w:val="0000FF"/>
                <w:lang w:val="en-US" w:eastAsia="zh-CN"/>
              </w:rPr>
            </w:pPr>
            <w:r>
              <w:rPr>
                <w:rFonts w:hint="default" w:ascii="Times New Roman" w:hAnsi="Times New Roman" w:eastAsia="宋体" w:cs="Times New Roman"/>
                <w:b w:val="0"/>
                <w:bCs w:val="0"/>
                <w:color w:val="0000FF"/>
                <w:lang w:val="en-US" w:eastAsia="zh-CN"/>
              </w:rPr>
              <w:t>变更前项目批复内容及规模：（1）建设内容：项目占地面积9872.63m</w:t>
            </w:r>
            <w:r>
              <w:rPr>
                <w:rFonts w:hint="default" w:ascii="Times New Roman" w:hAnsi="Times New Roman" w:eastAsia="宋体" w:cs="Times New Roman"/>
                <w:b w:val="0"/>
                <w:bCs w:val="0"/>
                <w:color w:val="0000FF"/>
                <w:vertAlign w:val="superscript"/>
                <w:lang w:val="en-US" w:eastAsia="zh-CN"/>
              </w:rPr>
              <w:t>2</w:t>
            </w:r>
            <w:r>
              <w:rPr>
                <w:rFonts w:hint="default" w:ascii="Times New Roman" w:hAnsi="Times New Roman" w:eastAsia="宋体" w:cs="Times New Roman"/>
                <w:b w:val="0"/>
                <w:bCs w:val="0"/>
                <w:color w:val="0000FF"/>
                <w:lang w:val="en-US" w:eastAsia="zh-CN"/>
              </w:rPr>
              <w:t>，项目主要包括生产车间、烘干车间、厌氧反应池。项目通过臭气收集系统、预洗涤系统、生物膜除臭系统、喷淋水系统组成的生物除臭系统进行除臭。（2）建设规模：</w:t>
            </w:r>
            <w:r>
              <w:rPr>
                <w:rFonts w:hint="default" w:ascii="Times New Roman" w:hAnsi="Times New Roman" w:eastAsia="宋体" w:cs="Times New Roman"/>
                <w:color w:val="0000FF"/>
                <w:lang w:val="en-US" w:eastAsia="zh-CN"/>
              </w:rPr>
              <w:t>年产1万吨固体有机肥，1万吨液体有机肥</w:t>
            </w:r>
            <w:r>
              <w:rPr>
                <w:rFonts w:hint="default" w:ascii="Times New Roman" w:hAnsi="Times New Roman" w:eastAsia="宋体" w:cs="Times New Roman"/>
                <w:b w:val="0"/>
                <w:bCs w:val="0"/>
                <w:color w:val="0000FF"/>
                <w:lang w:val="en-US" w:eastAsia="zh-CN"/>
              </w:rPr>
              <w:t>。</w:t>
            </w:r>
          </w:p>
          <w:p w14:paraId="5AD4B723">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right="0" w:firstLine="480" w:firstLineChars="200"/>
              <w:jc w:val="left"/>
              <w:textAlignment w:val="auto"/>
              <w:rPr>
                <w:rFonts w:hint="default" w:ascii="Times New Roman" w:hAnsi="Times New Roman" w:eastAsia="宋体" w:cs="Times New Roman"/>
                <w:b w:val="0"/>
                <w:bCs w:val="0"/>
                <w:color w:val="0000FF"/>
                <w:lang w:val="en-US" w:eastAsia="zh-CN"/>
              </w:rPr>
            </w:pPr>
            <w:r>
              <w:rPr>
                <w:rFonts w:hint="default" w:ascii="Times New Roman" w:hAnsi="Times New Roman" w:eastAsia="宋体" w:cs="Times New Roman"/>
                <w:color w:val="0000FF"/>
                <w:lang w:val="en-US" w:eastAsia="zh-CN"/>
              </w:rPr>
              <w:t>重新报批建设内容及规模：</w:t>
            </w:r>
            <w:r>
              <w:rPr>
                <w:rFonts w:hint="default" w:ascii="Times New Roman" w:hAnsi="Times New Roman" w:eastAsia="宋体" w:cs="Times New Roman"/>
                <w:b w:val="0"/>
                <w:bCs w:val="0"/>
                <w:color w:val="0000FF"/>
                <w:lang w:val="en-US" w:eastAsia="zh-CN"/>
              </w:rPr>
              <w:t>1）建设内容：项目占地面积9872.63m</w:t>
            </w:r>
            <w:r>
              <w:rPr>
                <w:rFonts w:hint="default" w:ascii="Times New Roman" w:hAnsi="Times New Roman" w:eastAsia="宋体" w:cs="Times New Roman"/>
                <w:b w:val="0"/>
                <w:bCs w:val="0"/>
                <w:color w:val="0000FF"/>
                <w:vertAlign w:val="superscript"/>
                <w:lang w:val="en-US" w:eastAsia="zh-CN"/>
              </w:rPr>
              <w:t>2</w:t>
            </w:r>
            <w:r>
              <w:rPr>
                <w:rFonts w:hint="default" w:ascii="Times New Roman" w:hAnsi="Times New Roman" w:eastAsia="宋体" w:cs="Times New Roman"/>
                <w:b w:val="0"/>
                <w:bCs w:val="0"/>
                <w:color w:val="0000FF"/>
                <w:lang w:val="en-US" w:eastAsia="zh-CN"/>
              </w:rPr>
              <w:t>，项目主要包括新建1座500m</w:t>
            </w:r>
            <w:r>
              <w:rPr>
                <w:rFonts w:hint="default" w:ascii="Times New Roman" w:hAnsi="Times New Roman" w:eastAsia="宋体" w:cs="Times New Roman"/>
                <w:b w:val="0"/>
                <w:bCs w:val="0"/>
                <w:color w:val="0000FF"/>
                <w:vertAlign w:val="superscript"/>
                <w:lang w:val="en-US" w:eastAsia="zh-CN"/>
              </w:rPr>
              <w:t>2</w:t>
            </w:r>
            <w:r>
              <w:rPr>
                <w:rFonts w:hint="default" w:ascii="Times New Roman" w:hAnsi="Times New Roman" w:eastAsia="宋体" w:cs="Times New Roman"/>
                <w:b w:val="0"/>
                <w:bCs w:val="0"/>
                <w:color w:val="0000FF"/>
                <w:lang w:val="en-US" w:eastAsia="zh-CN"/>
              </w:rPr>
              <w:t>生产车间</w:t>
            </w:r>
            <w:r>
              <w:rPr>
                <w:rFonts w:hint="eastAsia" w:cs="Times New Roman"/>
                <w:b w:val="0"/>
                <w:bCs w:val="0"/>
                <w:color w:val="0000FF"/>
                <w:lang w:val="en-US" w:eastAsia="zh-CN"/>
              </w:rPr>
              <w:t>（场内空地建设，不新增占地）</w:t>
            </w:r>
            <w:r>
              <w:rPr>
                <w:rFonts w:hint="default" w:ascii="Times New Roman" w:hAnsi="Times New Roman" w:eastAsia="宋体" w:cs="Times New Roman"/>
                <w:b w:val="0"/>
                <w:bCs w:val="0"/>
                <w:color w:val="0000FF"/>
                <w:lang w:val="en-US" w:eastAsia="zh-CN"/>
              </w:rPr>
              <w:t>、发酵罐区车间，原有的1座2800m</w:t>
            </w:r>
            <w:r>
              <w:rPr>
                <w:rFonts w:hint="default" w:ascii="Times New Roman" w:hAnsi="Times New Roman" w:eastAsia="宋体" w:cs="Times New Roman"/>
                <w:b w:val="0"/>
                <w:bCs w:val="0"/>
                <w:color w:val="0000FF"/>
                <w:vertAlign w:val="superscript"/>
                <w:lang w:val="en-US" w:eastAsia="zh-CN"/>
              </w:rPr>
              <w:t>2</w:t>
            </w:r>
            <w:r>
              <w:rPr>
                <w:rFonts w:hint="default" w:ascii="Times New Roman" w:hAnsi="Times New Roman" w:eastAsia="宋体" w:cs="Times New Roman"/>
                <w:b w:val="0"/>
                <w:bCs w:val="0"/>
                <w:color w:val="0000FF"/>
                <w:lang w:val="en-US" w:eastAsia="zh-CN"/>
              </w:rPr>
              <w:t>的生产车间改造为成品仓库。项目通过臭气收集系统、生物膜除臭系统、喷淋水系统组成的生物除臭系统进行除臭。（2）建设规模：</w:t>
            </w:r>
            <w:r>
              <w:rPr>
                <w:rFonts w:hint="default" w:ascii="Times New Roman" w:hAnsi="Times New Roman" w:eastAsia="宋体" w:cs="Times New Roman"/>
                <w:color w:val="0000FF"/>
                <w:lang w:val="en-US" w:eastAsia="zh-CN"/>
              </w:rPr>
              <w:t>年产1万吨固体有机肥</w:t>
            </w:r>
            <w:r>
              <w:rPr>
                <w:rFonts w:hint="default" w:ascii="Times New Roman" w:hAnsi="Times New Roman" w:eastAsia="宋体" w:cs="Times New Roman"/>
                <w:b w:val="0"/>
                <w:bCs w:val="0"/>
                <w:color w:val="0000FF"/>
                <w:lang w:val="en-US" w:eastAsia="zh-CN"/>
              </w:rPr>
              <w:t>。</w:t>
            </w:r>
          </w:p>
          <w:p w14:paraId="08AA9877">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right="0" w:firstLine="480" w:firstLineChars="200"/>
              <w:jc w:val="left"/>
              <w:textAlignment w:val="auto"/>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本项目与变更前项目主要建设内容及建设情况对比见2.3-1。</w:t>
            </w:r>
          </w:p>
          <w:p w14:paraId="47127F3F">
            <w:pPr>
              <w:keepNext w:val="0"/>
              <w:keepLines w:val="0"/>
              <w:pageBreakBefore w:val="0"/>
              <w:widowControl w:val="0"/>
              <w:kinsoku/>
              <w:wordWrap/>
              <w:overflowPunct w:val="0"/>
              <w:topLinePunct w:val="0"/>
              <w:autoSpaceDE w:val="0"/>
              <w:autoSpaceDN w:val="0"/>
              <w:bidi w:val="0"/>
              <w:adjustRightInd w:val="0"/>
              <w:snapToGrid w:val="0"/>
              <w:spacing w:before="0" w:after="0" w:line="240" w:lineRule="auto"/>
              <w:ind w:left="0" w:right="0" w:firstLine="0" w:firstLineChars="0"/>
              <w:jc w:val="center"/>
              <w:textAlignment w:val="auto"/>
              <w:rPr>
                <w:rFonts w:hint="default" w:ascii="Times New Roman" w:hAnsi="Times New Roman" w:eastAsia="宋体" w:cs="Times New Roman"/>
                <w:b/>
                <w:color w:val="auto"/>
                <w:sz w:val="21"/>
                <w:szCs w:val="21"/>
                <w:lang w:val="en-US" w:eastAsia="zh-CN" w:bidi="ar-SA"/>
              </w:rPr>
            </w:pPr>
            <w:r>
              <w:rPr>
                <w:rFonts w:hint="default" w:ascii="Times New Roman" w:hAnsi="Times New Roman" w:eastAsia="宋体" w:cs="Times New Roman"/>
                <w:b/>
                <w:color w:val="auto"/>
                <w:sz w:val="21"/>
                <w:szCs w:val="21"/>
                <w:lang w:val="en-US" w:eastAsia="zh-CN" w:bidi="ar-SA"/>
              </w:rPr>
              <w:t>表2.3-1建设项目</w:t>
            </w:r>
            <w:r>
              <w:rPr>
                <w:rFonts w:hint="default" w:ascii="Times New Roman" w:hAnsi="Times New Roman" w:eastAsia="宋体" w:cs="Times New Roman"/>
                <w:b/>
                <w:color w:val="auto"/>
                <w:sz w:val="21"/>
                <w:szCs w:val="21"/>
                <w:lang w:val="en-US" w:eastAsia="zh-Hans" w:bidi="ar-SA"/>
              </w:rPr>
              <w:t>内容</w:t>
            </w:r>
            <w:r>
              <w:rPr>
                <w:rFonts w:hint="default" w:ascii="Times New Roman" w:hAnsi="Times New Roman" w:eastAsia="宋体" w:cs="Times New Roman"/>
                <w:b/>
                <w:color w:val="auto"/>
                <w:sz w:val="21"/>
                <w:szCs w:val="21"/>
                <w:lang w:val="en-US" w:eastAsia="zh-CN" w:bidi="ar-SA"/>
              </w:rPr>
              <w:t xml:space="preserve"> </w:t>
            </w:r>
          </w:p>
          <w:tbl>
            <w:tblPr>
              <w:tblStyle w:val="22"/>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330"/>
              <w:gridCol w:w="646"/>
              <w:gridCol w:w="3184"/>
              <w:gridCol w:w="3184"/>
              <w:gridCol w:w="579"/>
              <w:gridCol w:w="581"/>
            </w:tblGrid>
            <w:tr w14:paraId="074714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9" w:hRule="atLeast"/>
                <w:jc w:val="center"/>
              </w:trPr>
              <w:tc>
                <w:tcPr>
                  <w:tcW w:w="976" w:type="dxa"/>
                  <w:gridSpan w:val="2"/>
                  <w:noWrap w:val="0"/>
                  <w:vAlign w:val="center"/>
                </w:tcPr>
                <w:p w14:paraId="7D9DAB58">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b w:val="0"/>
                      <w:bCs w:val="0"/>
                      <w:color w:val="auto"/>
                      <w:kern w:val="0"/>
                      <w:sz w:val="21"/>
                      <w:szCs w:val="24"/>
                      <w:highlight w:val="none"/>
                      <w:lang w:val="en-US" w:eastAsia="zh-CN" w:bidi="ar-SA"/>
                    </w:rPr>
                  </w:pPr>
                  <w:r>
                    <w:rPr>
                      <w:rFonts w:hint="default" w:ascii="Times New Roman" w:hAnsi="Times New Roman" w:eastAsia="宋体" w:cs="Times New Roman"/>
                      <w:b w:val="0"/>
                      <w:bCs w:val="0"/>
                      <w:color w:val="auto"/>
                      <w:kern w:val="0"/>
                      <w:sz w:val="21"/>
                      <w:szCs w:val="24"/>
                      <w:highlight w:val="none"/>
                      <w:lang w:val="en-US" w:eastAsia="zh-CN" w:bidi="ar-SA"/>
                    </w:rPr>
                    <w:t>项目名称</w:t>
                  </w:r>
                </w:p>
              </w:tc>
              <w:tc>
                <w:tcPr>
                  <w:tcW w:w="3184" w:type="dxa"/>
                  <w:noWrap w:val="0"/>
                  <w:vAlign w:val="center"/>
                </w:tcPr>
                <w:p w14:paraId="0CE1CB78">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b w:val="0"/>
                      <w:bCs w:val="0"/>
                      <w:color w:val="auto"/>
                      <w:kern w:val="0"/>
                      <w:sz w:val="21"/>
                      <w:szCs w:val="24"/>
                      <w:highlight w:val="none"/>
                      <w:lang w:val="en-US" w:eastAsia="zh-CN" w:bidi="ar-SA"/>
                    </w:rPr>
                  </w:pPr>
                  <w:r>
                    <w:rPr>
                      <w:rFonts w:hint="default" w:ascii="Times New Roman" w:hAnsi="Times New Roman" w:eastAsia="宋体" w:cs="Times New Roman"/>
                      <w:b w:val="0"/>
                      <w:bCs w:val="0"/>
                      <w:color w:val="auto"/>
                      <w:kern w:val="0"/>
                      <w:sz w:val="21"/>
                      <w:szCs w:val="24"/>
                      <w:highlight w:val="none"/>
                      <w:lang w:val="en-US" w:eastAsia="zh-CN" w:bidi="ar-SA"/>
                    </w:rPr>
                    <w:t>变更前项目环评及批复主要建设内容</w:t>
                  </w:r>
                </w:p>
              </w:tc>
              <w:tc>
                <w:tcPr>
                  <w:tcW w:w="3184" w:type="dxa"/>
                  <w:noWrap w:val="0"/>
                  <w:vAlign w:val="center"/>
                </w:tcPr>
                <w:p w14:paraId="1896F190">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b w:val="0"/>
                      <w:bCs w:val="0"/>
                      <w:color w:val="auto"/>
                      <w:kern w:val="0"/>
                      <w:sz w:val="21"/>
                      <w:szCs w:val="24"/>
                      <w:highlight w:val="none"/>
                      <w:lang w:val="en-US" w:eastAsia="zh-CN" w:bidi="ar-SA"/>
                    </w:rPr>
                  </w:pPr>
                  <w:r>
                    <w:rPr>
                      <w:rFonts w:hint="default" w:ascii="Times New Roman" w:hAnsi="Times New Roman" w:eastAsia="宋体" w:cs="Times New Roman"/>
                      <w:b w:val="0"/>
                      <w:bCs w:val="0"/>
                      <w:color w:val="auto"/>
                      <w:kern w:val="0"/>
                      <w:sz w:val="21"/>
                      <w:szCs w:val="24"/>
                      <w:highlight w:val="none"/>
                      <w:lang w:val="en-US" w:eastAsia="zh-CN" w:bidi="ar-SA"/>
                    </w:rPr>
                    <w:t>建设内容</w:t>
                  </w:r>
                </w:p>
              </w:tc>
              <w:tc>
                <w:tcPr>
                  <w:tcW w:w="579" w:type="dxa"/>
                  <w:noWrap w:val="0"/>
                  <w:vAlign w:val="center"/>
                </w:tcPr>
                <w:p w14:paraId="5BA412A7">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b w:val="0"/>
                      <w:bCs w:val="0"/>
                      <w:color w:val="auto"/>
                      <w:kern w:val="0"/>
                      <w:sz w:val="21"/>
                      <w:szCs w:val="24"/>
                      <w:highlight w:val="none"/>
                      <w:lang w:val="en-US" w:eastAsia="zh-CN" w:bidi="ar-SA"/>
                    </w:rPr>
                  </w:pPr>
                  <w:r>
                    <w:rPr>
                      <w:rFonts w:hint="default" w:ascii="Times New Roman" w:hAnsi="Times New Roman" w:eastAsia="宋体" w:cs="Times New Roman"/>
                      <w:b w:val="0"/>
                      <w:bCs w:val="0"/>
                      <w:color w:val="auto"/>
                      <w:kern w:val="0"/>
                      <w:sz w:val="21"/>
                      <w:szCs w:val="24"/>
                      <w:highlight w:val="none"/>
                      <w:lang w:val="en-US" w:eastAsia="zh-CN" w:bidi="ar-SA"/>
                    </w:rPr>
                    <w:t>备注</w:t>
                  </w:r>
                </w:p>
              </w:tc>
              <w:tc>
                <w:tcPr>
                  <w:tcW w:w="581" w:type="dxa"/>
                  <w:noWrap w:val="0"/>
                  <w:vAlign w:val="center"/>
                </w:tcPr>
                <w:p w14:paraId="746E842D">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b w:val="0"/>
                      <w:bCs w:val="0"/>
                      <w:color w:val="auto"/>
                      <w:kern w:val="0"/>
                      <w:sz w:val="21"/>
                      <w:szCs w:val="24"/>
                      <w:highlight w:val="none"/>
                      <w:lang w:val="en-US" w:eastAsia="zh-CN" w:bidi="ar-SA"/>
                    </w:rPr>
                  </w:pPr>
                  <w:r>
                    <w:rPr>
                      <w:rFonts w:hint="default" w:ascii="Times New Roman" w:hAnsi="Times New Roman" w:eastAsia="宋体" w:cs="Times New Roman"/>
                      <w:b w:val="0"/>
                      <w:bCs w:val="0"/>
                      <w:color w:val="auto"/>
                      <w:kern w:val="0"/>
                      <w:sz w:val="21"/>
                      <w:szCs w:val="24"/>
                      <w:highlight w:val="none"/>
                      <w:lang w:val="en-US" w:eastAsia="zh-CN" w:bidi="ar-SA"/>
                    </w:rPr>
                    <w:t>变动情况</w:t>
                  </w:r>
                </w:p>
              </w:tc>
            </w:tr>
            <w:tr w14:paraId="03384C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30" w:type="dxa"/>
                  <w:vMerge w:val="restart"/>
                  <w:noWrap w:val="0"/>
                  <w:vAlign w:val="center"/>
                </w:tcPr>
                <w:p w14:paraId="6192286D">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bCs/>
                      <w:color w:val="auto"/>
                      <w:kern w:val="0"/>
                      <w:sz w:val="21"/>
                      <w:szCs w:val="24"/>
                      <w:highlight w:val="none"/>
                      <w:lang w:val="en-US" w:eastAsia="zh-CN" w:bidi="ar-SA"/>
                    </w:rPr>
                  </w:pPr>
                  <w:r>
                    <w:rPr>
                      <w:rFonts w:hint="default" w:ascii="Times New Roman" w:hAnsi="Times New Roman" w:eastAsia="宋体" w:cs="Times New Roman"/>
                      <w:bCs/>
                      <w:color w:val="auto"/>
                      <w:kern w:val="0"/>
                      <w:sz w:val="21"/>
                      <w:szCs w:val="24"/>
                      <w:highlight w:val="none"/>
                      <w:lang w:val="en-US" w:eastAsia="zh-CN" w:bidi="ar-SA"/>
                    </w:rPr>
                    <w:t>主体工程</w:t>
                  </w:r>
                </w:p>
              </w:tc>
              <w:tc>
                <w:tcPr>
                  <w:tcW w:w="646" w:type="dxa"/>
                  <w:noWrap w:val="0"/>
                  <w:vAlign w:val="center"/>
                </w:tcPr>
                <w:p w14:paraId="71D21F48">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1"/>
                      <w:lang w:val="en-US" w:eastAsia="zh-CN"/>
                    </w:rPr>
                    <w:t>生产</w:t>
                  </w:r>
                  <w:r>
                    <w:rPr>
                      <w:rFonts w:hint="default" w:ascii="Times New Roman" w:hAnsi="Times New Roman" w:eastAsia="宋体" w:cs="Times New Roman"/>
                      <w:color w:val="auto"/>
                      <w:kern w:val="0"/>
                      <w:sz w:val="21"/>
                      <w:szCs w:val="21"/>
                    </w:rPr>
                    <w:t>车间</w:t>
                  </w:r>
                </w:p>
              </w:tc>
              <w:tc>
                <w:tcPr>
                  <w:tcW w:w="3184" w:type="dxa"/>
                  <w:noWrap w:val="0"/>
                  <w:vAlign w:val="center"/>
                </w:tcPr>
                <w:p w14:paraId="0AC9094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sz w:val="21"/>
                      <w:szCs w:val="21"/>
                    </w:rPr>
                    <w:t>1座1层，建筑面积</w:t>
                  </w:r>
                  <w:r>
                    <w:rPr>
                      <w:rFonts w:hint="default" w:ascii="Times New Roman" w:hAnsi="Times New Roman" w:eastAsia="宋体" w:cs="Times New Roman"/>
                      <w:color w:val="auto"/>
                      <w:kern w:val="0"/>
                      <w:sz w:val="21"/>
                      <w:szCs w:val="21"/>
                      <w:lang w:val="en-US" w:eastAsia="zh-CN"/>
                    </w:rPr>
                    <w:t>2800</w:t>
                  </w:r>
                  <w:r>
                    <w:rPr>
                      <w:rFonts w:hint="default" w:ascii="Times New Roman" w:hAnsi="Times New Roman" w:eastAsia="宋体" w:cs="Times New Roman"/>
                      <w:color w:val="auto"/>
                      <w:kern w:val="0"/>
                      <w:sz w:val="21"/>
                      <w:szCs w:val="21"/>
                    </w:rPr>
                    <w:t>m</w:t>
                  </w:r>
                  <w:r>
                    <w:rPr>
                      <w:rFonts w:hint="default" w:ascii="Times New Roman" w:hAnsi="Times New Roman" w:eastAsia="宋体" w:cs="Times New Roman"/>
                      <w:color w:val="auto"/>
                      <w:kern w:val="0"/>
                      <w:sz w:val="21"/>
                      <w:szCs w:val="21"/>
                      <w:vertAlign w:val="superscript"/>
                    </w:rPr>
                    <w:t>2</w:t>
                  </w:r>
                  <w:r>
                    <w:rPr>
                      <w:rFonts w:hint="default" w:ascii="Times New Roman" w:hAnsi="Times New Roman" w:eastAsia="宋体" w:cs="Times New Roman"/>
                      <w:color w:val="auto"/>
                      <w:kern w:val="0"/>
                      <w:sz w:val="21"/>
                      <w:szCs w:val="21"/>
                    </w:rPr>
                    <w:t>，钢结构，其中包括</w:t>
                  </w:r>
                  <w:r>
                    <w:rPr>
                      <w:rFonts w:hint="default" w:ascii="Times New Roman" w:hAnsi="Times New Roman" w:eastAsia="宋体" w:cs="Times New Roman"/>
                      <w:color w:val="auto"/>
                      <w:sz w:val="21"/>
                      <w:szCs w:val="21"/>
                      <w:lang w:eastAsia="zh-CN"/>
                    </w:rPr>
                    <w:t>翻抛车间</w:t>
                  </w:r>
                  <w:r>
                    <w:rPr>
                      <w:rFonts w:hint="default" w:ascii="Times New Roman" w:hAnsi="Times New Roman" w:eastAsia="宋体" w:cs="Times New Roman"/>
                      <w:bCs/>
                      <w:color w:val="auto"/>
                      <w:sz w:val="21"/>
                      <w:szCs w:val="21"/>
                      <w:lang w:val="en-US" w:eastAsia="zh-CN"/>
                    </w:rPr>
                    <w:t>1400</w:t>
                  </w:r>
                  <w:r>
                    <w:rPr>
                      <w:rFonts w:hint="default" w:ascii="Times New Roman" w:hAnsi="Times New Roman" w:eastAsia="宋体" w:cs="Times New Roman"/>
                      <w:color w:val="auto"/>
                      <w:kern w:val="0"/>
                      <w:sz w:val="21"/>
                      <w:szCs w:val="21"/>
                    </w:rPr>
                    <w:t>m</w:t>
                  </w:r>
                  <w:r>
                    <w:rPr>
                      <w:rFonts w:hint="default" w:ascii="Times New Roman" w:hAnsi="Times New Roman" w:eastAsia="宋体" w:cs="Times New Roman"/>
                      <w:color w:val="auto"/>
                      <w:kern w:val="0"/>
                      <w:sz w:val="21"/>
                      <w:szCs w:val="21"/>
                      <w:vertAlign w:val="superscript"/>
                    </w:rPr>
                    <w:t>2</w:t>
                  </w:r>
                  <w:r>
                    <w:rPr>
                      <w:rFonts w:hint="default" w:ascii="Times New Roman" w:hAnsi="Times New Roman" w:eastAsia="宋体" w:cs="Times New Roman"/>
                      <w:bCs/>
                      <w:color w:val="auto"/>
                      <w:sz w:val="21"/>
                      <w:szCs w:val="21"/>
                      <w:lang w:val="en-US" w:eastAsia="zh-CN"/>
                    </w:rPr>
                    <w:t>、烘干车间</w:t>
                  </w:r>
                  <w:r>
                    <w:rPr>
                      <w:rFonts w:hint="default" w:ascii="Times New Roman" w:hAnsi="Times New Roman" w:eastAsia="宋体" w:cs="Times New Roman"/>
                      <w:color w:val="auto"/>
                      <w:kern w:val="0"/>
                      <w:sz w:val="21"/>
                      <w:szCs w:val="21"/>
                      <w:lang w:val="en-US" w:eastAsia="zh-CN" w:bidi="ar"/>
                    </w:rPr>
                    <w:t>1200</w:t>
                  </w:r>
                  <w:r>
                    <w:rPr>
                      <w:rFonts w:hint="default" w:ascii="Times New Roman" w:hAnsi="Times New Roman" w:eastAsia="宋体" w:cs="Times New Roman"/>
                      <w:color w:val="auto"/>
                      <w:kern w:val="0"/>
                      <w:sz w:val="21"/>
                      <w:szCs w:val="21"/>
                    </w:rPr>
                    <w:t>m</w:t>
                  </w:r>
                  <w:r>
                    <w:rPr>
                      <w:rFonts w:hint="default" w:ascii="Times New Roman" w:hAnsi="Times New Roman" w:eastAsia="宋体" w:cs="Times New Roman"/>
                      <w:color w:val="auto"/>
                      <w:kern w:val="0"/>
                      <w:sz w:val="21"/>
                      <w:szCs w:val="21"/>
                      <w:vertAlign w:val="superscript"/>
                    </w:rPr>
                    <w:t>2</w:t>
                  </w:r>
                  <w:r>
                    <w:rPr>
                      <w:rFonts w:hint="default" w:ascii="Times New Roman" w:hAnsi="Times New Roman" w:eastAsia="宋体" w:cs="Times New Roman"/>
                      <w:color w:val="auto"/>
                      <w:kern w:val="0"/>
                      <w:sz w:val="21"/>
                      <w:szCs w:val="21"/>
                      <w:lang w:val="en-US" w:eastAsia="zh-CN" w:bidi="ar"/>
                    </w:rPr>
                    <w:t>、</w:t>
                  </w:r>
                  <w:r>
                    <w:rPr>
                      <w:rFonts w:hint="default" w:ascii="Times New Roman" w:hAnsi="Times New Roman" w:eastAsia="宋体" w:cs="Times New Roman"/>
                      <w:bCs/>
                      <w:color w:val="auto"/>
                      <w:sz w:val="21"/>
                      <w:szCs w:val="21"/>
                      <w:lang w:val="en-US" w:eastAsia="zh-CN"/>
                    </w:rPr>
                    <w:t>筛分生产区200</w:t>
                  </w:r>
                  <w:r>
                    <w:rPr>
                      <w:rFonts w:hint="default" w:ascii="Times New Roman" w:hAnsi="Times New Roman" w:eastAsia="宋体" w:cs="Times New Roman"/>
                      <w:color w:val="auto"/>
                      <w:kern w:val="0"/>
                      <w:sz w:val="21"/>
                      <w:szCs w:val="21"/>
                    </w:rPr>
                    <w:t>m</w:t>
                  </w:r>
                  <w:r>
                    <w:rPr>
                      <w:rFonts w:hint="default" w:ascii="Times New Roman" w:hAnsi="Times New Roman" w:eastAsia="宋体" w:cs="Times New Roman"/>
                      <w:color w:val="auto"/>
                      <w:kern w:val="0"/>
                      <w:sz w:val="21"/>
                      <w:szCs w:val="21"/>
                      <w:vertAlign w:val="superscript"/>
                    </w:rPr>
                    <w:t>2</w:t>
                  </w:r>
                </w:p>
              </w:tc>
              <w:tc>
                <w:tcPr>
                  <w:tcW w:w="3184" w:type="dxa"/>
                  <w:noWrap w:val="0"/>
                  <w:vAlign w:val="center"/>
                </w:tcPr>
                <w:p w14:paraId="4AF0F2AE">
                  <w:pPr>
                    <w:keepNext w:val="0"/>
                    <w:keepLines w:val="0"/>
                    <w:pageBreakBefore w:val="0"/>
                    <w:kinsoku/>
                    <w:wordWrap/>
                    <w:overflowPunct/>
                    <w:topLinePunct/>
                    <w:autoSpaceDE/>
                    <w:autoSpaceDN/>
                    <w:bidi w:val="0"/>
                    <w:adjustRightInd/>
                    <w:snapToGrid/>
                    <w:spacing w:line="280" w:lineRule="exact"/>
                    <w:ind w:firstLine="0" w:firstLineChars="0"/>
                    <w:jc w:val="center"/>
                    <w:textAlignment w:val="auto"/>
                    <w:rPr>
                      <w:rFonts w:hint="default" w:ascii="Times New Roman" w:hAnsi="Times New Roman" w:eastAsia="宋体" w:cs="Times New Roman"/>
                      <w:snapToGrid w:val="0"/>
                      <w:color w:val="auto"/>
                      <w:kern w:val="0"/>
                      <w:sz w:val="21"/>
                      <w:szCs w:val="21"/>
                      <w:vertAlign w:val="baseline"/>
                      <w:lang w:val="en-US" w:eastAsia="zh-CN" w:bidi="ar-SA"/>
                    </w:rPr>
                  </w:pPr>
                  <w:r>
                    <w:rPr>
                      <w:rFonts w:hint="default" w:ascii="Times New Roman" w:hAnsi="Times New Roman" w:eastAsia="宋体" w:cs="Times New Roman"/>
                      <w:color w:val="auto"/>
                      <w:kern w:val="0"/>
                      <w:sz w:val="21"/>
                      <w:szCs w:val="24"/>
                      <w:highlight w:val="none"/>
                      <w:vertAlign w:val="baseline"/>
                      <w:lang w:val="en-US" w:eastAsia="zh-CN" w:bidi="ar-SA"/>
                    </w:rPr>
                    <w:t>原有2800m</w:t>
                  </w:r>
                  <w:r>
                    <w:rPr>
                      <w:rFonts w:hint="default" w:ascii="Times New Roman" w:hAnsi="Times New Roman" w:eastAsia="宋体" w:cs="Times New Roman"/>
                      <w:color w:val="auto"/>
                      <w:kern w:val="0"/>
                      <w:sz w:val="21"/>
                      <w:szCs w:val="24"/>
                      <w:highlight w:val="none"/>
                      <w:vertAlign w:val="superscript"/>
                      <w:lang w:val="en-US" w:eastAsia="zh-CN" w:bidi="ar-SA"/>
                    </w:rPr>
                    <w:t>2</w:t>
                  </w:r>
                  <w:r>
                    <w:rPr>
                      <w:rFonts w:hint="default" w:ascii="Times New Roman" w:hAnsi="Times New Roman" w:eastAsia="宋体" w:cs="Times New Roman"/>
                      <w:color w:val="auto"/>
                      <w:kern w:val="0"/>
                      <w:sz w:val="21"/>
                      <w:szCs w:val="24"/>
                      <w:highlight w:val="none"/>
                      <w:vertAlign w:val="baseline"/>
                      <w:lang w:val="en-US" w:eastAsia="zh-CN" w:bidi="ar-SA"/>
                    </w:rPr>
                    <w:t>的生产车间改建为成品仓库，厂区内新增一座500m</w:t>
                  </w:r>
                  <w:r>
                    <w:rPr>
                      <w:rFonts w:hint="default" w:ascii="Times New Roman" w:hAnsi="Times New Roman" w:eastAsia="宋体" w:cs="Times New Roman"/>
                      <w:color w:val="auto"/>
                      <w:kern w:val="0"/>
                      <w:sz w:val="21"/>
                      <w:szCs w:val="24"/>
                      <w:highlight w:val="none"/>
                      <w:vertAlign w:val="superscript"/>
                      <w:lang w:val="en-US" w:eastAsia="zh-CN" w:bidi="ar-SA"/>
                    </w:rPr>
                    <w:t>2</w:t>
                  </w:r>
                  <w:r>
                    <w:rPr>
                      <w:rFonts w:hint="default" w:ascii="Times New Roman" w:hAnsi="Times New Roman" w:eastAsia="宋体" w:cs="Times New Roman"/>
                      <w:color w:val="auto"/>
                      <w:kern w:val="0"/>
                      <w:sz w:val="21"/>
                      <w:szCs w:val="24"/>
                      <w:highlight w:val="none"/>
                      <w:vertAlign w:val="baseline"/>
                      <w:lang w:val="en-US" w:eastAsia="zh-CN" w:bidi="ar-SA"/>
                    </w:rPr>
                    <w:t>的生产车间，去除单独的烘干、翻抛工艺。</w:t>
                  </w:r>
                </w:p>
              </w:tc>
              <w:tc>
                <w:tcPr>
                  <w:tcW w:w="579" w:type="dxa"/>
                  <w:noWrap w:val="0"/>
                  <w:vAlign w:val="center"/>
                </w:tcPr>
                <w:p w14:paraId="2DF3EA50">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已建</w:t>
                  </w:r>
                </w:p>
              </w:tc>
              <w:tc>
                <w:tcPr>
                  <w:tcW w:w="581" w:type="dxa"/>
                  <w:noWrap w:val="0"/>
                  <w:vAlign w:val="center"/>
                </w:tcPr>
                <w:p w14:paraId="5E1569E1">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实际车间占地面积减少</w:t>
                  </w:r>
                </w:p>
              </w:tc>
            </w:tr>
            <w:tr w14:paraId="2EBFA4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30" w:type="dxa"/>
                  <w:vMerge w:val="continue"/>
                  <w:noWrap w:val="0"/>
                  <w:vAlign w:val="center"/>
                </w:tcPr>
                <w:p w14:paraId="57A8DF7E">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rPr>
                  </w:pPr>
                </w:p>
              </w:tc>
              <w:tc>
                <w:tcPr>
                  <w:tcW w:w="646" w:type="dxa"/>
                  <w:noWrap w:val="0"/>
                  <w:vAlign w:val="center"/>
                </w:tcPr>
                <w:p w14:paraId="422B6785">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1"/>
                      <w:lang w:val="en-US" w:eastAsia="zh-CN" w:bidi="ar"/>
                    </w:rPr>
                    <w:t>厌氧反应池</w:t>
                  </w:r>
                </w:p>
              </w:tc>
              <w:tc>
                <w:tcPr>
                  <w:tcW w:w="3184" w:type="dxa"/>
                  <w:noWrap w:val="0"/>
                  <w:vAlign w:val="center"/>
                </w:tcPr>
                <w:p w14:paraId="7346C6F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sz w:val="21"/>
                      <w:szCs w:val="21"/>
                      <w:lang w:val="en-US" w:eastAsia="zh-CN"/>
                    </w:rPr>
                    <w:t>2座，容积1200m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vertAlign w:val="baseline"/>
                      <w:lang w:val="en-US" w:eastAsia="zh-CN"/>
                    </w:rPr>
                    <w:t>（60m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vertAlign w:val="baseline"/>
                      <w:lang w:val="en-US" w:eastAsia="zh-CN"/>
                    </w:rPr>
                    <w:t>×10m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vertAlign w:val="baseline"/>
                      <w:lang w:val="en-US" w:eastAsia="zh-CN"/>
                    </w:rPr>
                    <w:t>×2m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vertAlign w:val="baseline"/>
                      <w:lang w:val="en-US" w:eastAsia="zh-CN"/>
                    </w:rPr>
                    <w:t>）</w:t>
                  </w:r>
                </w:p>
              </w:tc>
              <w:tc>
                <w:tcPr>
                  <w:tcW w:w="3184" w:type="dxa"/>
                  <w:noWrap w:val="0"/>
                  <w:vAlign w:val="center"/>
                </w:tcPr>
                <w:p w14:paraId="7E1767A6">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w:t>
                  </w:r>
                </w:p>
              </w:tc>
              <w:tc>
                <w:tcPr>
                  <w:tcW w:w="579" w:type="dxa"/>
                  <w:noWrap w:val="0"/>
                  <w:vAlign w:val="center"/>
                </w:tcPr>
                <w:p w14:paraId="2DB9636F">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4"/>
                      <w:highlight w:val="none"/>
                      <w:lang w:val="en-US" w:eastAsia="zh-CN" w:bidi="ar-SA"/>
                    </w:rPr>
                    <w:t>/</w:t>
                  </w:r>
                </w:p>
              </w:tc>
              <w:tc>
                <w:tcPr>
                  <w:tcW w:w="581" w:type="dxa"/>
                  <w:noWrap w:val="0"/>
                  <w:vAlign w:val="center"/>
                </w:tcPr>
                <w:p w14:paraId="11FE5FC5">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未建设</w:t>
                  </w:r>
                </w:p>
              </w:tc>
            </w:tr>
            <w:tr w14:paraId="7FB2E5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52" w:hRule="atLeast"/>
                <w:jc w:val="center"/>
              </w:trPr>
              <w:tc>
                <w:tcPr>
                  <w:tcW w:w="330" w:type="dxa"/>
                  <w:vMerge w:val="continue"/>
                  <w:noWrap w:val="0"/>
                  <w:vAlign w:val="center"/>
                </w:tcPr>
                <w:p w14:paraId="4A898960">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rPr>
                  </w:pPr>
                </w:p>
              </w:tc>
              <w:tc>
                <w:tcPr>
                  <w:tcW w:w="646" w:type="dxa"/>
                  <w:noWrap w:val="0"/>
                  <w:vAlign w:val="center"/>
                </w:tcPr>
                <w:p w14:paraId="64B718EF">
                  <w:pPr>
                    <w:widowControl w:val="0"/>
                    <w:bidi w:val="0"/>
                    <w:spacing w:line="320" w:lineRule="exact"/>
                    <w:ind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发酵罐区</w:t>
                  </w:r>
                </w:p>
              </w:tc>
              <w:tc>
                <w:tcPr>
                  <w:tcW w:w="3184" w:type="dxa"/>
                  <w:noWrap w:val="0"/>
                  <w:vAlign w:val="center"/>
                </w:tcPr>
                <w:p w14:paraId="326AD874">
                  <w:pPr>
                    <w:widowControl w:val="0"/>
                    <w:bidi w:val="0"/>
                    <w:spacing w:line="320" w:lineRule="exact"/>
                    <w:ind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kern w:val="0"/>
                      <w:sz w:val="21"/>
                      <w:szCs w:val="24"/>
                      <w:highlight w:val="none"/>
                      <w:lang w:val="en-US" w:eastAsia="zh-CN" w:bidi="ar-SA"/>
                    </w:rPr>
                    <w:t>/</w:t>
                  </w:r>
                </w:p>
              </w:tc>
              <w:tc>
                <w:tcPr>
                  <w:tcW w:w="3184" w:type="dxa"/>
                  <w:noWrap w:val="0"/>
                  <w:vAlign w:val="center"/>
                </w:tcPr>
                <w:p w14:paraId="3B26C105">
                  <w:pPr>
                    <w:widowControl w:val="0"/>
                    <w:bidi w:val="0"/>
                    <w:spacing w:line="320" w:lineRule="exact"/>
                    <w:ind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建设11座容积为120m</w:t>
                  </w:r>
                  <w:r>
                    <w:rPr>
                      <w:rFonts w:hint="default" w:ascii="Times New Roman" w:hAnsi="Times New Roman" w:eastAsia="宋体" w:cs="Times New Roman"/>
                      <w:color w:val="auto"/>
                      <w:sz w:val="21"/>
                      <w:szCs w:val="21"/>
                      <w:vertAlign w:val="superscript"/>
                      <w:lang w:val="en-US" w:eastAsia="zh-CN" w:bidi="ar-SA"/>
                    </w:rPr>
                    <w:t>3</w:t>
                  </w:r>
                  <w:r>
                    <w:rPr>
                      <w:rFonts w:hint="default" w:ascii="Times New Roman" w:hAnsi="Times New Roman" w:eastAsia="宋体" w:cs="Times New Roman"/>
                      <w:color w:val="auto"/>
                      <w:sz w:val="21"/>
                      <w:szCs w:val="21"/>
                      <w:lang w:val="en-US" w:eastAsia="zh-CN" w:bidi="ar-SA"/>
                    </w:rPr>
                    <w:t>的发酵罐，内含搅拌、发酵、烘干工段。</w:t>
                  </w:r>
                </w:p>
              </w:tc>
              <w:tc>
                <w:tcPr>
                  <w:tcW w:w="579" w:type="dxa"/>
                  <w:noWrap w:val="0"/>
                  <w:vAlign w:val="center"/>
                </w:tcPr>
                <w:p w14:paraId="47ABA3C7">
                  <w:pPr>
                    <w:widowControl w:val="0"/>
                    <w:bidi w:val="0"/>
                    <w:spacing w:line="320" w:lineRule="exact"/>
                    <w:ind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已建</w:t>
                  </w:r>
                </w:p>
              </w:tc>
              <w:tc>
                <w:tcPr>
                  <w:tcW w:w="581" w:type="dxa"/>
                  <w:noWrap w:val="0"/>
                  <w:vAlign w:val="center"/>
                </w:tcPr>
                <w:p w14:paraId="639B0BBA">
                  <w:pPr>
                    <w:widowControl w:val="0"/>
                    <w:bidi w:val="0"/>
                    <w:spacing w:line="320" w:lineRule="exact"/>
                    <w:ind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变更生产工艺</w:t>
                  </w:r>
                </w:p>
              </w:tc>
            </w:tr>
            <w:tr w14:paraId="2D52B7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92" w:hRule="atLeast"/>
                <w:jc w:val="center"/>
              </w:trPr>
              <w:tc>
                <w:tcPr>
                  <w:tcW w:w="330" w:type="dxa"/>
                  <w:noWrap w:val="0"/>
                  <w:vAlign w:val="center"/>
                </w:tcPr>
                <w:p w14:paraId="63A7BAEC">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bCs/>
                      <w:color w:val="auto"/>
                      <w:kern w:val="0"/>
                      <w:sz w:val="21"/>
                      <w:szCs w:val="24"/>
                      <w:highlight w:val="none"/>
                      <w:lang w:val="en-US" w:eastAsia="zh-CN" w:bidi="ar-SA"/>
                    </w:rPr>
                  </w:pPr>
                  <w:r>
                    <w:rPr>
                      <w:rFonts w:hint="default" w:ascii="Times New Roman" w:hAnsi="Times New Roman" w:eastAsia="宋体" w:cs="Times New Roman"/>
                      <w:bCs/>
                      <w:color w:val="auto"/>
                      <w:kern w:val="0"/>
                      <w:sz w:val="21"/>
                      <w:szCs w:val="24"/>
                      <w:highlight w:val="none"/>
                      <w:lang w:val="en-US" w:eastAsia="zh-CN" w:bidi="ar-SA"/>
                    </w:rPr>
                    <w:t>储运工程</w:t>
                  </w:r>
                </w:p>
              </w:tc>
              <w:tc>
                <w:tcPr>
                  <w:tcW w:w="646" w:type="dxa"/>
                  <w:noWrap w:val="0"/>
                  <w:vAlign w:val="center"/>
                </w:tcPr>
                <w:p w14:paraId="50555459">
                  <w:pPr>
                    <w:widowControl w:val="0"/>
                    <w:bidi w:val="0"/>
                    <w:spacing w:line="320" w:lineRule="exact"/>
                    <w:ind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成品仓库</w:t>
                  </w:r>
                </w:p>
              </w:tc>
              <w:tc>
                <w:tcPr>
                  <w:tcW w:w="3184" w:type="dxa"/>
                  <w:noWrap w:val="0"/>
                  <w:vAlign w:val="center"/>
                </w:tcPr>
                <w:p w14:paraId="32BDD54A">
                  <w:pPr>
                    <w:widowControl w:val="0"/>
                    <w:bidi w:val="0"/>
                    <w:spacing w:line="320" w:lineRule="exact"/>
                    <w:ind w:firstLine="0" w:firstLineChars="0"/>
                    <w:jc w:val="center"/>
                    <w:rPr>
                      <w:rFonts w:hint="default" w:ascii="Times New Roman" w:hAnsi="Times New Roman" w:eastAsia="宋体" w:cs="Times New Roman"/>
                      <w:color w:val="auto"/>
                      <w:kern w:val="0"/>
                      <w:sz w:val="21"/>
                      <w:szCs w:val="24"/>
                      <w:highlight w:val="none"/>
                      <w:vertAlign w:val="baseline"/>
                      <w:lang w:val="en-US" w:eastAsia="zh-CN" w:bidi="ar-SA"/>
                    </w:rPr>
                  </w:pPr>
                  <w:r>
                    <w:rPr>
                      <w:rFonts w:hint="default" w:ascii="Times New Roman" w:hAnsi="Times New Roman" w:eastAsia="宋体" w:cs="Times New Roman"/>
                      <w:color w:val="auto"/>
                      <w:kern w:val="0"/>
                      <w:sz w:val="21"/>
                      <w:szCs w:val="24"/>
                      <w:highlight w:val="none"/>
                      <w:vertAlign w:val="baseline"/>
                      <w:lang w:val="en-US" w:eastAsia="zh-CN" w:bidi="ar-SA"/>
                    </w:rPr>
                    <w:t>/</w:t>
                  </w:r>
                </w:p>
              </w:tc>
              <w:tc>
                <w:tcPr>
                  <w:tcW w:w="3184" w:type="dxa"/>
                  <w:noWrap w:val="0"/>
                  <w:vAlign w:val="center"/>
                </w:tcPr>
                <w:p w14:paraId="6EE6FCF8">
                  <w:pPr>
                    <w:widowControl w:val="0"/>
                    <w:bidi w:val="0"/>
                    <w:spacing w:line="320" w:lineRule="exact"/>
                    <w:ind w:firstLine="0" w:firstLineChars="0"/>
                    <w:jc w:val="center"/>
                    <w:rPr>
                      <w:rFonts w:hint="default" w:ascii="Times New Roman" w:hAnsi="Times New Roman" w:eastAsia="宋体" w:cs="Times New Roman"/>
                      <w:color w:val="auto"/>
                      <w:kern w:val="0"/>
                      <w:sz w:val="21"/>
                      <w:szCs w:val="24"/>
                      <w:highlight w:val="none"/>
                      <w:vertAlign w:val="baseline"/>
                      <w:lang w:val="en-US" w:eastAsia="zh-CN" w:bidi="ar-SA"/>
                    </w:rPr>
                  </w:pPr>
                  <w:r>
                    <w:rPr>
                      <w:rFonts w:hint="default" w:ascii="Times New Roman" w:hAnsi="Times New Roman" w:eastAsia="宋体" w:cs="Times New Roman"/>
                      <w:color w:val="auto"/>
                      <w:kern w:val="0"/>
                      <w:sz w:val="21"/>
                      <w:szCs w:val="24"/>
                      <w:highlight w:val="none"/>
                      <w:vertAlign w:val="baseline"/>
                      <w:lang w:val="en-US" w:eastAsia="zh-CN" w:bidi="ar-SA"/>
                    </w:rPr>
                    <w:t>利用原有2800m</w:t>
                  </w:r>
                  <w:r>
                    <w:rPr>
                      <w:rFonts w:hint="default" w:ascii="Times New Roman" w:hAnsi="Times New Roman" w:eastAsia="宋体" w:cs="Times New Roman"/>
                      <w:color w:val="auto"/>
                      <w:kern w:val="0"/>
                      <w:sz w:val="21"/>
                      <w:szCs w:val="24"/>
                      <w:highlight w:val="none"/>
                      <w:vertAlign w:val="superscript"/>
                      <w:lang w:val="en-US" w:eastAsia="zh-CN" w:bidi="ar-SA"/>
                    </w:rPr>
                    <w:t>2</w:t>
                  </w:r>
                  <w:r>
                    <w:rPr>
                      <w:rFonts w:hint="default" w:ascii="Times New Roman" w:hAnsi="Times New Roman" w:eastAsia="宋体" w:cs="Times New Roman"/>
                      <w:color w:val="auto"/>
                      <w:kern w:val="0"/>
                      <w:sz w:val="21"/>
                      <w:szCs w:val="24"/>
                      <w:highlight w:val="none"/>
                      <w:vertAlign w:val="baseline"/>
                      <w:lang w:val="en-US" w:eastAsia="zh-CN" w:bidi="ar-SA"/>
                    </w:rPr>
                    <w:t>的生产车间，改建为成品仓库</w:t>
                  </w:r>
                </w:p>
              </w:tc>
              <w:tc>
                <w:tcPr>
                  <w:tcW w:w="579" w:type="dxa"/>
                  <w:noWrap w:val="0"/>
                  <w:vAlign w:val="center"/>
                </w:tcPr>
                <w:p w14:paraId="03995404">
                  <w:pPr>
                    <w:widowControl w:val="0"/>
                    <w:bidi w:val="0"/>
                    <w:spacing w:line="320" w:lineRule="exact"/>
                    <w:ind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已建</w:t>
                  </w:r>
                </w:p>
              </w:tc>
              <w:tc>
                <w:tcPr>
                  <w:tcW w:w="581" w:type="dxa"/>
                  <w:noWrap w:val="0"/>
                  <w:vAlign w:val="center"/>
                </w:tcPr>
                <w:p w14:paraId="5F086FE9">
                  <w:pPr>
                    <w:widowControl w:val="0"/>
                    <w:bidi w:val="0"/>
                    <w:spacing w:line="320" w:lineRule="exact"/>
                    <w:ind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原有生产车间改建</w:t>
                  </w:r>
                </w:p>
              </w:tc>
            </w:tr>
            <w:tr w14:paraId="5F66CB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30" w:type="dxa"/>
                  <w:vMerge w:val="restart"/>
                  <w:noWrap w:val="0"/>
                  <w:vAlign w:val="center"/>
                </w:tcPr>
                <w:p w14:paraId="3703F1A7">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bCs/>
                      <w:color w:val="auto"/>
                      <w:kern w:val="0"/>
                      <w:sz w:val="21"/>
                      <w:szCs w:val="24"/>
                      <w:highlight w:val="none"/>
                      <w:lang w:val="en-US" w:eastAsia="zh-CN" w:bidi="ar-SA"/>
                    </w:rPr>
                  </w:pPr>
                  <w:r>
                    <w:rPr>
                      <w:rFonts w:hint="default" w:ascii="Times New Roman" w:hAnsi="Times New Roman" w:eastAsia="宋体" w:cs="Times New Roman"/>
                      <w:bCs/>
                      <w:color w:val="auto"/>
                      <w:kern w:val="0"/>
                      <w:sz w:val="21"/>
                      <w:szCs w:val="24"/>
                      <w:highlight w:val="none"/>
                      <w:lang w:val="en-US" w:eastAsia="zh-CN" w:bidi="ar-SA"/>
                    </w:rPr>
                    <w:t>公用工程</w:t>
                  </w:r>
                </w:p>
              </w:tc>
              <w:tc>
                <w:tcPr>
                  <w:tcW w:w="646" w:type="dxa"/>
                  <w:noWrap w:val="0"/>
                  <w:vAlign w:val="center"/>
                </w:tcPr>
                <w:p w14:paraId="1E31C434">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供水系统</w:t>
                  </w:r>
                </w:p>
              </w:tc>
              <w:tc>
                <w:tcPr>
                  <w:tcW w:w="3184" w:type="dxa"/>
                  <w:noWrap w:val="0"/>
                  <w:vAlign w:val="center"/>
                </w:tcPr>
                <w:p w14:paraId="4F5FC7A4">
                  <w:pPr>
                    <w:widowControl w:val="0"/>
                    <w:overflowPunct w:val="0"/>
                    <w:autoSpaceDE w:val="0"/>
                    <w:autoSpaceDN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生产不涉及用水，不设置生活区，</w:t>
                  </w:r>
                </w:p>
              </w:tc>
              <w:tc>
                <w:tcPr>
                  <w:tcW w:w="3184" w:type="dxa"/>
                  <w:noWrap w:val="0"/>
                  <w:vAlign w:val="center"/>
                </w:tcPr>
                <w:p w14:paraId="5C2E27BF">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生产不涉及用水，不设置生活区</w:t>
                  </w:r>
                </w:p>
              </w:tc>
              <w:tc>
                <w:tcPr>
                  <w:tcW w:w="579" w:type="dxa"/>
                  <w:noWrap w:val="0"/>
                  <w:vAlign w:val="center"/>
                </w:tcPr>
                <w:p w14:paraId="2C166E63">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lang w:val="en-US" w:eastAsia="zh-CN"/>
                    </w:rPr>
                    <w:t>/</w:t>
                  </w:r>
                </w:p>
              </w:tc>
              <w:tc>
                <w:tcPr>
                  <w:tcW w:w="581" w:type="dxa"/>
                  <w:noWrap w:val="0"/>
                  <w:vAlign w:val="center"/>
                </w:tcPr>
                <w:p w14:paraId="5D945E3F">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val="en-US" w:eastAsia="zh-CN"/>
                    </w:rPr>
                    <w:t>未变动</w:t>
                  </w:r>
                </w:p>
              </w:tc>
            </w:tr>
            <w:tr w14:paraId="083E6A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30" w:type="dxa"/>
                  <w:vMerge w:val="continue"/>
                  <w:noWrap w:val="0"/>
                  <w:vAlign w:val="center"/>
                </w:tcPr>
                <w:p w14:paraId="5EE0A7A0">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bCs/>
                      <w:color w:val="auto"/>
                      <w:kern w:val="0"/>
                      <w:sz w:val="21"/>
                      <w:szCs w:val="24"/>
                      <w:highlight w:val="none"/>
                      <w:lang w:val="en-US" w:eastAsia="zh-CN" w:bidi="ar-SA"/>
                    </w:rPr>
                  </w:pPr>
                </w:p>
              </w:tc>
              <w:tc>
                <w:tcPr>
                  <w:tcW w:w="646" w:type="dxa"/>
                  <w:noWrap w:val="0"/>
                  <w:vAlign w:val="center"/>
                </w:tcPr>
                <w:p w14:paraId="439A4B02">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排水系统</w:t>
                  </w:r>
                </w:p>
              </w:tc>
              <w:tc>
                <w:tcPr>
                  <w:tcW w:w="3184" w:type="dxa"/>
                  <w:noWrap w:val="0"/>
                  <w:vAlign w:val="center"/>
                </w:tcPr>
                <w:p w14:paraId="1D8A13DB">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生产不涉及用水，不设置生活区</w:t>
                  </w:r>
                </w:p>
              </w:tc>
              <w:tc>
                <w:tcPr>
                  <w:tcW w:w="3184" w:type="dxa"/>
                  <w:noWrap w:val="0"/>
                  <w:vAlign w:val="center"/>
                </w:tcPr>
                <w:p w14:paraId="2AB79ABA">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生产不涉及用水，不设置生活区</w:t>
                  </w:r>
                </w:p>
              </w:tc>
              <w:tc>
                <w:tcPr>
                  <w:tcW w:w="579" w:type="dxa"/>
                  <w:noWrap w:val="0"/>
                  <w:vAlign w:val="center"/>
                </w:tcPr>
                <w:p w14:paraId="6470C0BE">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lang w:val="en-US" w:eastAsia="zh-CN"/>
                    </w:rPr>
                    <w:t>/</w:t>
                  </w:r>
                </w:p>
              </w:tc>
              <w:tc>
                <w:tcPr>
                  <w:tcW w:w="581" w:type="dxa"/>
                  <w:noWrap w:val="0"/>
                  <w:vAlign w:val="center"/>
                </w:tcPr>
                <w:p w14:paraId="303C62D8">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val="en-US" w:eastAsia="zh-CN"/>
                    </w:rPr>
                    <w:t>未变动</w:t>
                  </w:r>
                </w:p>
              </w:tc>
            </w:tr>
            <w:tr w14:paraId="140B1E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30" w:type="dxa"/>
                  <w:vMerge w:val="continue"/>
                  <w:noWrap w:val="0"/>
                  <w:vAlign w:val="center"/>
                </w:tcPr>
                <w:p w14:paraId="2C6C361D">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bCs/>
                      <w:color w:val="auto"/>
                      <w:kern w:val="0"/>
                      <w:sz w:val="21"/>
                      <w:szCs w:val="24"/>
                      <w:highlight w:val="none"/>
                      <w:lang w:val="en-US" w:eastAsia="zh-CN" w:bidi="ar-SA"/>
                    </w:rPr>
                  </w:pPr>
                </w:p>
              </w:tc>
              <w:tc>
                <w:tcPr>
                  <w:tcW w:w="646" w:type="dxa"/>
                  <w:noWrap w:val="0"/>
                  <w:vAlign w:val="center"/>
                </w:tcPr>
                <w:p w14:paraId="51553C61">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供电系统</w:t>
                  </w:r>
                </w:p>
              </w:tc>
              <w:tc>
                <w:tcPr>
                  <w:tcW w:w="3184" w:type="dxa"/>
                  <w:noWrap w:val="0"/>
                  <w:vAlign w:val="center"/>
                </w:tcPr>
                <w:p w14:paraId="354BD77D">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rPr>
                    <w:t>由</w:t>
                  </w:r>
                  <w:r>
                    <w:rPr>
                      <w:rFonts w:hint="default" w:ascii="Times New Roman" w:hAnsi="Times New Roman" w:eastAsia="宋体" w:cs="Times New Roman"/>
                      <w:color w:val="auto"/>
                      <w:kern w:val="0"/>
                      <w:sz w:val="21"/>
                      <w:szCs w:val="24"/>
                      <w:highlight w:val="none"/>
                      <w:lang w:val="en-US" w:eastAsia="zh-CN" w:bidi="ar-SA"/>
                    </w:rPr>
                    <w:t>市政</w:t>
                  </w:r>
                  <w:r>
                    <w:rPr>
                      <w:rFonts w:hint="default" w:ascii="Times New Roman" w:hAnsi="Times New Roman" w:eastAsia="宋体" w:cs="Times New Roman"/>
                      <w:color w:val="auto"/>
                      <w:sz w:val="21"/>
                      <w:szCs w:val="21"/>
                      <w:highlight w:val="none"/>
                    </w:rPr>
                    <w:t>电力管网供给</w:t>
                  </w:r>
                </w:p>
              </w:tc>
              <w:tc>
                <w:tcPr>
                  <w:tcW w:w="3184" w:type="dxa"/>
                  <w:noWrap w:val="0"/>
                  <w:vAlign w:val="center"/>
                </w:tcPr>
                <w:p w14:paraId="147906C5">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由</w:t>
                  </w:r>
                  <w:r>
                    <w:rPr>
                      <w:rFonts w:hint="default" w:ascii="Times New Roman" w:hAnsi="Times New Roman" w:eastAsia="宋体" w:cs="Times New Roman"/>
                      <w:color w:val="auto"/>
                      <w:kern w:val="0"/>
                      <w:sz w:val="21"/>
                      <w:szCs w:val="24"/>
                      <w:highlight w:val="none"/>
                      <w:lang w:val="en-US" w:eastAsia="zh-CN" w:bidi="ar-SA"/>
                    </w:rPr>
                    <w:t>市政</w:t>
                  </w:r>
                  <w:r>
                    <w:rPr>
                      <w:rFonts w:hint="default" w:ascii="Times New Roman" w:hAnsi="Times New Roman" w:eastAsia="宋体" w:cs="Times New Roman"/>
                      <w:color w:val="auto"/>
                      <w:sz w:val="21"/>
                      <w:szCs w:val="21"/>
                      <w:highlight w:val="none"/>
                    </w:rPr>
                    <w:t>电力管网供给</w:t>
                  </w:r>
                </w:p>
              </w:tc>
              <w:tc>
                <w:tcPr>
                  <w:tcW w:w="579" w:type="dxa"/>
                  <w:noWrap w:val="0"/>
                  <w:vAlign w:val="center"/>
                </w:tcPr>
                <w:p w14:paraId="3B249FB3">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lang w:val="en-US" w:eastAsia="zh-CN"/>
                    </w:rPr>
                    <w:t>依托</w:t>
                  </w:r>
                </w:p>
              </w:tc>
              <w:tc>
                <w:tcPr>
                  <w:tcW w:w="581" w:type="dxa"/>
                  <w:noWrap w:val="0"/>
                  <w:vAlign w:val="center"/>
                </w:tcPr>
                <w:p w14:paraId="1AFC0C34">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val="en-US" w:eastAsia="zh-CN"/>
                    </w:rPr>
                    <w:t>未变动</w:t>
                  </w:r>
                </w:p>
              </w:tc>
            </w:tr>
            <w:tr w14:paraId="0F524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30" w:type="dxa"/>
                  <w:vMerge w:val="continue"/>
                  <w:noWrap w:val="0"/>
                  <w:vAlign w:val="center"/>
                </w:tcPr>
                <w:p w14:paraId="076438C7">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bCs/>
                      <w:color w:val="auto"/>
                      <w:kern w:val="0"/>
                      <w:sz w:val="21"/>
                      <w:szCs w:val="24"/>
                      <w:highlight w:val="none"/>
                      <w:lang w:val="en-US" w:eastAsia="zh-CN" w:bidi="ar-SA"/>
                    </w:rPr>
                  </w:pPr>
                </w:p>
              </w:tc>
              <w:tc>
                <w:tcPr>
                  <w:tcW w:w="646" w:type="dxa"/>
                  <w:noWrap w:val="0"/>
                  <w:vAlign w:val="center"/>
                </w:tcPr>
                <w:p w14:paraId="522674AE">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供热系统</w:t>
                  </w:r>
                </w:p>
              </w:tc>
              <w:tc>
                <w:tcPr>
                  <w:tcW w:w="3184" w:type="dxa"/>
                  <w:noWrap w:val="0"/>
                  <w:vAlign w:val="center"/>
                </w:tcPr>
                <w:p w14:paraId="37C9048F">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生活供热采用电供暖；生产供热采用电加热</w:t>
                  </w:r>
                </w:p>
              </w:tc>
              <w:tc>
                <w:tcPr>
                  <w:tcW w:w="3184" w:type="dxa"/>
                  <w:noWrap w:val="0"/>
                  <w:vAlign w:val="center"/>
                </w:tcPr>
                <w:p w14:paraId="17D29C45">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kern w:val="0"/>
                      <w:sz w:val="21"/>
                      <w:szCs w:val="24"/>
                      <w:highlight w:val="none"/>
                      <w:lang w:val="en-US" w:eastAsia="zh-CN" w:bidi="ar-SA"/>
                    </w:rPr>
                    <w:t>生活供热采用电暖气采暖；生产供热采用电加热</w:t>
                  </w:r>
                </w:p>
              </w:tc>
              <w:tc>
                <w:tcPr>
                  <w:tcW w:w="579" w:type="dxa"/>
                  <w:noWrap w:val="0"/>
                  <w:vAlign w:val="center"/>
                </w:tcPr>
                <w:p w14:paraId="7A7C627C">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已建</w:t>
                  </w:r>
                </w:p>
              </w:tc>
              <w:tc>
                <w:tcPr>
                  <w:tcW w:w="581" w:type="dxa"/>
                  <w:noWrap w:val="0"/>
                  <w:vAlign w:val="center"/>
                </w:tcPr>
                <w:p w14:paraId="28754D86">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1"/>
                      <w:lang w:val="en-US" w:eastAsia="zh-CN"/>
                    </w:rPr>
                    <w:t>未变动</w:t>
                  </w:r>
                </w:p>
              </w:tc>
            </w:tr>
            <w:tr w14:paraId="5EA280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30" w:type="dxa"/>
                  <w:vMerge w:val="restart"/>
                  <w:noWrap w:val="0"/>
                  <w:vAlign w:val="center"/>
                </w:tcPr>
                <w:p w14:paraId="4354A6D0">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bCs/>
                      <w:color w:val="auto"/>
                      <w:kern w:val="0"/>
                      <w:sz w:val="21"/>
                      <w:szCs w:val="24"/>
                      <w:highlight w:val="none"/>
                      <w:lang w:val="en-US" w:eastAsia="zh-CN" w:bidi="ar-SA"/>
                    </w:rPr>
                  </w:pPr>
                  <w:r>
                    <w:rPr>
                      <w:rFonts w:hint="default" w:ascii="Times New Roman" w:hAnsi="Times New Roman" w:eastAsia="宋体" w:cs="Times New Roman"/>
                      <w:bCs/>
                      <w:color w:val="auto"/>
                      <w:kern w:val="0"/>
                      <w:sz w:val="21"/>
                      <w:szCs w:val="24"/>
                      <w:highlight w:val="none"/>
                      <w:lang w:val="en-US" w:eastAsia="zh-CN" w:bidi="ar-SA"/>
                    </w:rPr>
                    <w:t>环保工程</w:t>
                  </w:r>
                </w:p>
              </w:tc>
              <w:tc>
                <w:tcPr>
                  <w:tcW w:w="646" w:type="dxa"/>
                  <w:noWrap w:val="0"/>
                  <w:vAlign w:val="center"/>
                </w:tcPr>
                <w:p w14:paraId="5AC0D285">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废气治理</w:t>
                  </w:r>
                </w:p>
              </w:tc>
              <w:tc>
                <w:tcPr>
                  <w:tcW w:w="3184" w:type="dxa"/>
                  <w:noWrap w:val="0"/>
                  <w:vAlign w:val="center"/>
                </w:tcPr>
                <w:p w14:paraId="7AB0146C">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生产车间：设置集气罩+袋式除尘+15m排气筒；</w:t>
                  </w:r>
                </w:p>
                <w:p w14:paraId="4ECE9142">
                  <w:pPr>
                    <w:widowControl w:val="0"/>
                    <w:overflowPunct w:val="0"/>
                    <w:autoSpaceDE w:val="0"/>
                    <w:autoSpaceDN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24"/>
                      <w:highlight w:val="yellow"/>
                      <w:lang w:val="en-US" w:eastAsia="zh-CN" w:bidi="ar-SA"/>
                    </w:rPr>
                  </w:pPr>
                  <w:r>
                    <w:rPr>
                      <w:rFonts w:hint="default" w:ascii="Times New Roman" w:hAnsi="Times New Roman" w:eastAsia="宋体" w:cs="Times New Roman"/>
                      <w:color w:val="auto"/>
                      <w:sz w:val="21"/>
                      <w:szCs w:val="21"/>
                      <w:lang w:eastAsia="zh-CN"/>
                    </w:rPr>
                    <w:t>翻抛</w:t>
                  </w:r>
                  <w:r>
                    <w:rPr>
                      <w:rFonts w:hint="default" w:ascii="Times New Roman" w:hAnsi="Times New Roman" w:eastAsia="宋体" w:cs="Times New Roman"/>
                      <w:snapToGrid w:val="0"/>
                      <w:color w:val="auto"/>
                      <w:kern w:val="0"/>
                      <w:sz w:val="21"/>
                      <w:szCs w:val="21"/>
                      <w:lang w:val="en-US" w:eastAsia="zh-CN" w:bidi="ar-SA"/>
                    </w:rPr>
                    <w:t>车间</w:t>
                  </w:r>
                  <w:r>
                    <w:rPr>
                      <w:rFonts w:hint="default" w:ascii="Times New Roman" w:hAnsi="Times New Roman" w:eastAsia="宋体" w:cs="Times New Roman"/>
                      <w:color w:val="auto"/>
                      <w:sz w:val="21"/>
                      <w:szCs w:val="21"/>
                    </w:rPr>
                    <w:t>安装轴流抽风设施使车间处于负压状态，收集的气体送入</w:t>
                  </w:r>
                  <w:r>
                    <w:rPr>
                      <w:rFonts w:hint="default" w:ascii="Times New Roman" w:hAnsi="Times New Roman" w:eastAsia="宋体" w:cs="Times New Roman"/>
                      <w:color w:val="auto"/>
                      <w:sz w:val="21"/>
                      <w:szCs w:val="21"/>
                      <w:lang w:val="en-US" w:eastAsia="zh-CN"/>
                    </w:rPr>
                    <w:t>生物除臭塔</w:t>
                  </w:r>
                  <w:r>
                    <w:rPr>
                      <w:rFonts w:hint="default" w:ascii="Times New Roman" w:hAnsi="Times New Roman" w:eastAsia="宋体" w:cs="Times New Roman"/>
                      <w:color w:val="auto"/>
                      <w:sz w:val="21"/>
                      <w:szCs w:val="21"/>
                    </w:rPr>
                    <w:t>，净化</w:t>
                  </w:r>
                  <w:r>
                    <w:rPr>
                      <w:rFonts w:hint="default" w:ascii="Times New Roman" w:hAnsi="Times New Roman" w:eastAsia="宋体" w:cs="Times New Roman"/>
                      <w:color w:val="auto"/>
                      <w:sz w:val="21"/>
                      <w:szCs w:val="21"/>
                      <w:lang w:val="en-US" w:eastAsia="zh-CN"/>
                    </w:rPr>
                    <w:t>处理后</w:t>
                  </w:r>
                  <w:r>
                    <w:rPr>
                      <w:rFonts w:hint="default" w:ascii="Times New Roman" w:hAnsi="Times New Roman" w:eastAsia="宋体" w:cs="Times New Roman"/>
                      <w:color w:val="auto"/>
                      <w:sz w:val="21"/>
                      <w:szCs w:val="21"/>
                    </w:rPr>
                    <w:t>通过一根15m高的排气筒排放</w:t>
                  </w:r>
                </w:p>
              </w:tc>
              <w:tc>
                <w:tcPr>
                  <w:tcW w:w="3184" w:type="dxa"/>
                  <w:noWrap w:val="0"/>
                  <w:vAlign w:val="center"/>
                </w:tcPr>
                <w:p w14:paraId="6126BE87">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生产车间：设置集气罩+袋式除尘+15m排气筒；</w:t>
                  </w:r>
                </w:p>
                <w:p w14:paraId="21D63B55">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yellow"/>
                      <w:lang w:val="en-US" w:eastAsia="zh-CN" w:bidi="ar-SA"/>
                    </w:rPr>
                  </w:pPr>
                  <w:r>
                    <w:rPr>
                      <w:rFonts w:hint="default" w:ascii="Times New Roman" w:hAnsi="Times New Roman" w:eastAsia="宋体" w:cs="Times New Roman"/>
                      <w:color w:val="auto"/>
                      <w:kern w:val="0"/>
                      <w:sz w:val="21"/>
                      <w:szCs w:val="24"/>
                      <w:highlight w:val="none"/>
                      <w:lang w:val="en-US" w:eastAsia="zh-CN" w:bidi="ar-SA"/>
                    </w:rPr>
                    <w:t>发酵罐区：设置生物除臭进行控制，</w:t>
                  </w:r>
                  <w:r>
                    <w:rPr>
                      <w:rFonts w:hint="default" w:ascii="Times New Roman" w:hAnsi="Times New Roman" w:eastAsia="宋体" w:cs="Times New Roman"/>
                      <w:color w:val="auto"/>
                      <w:sz w:val="21"/>
                      <w:szCs w:val="21"/>
                    </w:rPr>
                    <w:t>净化</w:t>
                  </w:r>
                  <w:r>
                    <w:rPr>
                      <w:rFonts w:hint="default" w:ascii="Times New Roman" w:hAnsi="Times New Roman" w:eastAsia="宋体" w:cs="Times New Roman"/>
                      <w:color w:val="auto"/>
                      <w:sz w:val="21"/>
                      <w:szCs w:val="21"/>
                      <w:lang w:val="en-US" w:eastAsia="zh-CN"/>
                    </w:rPr>
                    <w:t>处理后</w:t>
                  </w:r>
                  <w:r>
                    <w:rPr>
                      <w:rFonts w:hint="default" w:ascii="Times New Roman" w:hAnsi="Times New Roman" w:eastAsia="宋体" w:cs="Times New Roman"/>
                      <w:color w:val="auto"/>
                      <w:sz w:val="21"/>
                      <w:szCs w:val="21"/>
                    </w:rPr>
                    <w:t>通过一根15m高的排气筒排放</w:t>
                  </w:r>
                </w:p>
              </w:tc>
              <w:tc>
                <w:tcPr>
                  <w:tcW w:w="579" w:type="dxa"/>
                  <w:noWrap w:val="0"/>
                  <w:vAlign w:val="center"/>
                </w:tcPr>
                <w:p w14:paraId="07E20F79">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已建</w:t>
                  </w:r>
                </w:p>
              </w:tc>
              <w:tc>
                <w:tcPr>
                  <w:tcW w:w="581" w:type="dxa"/>
                  <w:noWrap w:val="0"/>
                  <w:vAlign w:val="center"/>
                </w:tcPr>
                <w:p w14:paraId="6F331532">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去除翻抛工段</w:t>
                  </w:r>
                </w:p>
              </w:tc>
            </w:tr>
            <w:tr w14:paraId="105175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30" w:type="dxa"/>
                  <w:vMerge w:val="continue"/>
                  <w:noWrap w:val="0"/>
                  <w:vAlign w:val="center"/>
                </w:tcPr>
                <w:p w14:paraId="314B9B17">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p>
              </w:tc>
              <w:tc>
                <w:tcPr>
                  <w:tcW w:w="646" w:type="dxa"/>
                  <w:noWrap w:val="0"/>
                  <w:vAlign w:val="center"/>
                </w:tcPr>
                <w:p w14:paraId="7B039301">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废水治理</w:t>
                  </w:r>
                </w:p>
              </w:tc>
              <w:tc>
                <w:tcPr>
                  <w:tcW w:w="3184" w:type="dxa"/>
                  <w:noWrap w:val="0"/>
                  <w:vAlign w:val="center"/>
                </w:tcPr>
                <w:p w14:paraId="2BC99ABB">
                  <w:pPr>
                    <w:widowControl w:val="0"/>
                    <w:overflowPunct w:val="0"/>
                    <w:autoSpaceDE w:val="0"/>
                    <w:autoSpaceDN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无生产废水产生，无生活污水。</w:t>
                  </w:r>
                </w:p>
              </w:tc>
              <w:tc>
                <w:tcPr>
                  <w:tcW w:w="3184" w:type="dxa"/>
                  <w:noWrap w:val="0"/>
                  <w:vAlign w:val="center"/>
                </w:tcPr>
                <w:p w14:paraId="53C5C5B9">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无生产废水产生，无生活污水。</w:t>
                  </w:r>
                </w:p>
              </w:tc>
              <w:tc>
                <w:tcPr>
                  <w:tcW w:w="579" w:type="dxa"/>
                  <w:noWrap w:val="0"/>
                  <w:vAlign w:val="center"/>
                </w:tcPr>
                <w:p w14:paraId="7D17A562">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sz w:val="21"/>
                      <w:szCs w:val="21"/>
                      <w:lang w:val="en-US" w:eastAsia="zh-CN"/>
                    </w:rPr>
                    <w:t>/</w:t>
                  </w:r>
                </w:p>
              </w:tc>
              <w:tc>
                <w:tcPr>
                  <w:tcW w:w="581" w:type="dxa"/>
                  <w:noWrap w:val="0"/>
                  <w:vAlign w:val="center"/>
                </w:tcPr>
                <w:p w14:paraId="312BD852">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1"/>
                      <w:lang w:val="en-US" w:eastAsia="zh-CN"/>
                    </w:rPr>
                    <w:t>未变动</w:t>
                  </w:r>
                </w:p>
              </w:tc>
            </w:tr>
            <w:tr w14:paraId="55AC27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30" w:type="dxa"/>
                  <w:vMerge w:val="continue"/>
                  <w:noWrap w:val="0"/>
                  <w:vAlign w:val="center"/>
                </w:tcPr>
                <w:p w14:paraId="2AB6745A">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p>
              </w:tc>
              <w:tc>
                <w:tcPr>
                  <w:tcW w:w="646" w:type="dxa"/>
                  <w:vMerge w:val="restart"/>
                  <w:noWrap w:val="0"/>
                  <w:vAlign w:val="center"/>
                </w:tcPr>
                <w:p w14:paraId="05F66BDE">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固废治理</w:t>
                  </w:r>
                </w:p>
              </w:tc>
              <w:tc>
                <w:tcPr>
                  <w:tcW w:w="3184" w:type="dxa"/>
                  <w:noWrap w:val="0"/>
                  <w:vAlign w:val="center"/>
                </w:tcPr>
                <w:p w14:paraId="256AC4DF">
                  <w:pPr>
                    <w:widowControl w:val="0"/>
                    <w:overflowPunct w:val="0"/>
                    <w:autoSpaceDE w:val="0"/>
                    <w:autoSpaceDN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一般工业废物全部合理处置，生活垃圾集中收集后委托环卫部门定期清运</w:t>
                  </w:r>
                  <w:r>
                    <w:rPr>
                      <w:rFonts w:hint="eastAsia" w:cs="Times New Roman"/>
                      <w:color w:val="auto"/>
                      <w:kern w:val="0"/>
                      <w:sz w:val="21"/>
                      <w:szCs w:val="24"/>
                      <w:highlight w:val="none"/>
                      <w:lang w:val="en-US" w:eastAsia="zh-CN" w:bidi="ar-SA"/>
                    </w:rPr>
                    <w:t>。</w:t>
                  </w:r>
                </w:p>
              </w:tc>
              <w:tc>
                <w:tcPr>
                  <w:tcW w:w="3184" w:type="dxa"/>
                  <w:noWrap w:val="0"/>
                  <w:vAlign w:val="center"/>
                </w:tcPr>
                <w:p w14:paraId="0CAF46F2">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一般工业废物全部合理处置，生活垃圾集中收集后委托环卫部门定期清运</w:t>
                  </w:r>
                  <w:r>
                    <w:rPr>
                      <w:rFonts w:hint="eastAsia" w:cs="Times New Roman"/>
                      <w:color w:val="auto"/>
                      <w:kern w:val="0"/>
                      <w:sz w:val="21"/>
                      <w:szCs w:val="24"/>
                      <w:highlight w:val="none"/>
                      <w:lang w:val="en-US" w:eastAsia="zh-CN" w:bidi="ar-SA"/>
                    </w:rPr>
                    <w:t>。</w:t>
                  </w:r>
                </w:p>
              </w:tc>
              <w:tc>
                <w:tcPr>
                  <w:tcW w:w="579" w:type="dxa"/>
                  <w:noWrap w:val="0"/>
                  <w:vAlign w:val="center"/>
                </w:tcPr>
                <w:p w14:paraId="6EBD8B7E">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sz w:val="21"/>
                      <w:szCs w:val="21"/>
                      <w:lang w:val="en-US" w:eastAsia="zh-CN"/>
                    </w:rPr>
                    <w:t>/</w:t>
                  </w:r>
                </w:p>
              </w:tc>
              <w:tc>
                <w:tcPr>
                  <w:tcW w:w="581" w:type="dxa"/>
                  <w:noWrap w:val="0"/>
                  <w:vAlign w:val="center"/>
                </w:tcPr>
                <w:p w14:paraId="22A086BA">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1"/>
                      <w:lang w:val="en-US" w:eastAsia="zh-CN"/>
                    </w:rPr>
                    <w:t>未变动</w:t>
                  </w:r>
                </w:p>
              </w:tc>
            </w:tr>
            <w:tr w14:paraId="6ED843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30" w:type="dxa"/>
                  <w:vMerge w:val="continue"/>
                  <w:noWrap w:val="0"/>
                  <w:vAlign w:val="center"/>
                </w:tcPr>
                <w:p w14:paraId="3E72FCF1">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p>
              </w:tc>
              <w:tc>
                <w:tcPr>
                  <w:tcW w:w="646" w:type="dxa"/>
                  <w:vMerge w:val="continue"/>
                  <w:noWrap w:val="0"/>
                  <w:vAlign w:val="center"/>
                </w:tcPr>
                <w:p w14:paraId="0C045E30">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p>
              </w:tc>
              <w:tc>
                <w:tcPr>
                  <w:tcW w:w="3184" w:type="dxa"/>
                  <w:noWrap w:val="0"/>
                  <w:vAlign w:val="center"/>
                </w:tcPr>
                <w:p w14:paraId="3813DE02">
                  <w:pPr>
                    <w:widowControl w:val="0"/>
                    <w:overflowPunct w:val="0"/>
                    <w:autoSpaceDE w:val="0"/>
                    <w:autoSpaceDN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w:t>
                  </w:r>
                </w:p>
              </w:tc>
              <w:tc>
                <w:tcPr>
                  <w:tcW w:w="3184" w:type="dxa"/>
                  <w:noWrap w:val="0"/>
                  <w:vAlign w:val="center"/>
                </w:tcPr>
                <w:p w14:paraId="02AEFF96">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废机油暂存5m</w:t>
                  </w:r>
                  <w:r>
                    <w:rPr>
                      <w:rFonts w:hint="eastAsia" w:cs="Times New Roman"/>
                      <w:color w:val="auto"/>
                      <w:kern w:val="0"/>
                      <w:sz w:val="21"/>
                      <w:szCs w:val="24"/>
                      <w:highlight w:val="none"/>
                      <w:vertAlign w:val="superscript"/>
                      <w:lang w:val="en-US" w:eastAsia="zh-CN" w:bidi="ar-SA"/>
                    </w:rPr>
                    <w:t>2</w:t>
                  </w:r>
                  <w:r>
                    <w:rPr>
                      <w:rFonts w:hint="eastAsia" w:cs="Times New Roman"/>
                      <w:color w:val="auto"/>
                      <w:kern w:val="0"/>
                      <w:sz w:val="21"/>
                      <w:szCs w:val="24"/>
                      <w:highlight w:val="none"/>
                      <w:lang w:val="en-US" w:eastAsia="zh-CN" w:bidi="ar-SA"/>
                    </w:rPr>
                    <w:t>危险废物贮存库内，定期交由资质单位处置。</w:t>
                  </w:r>
                </w:p>
              </w:tc>
              <w:tc>
                <w:tcPr>
                  <w:tcW w:w="579" w:type="dxa"/>
                  <w:noWrap w:val="0"/>
                  <w:vAlign w:val="center"/>
                </w:tcPr>
                <w:p w14:paraId="533E5438">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4"/>
                      <w:highlight w:val="none"/>
                      <w:lang w:val="en-US" w:eastAsia="zh-CN" w:bidi="ar-SA"/>
                    </w:rPr>
                    <w:t>新建</w:t>
                  </w:r>
                </w:p>
              </w:tc>
              <w:tc>
                <w:tcPr>
                  <w:tcW w:w="581" w:type="dxa"/>
                  <w:noWrap w:val="0"/>
                  <w:vAlign w:val="center"/>
                </w:tcPr>
                <w:p w14:paraId="3E32350F">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新增危险废物贮存库</w:t>
                  </w:r>
                </w:p>
              </w:tc>
            </w:tr>
            <w:tr w14:paraId="4B25CD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30" w:type="dxa"/>
                  <w:vMerge w:val="continue"/>
                  <w:noWrap w:val="0"/>
                  <w:vAlign w:val="center"/>
                </w:tcPr>
                <w:p w14:paraId="1C637FF3">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p>
              </w:tc>
              <w:tc>
                <w:tcPr>
                  <w:tcW w:w="646" w:type="dxa"/>
                  <w:noWrap w:val="0"/>
                  <w:vAlign w:val="center"/>
                </w:tcPr>
                <w:p w14:paraId="68567D83">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噪声治理</w:t>
                  </w:r>
                </w:p>
              </w:tc>
              <w:tc>
                <w:tcPr>
                  <w:tcW w:w="3184" w:type="dxa"/>
                  <w:noWrap w:val="0"/>
                  <w:vAlign w:val="center"/>
                </w:tcPr>
                <w:p w14:paraId="213DA61F">
                  <w:pPr>
                    <w:widowControl w:val="0"/>
                    <w:overflowPunct w:val="0"/>
                    <w:autoSpaceDE w:val="0"/>
                    <w:autoSpaceDN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采取减震、隔声等措施</w:t>
                  </w:r>
                </w:p>
              </w:tc>
              <w:tc>
                <w:tcPr>
                  <w:tcW w:w="3184" w:type="dxa"/>
                  <w:noWrap w:val="0"/>
                  <w:vAlign w:val="center"/>
                </w:tcPr>
                <w:p w14:paraId="17A85941">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采取减震、隔声等措施</w:t>
                  </w:r>
                </w:p>
              </w:tc>
              <w:tc>
                <w:tcPr>
                  <w:tcW w:w="579" w:type="dxa"/>
                  <w:noWrap w:val="0"/>
                  <w:vAlign w:val="center"/>
                </w:tcPr>
                <w:p w14:paraId="44D208B4">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1"/>
                      <w:lang w:val="en-US" w:eastAsia="zh-CN"/>
                    </w:rPr>
                    <w:t>/</w:t>
                  </w:r>
                </w:p>
              </w:tc>
              <w:tc>
                <w:tcPr>
                  <w:tcW w:w="581" w:type="dxa"/>
                  <w:noWrap w:val="0"/>
                  <w:vAlign w:val="center"/>
                </w:tcPr>
                <w:p w14:paraId="7D9AFE22">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1"/>
                      <w:lang w:val="en-US" w:eastAsia="zh-CN"/>
                    </w:rPr>
                    <w:t>/</w:t>
                  </w:r>
                </w:p>
              </w:tc>
            </w:tr>
            <w:tr w14:paraId="1C1AA8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30" w:type="dxa"/>
                  <w:vMerge w:val="continue"/>
                  <w:noWrap w:val="0"/>
                  <w:vAlign w:val="center"/>
                </w:tcPr>
                <w:p w14:paraId="1279FB23">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p>
              </w:tc>
              <w:tc>
                <w:tcPr>
                  <w:tcW w:w="646" w:type="dxa"/>
                  <w:noWrap w:val="0"/>
                  <w:vAlign w:val="center"/>
                </w:tcPr>
                <w:p w14:paraId="76BEAF86">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环境风险</w:t>
                  </w:r>
                </w:p>
              </w:tc>
              <w:tc>
                <w:tcPr>
                  <w:tcW w:w="3184" w:type="dxa"/>
                  <w:noWrap w:val="0"/>
                  <w:vAlign w:val="center"/>
                </w:tcPr>
                <w:p w14:paraId="31A6FD2E">
                  <w:pPr>
                    <w:widowControl w:val="0"/>
                    <w:overflowPunct w:val="0"/>
                    <w:autoSpaceDE w:val="0"/>
                    <w:autoSpaceDN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w:t>
                  </w:r>
                </w:p>
              </w:tc>
              <w:tc>
                <w:tcPr>
                  <w:tcW w:w="3184" w:type="dxa"/>
                  <w:noWrap w:val="0"/>
                  <w:vAlign w:val="center"/>
                </w:tcPr>
                <w:p w14:paraId="2799AF2C">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新增1座5m</w:t>
                  </w:r>
                  <w:r>
                    <w:rPr>
                      <w:rFonts w:hint="eastAsia" w:cs="Times New Roman"/>
                      <w:color w:val="auto"/>
                      <w:kern w:val="0"/>
                      <w:sz w:val="21"/>
                      <w:szCs w:val="24"/>
                      <w:highlight w:val="none"/>
                      <w:vertAlign w:val="superscript"/>
                      <w:lang w:val="en-US" w:eastAsia="zh-CN" w:bidi="ar-SA"/>
                    </w:rPr>
                    <w:t>2</w:t>
                  </w:r>
                  <w:r>
                    <w:rPr>
                      <w:rFonts w:hint="eastAsia" w:cs="Times New Roman"/>
                      <w:color w:val="auto"/>
                      <w:kern w:val="0"/>
                      <w:sz w:val="21"/>
                      <w:szCs w:val="24"/>
                      <w:highlight w:val="none"/>
                      <w:lang w:val="en-US" w:eastAsia="zh-CN" w:bidi="ar-SA"/>
                    </w:rPr>
                    <w:t>危险废物贮存库，用于暂存废机油。</w:t>
                  </w:r>
                </w:p>
              </w:tc>
              <w:tc>
                <w:tcPr>
                  <w:tcW w:w="579" w:type="dxa"/>
                  <w:noWrap w:val="0"/>
                  <w:vAlign w:val="center"/>
                </w:tcPr>
                <w:p w14:paraId="2CDF6D68">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新建</w:t>
                  </w:r>
                </w:p>
              </w:tc>
              <w:tc>
                <w:tcPr>
                  <w:tcW w:w="581" w:type="dxa"/>
                  <w:noWrap w:val="0"/>
                  <w:vAlign w:val="center"/>
                </w:tcPr>
                <w:p w14:paraId="2A2B63C7">
                  <w:pPr>
                    <w:keepNext w:val="0"/>
                    <w:keepLines w:val="0"/>
                    <w:pageBreakBefore w:val="0"/>
                    <w:widowControl w:val="0"/>
                    <w:kinsoku/>
                    <w:wordWrap/>
                    <w:overflowPunct w:val="0"/>
                    <w:topLinePunct w:val="0"/>
                    <w:autoSpaceDE w:val="0"/>
                    <w:autoSpaceDN w:val="0"/>
                    <w:bidi w:val="0"/>
                    <w:adjustRightInd w:val="0"/>
                    <w:snapToGrid w:val="0"/>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sz w:val="21"/>
                      <w:szCs w:val="21"/>
                      <w:lang w:val="en-US" w:eastAsia="zh-CN"/>
                    </w:rPr>
                    <w:t>/</w:t>
                  </w:r>
                </w:p>
              </w:tc>
            </w:tr>
          </w:tbl>
          <w:p w14:paraId="38A214CF">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right="0"/>
              <w:jc w:val="left"/>
              <w:textAlignment w:val="auto"/>
              <w:outlineLvl w:val="1"/>
              <w:rPr>
                <w:rFonts w:hint="default" w:ascii="Times New Roman" w:hAnsi="Times New Roman" w:eastAsia="宋体" w:cs="Times New Roman"/>
                <w:b/>
                <w:color w:val="auto"/>
                <w:sz w:val="24"/>
                <w:szCs w:val="28"/>
                <w:lang w:val="en-US" w:eastAsia="zh-CN" w:bidi="ar-SA"/>
              </w:rPr>
            </w:pPr>
            <w:r>
              <w:rPr>
                <w:rFonts w:hint="eastAsia" w:cs="Times New Roman"/>
                <w:b/>
                <w:color w:val="auto"/>
                <w:sz w:val="24"/>
                <w:szCs w:val="28"/>
                <w:lang w:val="en-US" w:eastAsia="zh-CN" w:bidi="ar-SA"/>
              </w:rPr>
              <w:t>4、</w:t>
            </w:r>
            <w:r>
              <w:rPr>
                <w:rFonts w:hint="default" w:ascii="Times New Roman" w:hAnsi="Times New Roman" w:eastAsia="宋体" w:cs="Times New Roman"/>
                <w:b/>
                <w:color w:val="auto"/>
                <w:sz w:val="24"/>
                <w:szCs w:val="28"/>
                <w:lang w:val="en-US" w:eastAsia="zh-CN" w:bidi="ar-SA"/>
              </w:rPr>
              <w:t>原辅材料及生产设备</w:t>
            </w:r>
          </w:p>
          <w:p w14:paraId="21D4A60A">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right="0" w:firstLine="480" w:firstLineChars="200"/>
              <w:jc w:val="left"/>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1</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原辅材料</w:t>
            </w:r>
            <w:r>
              <w:rPr>
                <w:rFonts w:hint="default" w:ascii="Times New Roman" w:hAnsi="Times New Roman" w:eastAsia="宋体" w:cs="Times New Roman"/>
                <w:color w:val="auto"/>
                <w:lang w:val="en-US" w:eastAsia="zh-CN"/>
              </w:rPr>
              <w:t>及产品方案</w:t>
            </w:r>
          </w:p>
          <w:p w14:paraId="20C82B76">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right="0" w:firstLine="480" w:firstLineChars="200"/>
              <w:jc w:val="left"/>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本项目生产规模变更后，本项目所需原辅材料名称及用量与变更前项目对比见表2.4-1。</w:t>
            </w:r>
          </w:p>
          <w:p w14:paraId="1177E371">
            <w:pPr>
              <w:keepNext w:val="0"/>
              <w:keepLines w:val="0"/>
              <w:pageBreakBefore w:val="0"/>
              <w:widowControl w:val="0"/>
              <w:kinsoku/>
              <w:wordWrap/>
              <w:overflowPunct w:val="0"/>
              <w:topLinePunct w:val="0"/>
              <w:autoSpaceDE w:val="0"/>
              <w:autoSpaceDN w:val="0"/>
              <w:bidi w:val="0"/>
              <w:adjustRightInd w:val="0"/>
              <w:snapToGrid w:val="0"/>
              <w:spacing w:before="0" w:after="0" w:line="240" w:lineRule="auto"/>
              <w:ind w:left="0" w:right="0" w:firstLine="422" w:firstLineChars="200"/>
              <w:jc w:val="center"/>
              <w:textAlignment w:val="auto"/>
              <w:rPr>
                <w:rFonts w:hint="default" w:ascii="Times New Roman" w:hAnsi="Times New Roman" w:eastAsia="宋体" w:cs="Times New Roman"/>
                <w:b/>
                <w:color w:val="auto"/>
                <w:sz w:val="21"/>
                <w:szCs w:val="21"/>
                <w:lang w:val="en-US" w:eastAsia="zh-CN" w:bidi="ar-SA"/>
              </w:rPr>
            </w:pPr>
            <w:r>
              <w:rPr>
                <w:rFonts w:hint="default" w:ascii="Times New Roman" w:hAnsi="Times New Roman" w:eastAsia="宋体" w:cs="Times New Roman"/>
                <w:b/>
                <w:color w:val="auto"/>
                <w:sz w:val="21"/>
                <w:szCs w:val="21"/>
                <w:lang w:val="en-US" w:eastAsia="zh-CN" w:bidi="ar-SA"/>
              </w:rPr>
              <w:t>表2.4-1项目所需原辅材料名称及用量对比情况一览表</w:t>
            </w:r>
          </w:p>
          <w:tbl>
            <w:tblPr>
              <w:tblStyle w:val="22"/>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44"/>
              <w:gridCol w:w="876"/>
              <w:gridCol w:w="683"/>
              <w:gridCol w:w="1142"/>
              <w:gridCol w:w="1142"/>
              <w:gridCol w:w="2741"/>
              <w:gridCol w:w="1476"/>
            </w:tblGrid>
            <w:tr w14:paraId="04B7A1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4" w:type="dxa"/>
                  <w:noWrap w:val="0"/>
                  <w:vAlign w:val="center"/>
                </w:tcPr>
                <w:p w14:paraId="40A92360">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zh-CN" w:eastAsia="zh-CN" w:bidi="ar-SA"/>
                    </w:rPr>
                  </w:pPr>
                  <w:r>
                    <w:rPr>
                      <w:rFonts w:hint="default" w:ascii="Times New Roman" w:hAnsi="Times New Roman" w:eastAsia="宋体" w:cs="Times New Roman"/>
                      <w:color w:val="auto"/>
                      <w:sz w:val="21"/>
                      <w:szCs w:val="21"/>
                      <w:lang w:val="zh-CN" w:eastAsia="zh-CN" w:bidi="ar-SA"/>
                    </w:rPr>
                    <w:t>序号</w:t>
                  </w:r>
                </w:p>
              </w:tc>
              <w:tc>
                <w:tcPr>
                  <w:tcW w:w="876" w:type="dxa"/>
                  <w:noWrap w:val="0"/>
                  <w:vAlign w:val="center"/>
                </w:tcPr>
                <w:p w14:paraId="035E7416">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zh-CN" w:eastAsia="zh-CN" w:bidi="ar-SA"/>
                    </w:rPr>
                  </w:pPr>
                  <w:r>
                    <w:rPr>
                      <w:rFonts w:hint="default" w:ascii="Times New Roman" w:hAnsi="Times New Roman" w:eastAsia="宋体" w:cs="Times New Roman"/>
                      <w:color w:val="auto"/>
                      <w:sz w:val="21"/>
                      <w:szCs w:val="21"/>
                      <w:lang w:val="zh-CN" w:eastAsia="zh-CN" w:bidi="ar-SA"/>
                    </w:rPr>
                    <w:t>名称</w:t>
                  </w:r>
                </w:p>
              </w:tc>
              <w:tc>
                <w:tcPr>
                  <w:tcW w:w="683" w:type="dxa"/>
                  <w:noWrap w:val="0"/>
                  <w:vAlign w:val="center"/>
                </w:tcPr>
                <w:p w14:paraId="1B9CB013">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zh-CN" w:eastAsia="zh-CN" w:bidi="ar-SA"/>
                    </w:rPr>
                  </w:pPr>
                  <w:r>
                    <w:rPr>
                      <w:rFonts w:hint="default" w:ascii="Times New Roman" w:hAnsi="Times New Roman" w:eastAsia="宋体" w:cs="Times New Roman"/>
                      <w:color w:val="auto"/>
                      <w:sz w:val="21"/>
                      <w:szCs w:val="21"/>
                      <w:lang w:val="zh-CN" w:eastAsia="zh-CN" w:bidi="ar-SA"/>
                    </w:rPr>
                    <w:t>单位</w:t>
                  </w:r>
                </w:p>
              </w:tc>
              <w:tc>
                <w:tcPr>
                  <w:tcW w:w="1142" w:type="dxa"/>
                  <w:noWrap w:val="0"/>
                  <w:vAlign w:val="center"/>
                </w:tcPr>
                <w:p w14:paraId="416B6C40">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变更前项目环评设计用量</w:t>
                  </w:r>
                </w:p>
              </w:tc>
              <w:tc>
                <w:tcPr>
                  <w:tcW w:w="1142" w:type="dxa"/>
                  <w:noWrap w:val="0"/>
                  <w:vAlign w:val="center"/>
                </w:tcPr>
                <w:p w14:paraId="3F2617CB">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zh-CN" w:eastAsia="zh-CN" w:bidi="ar-SA"/>
                    </w:rPr>
                  </w:pPr>
                  <w:r>
                    <w:rPr>
                      <w:rFonts w:hint="default" w:ascii="Times New Roman" w:hAnsi="Times New Roman" w:eastAsia="宋体" w:cs="Times New Roman"/>
                      <w:color w:val="auto"/>
                      <w:sz w:val="21"/>
                      <w:szCs w:val="21"/>
                      <w:lang w:val="en-US" w:eastAsia="zh-CN" w:bidi="ar-SA"/>
                    </w:rPr>
                    <w:t>本项目实际</w:t>
                  </w:r>
                  <w:r>
                    <w:rPr>
                      <w:rFonts w:hint="default" w:ascii="Times New Roman" w:hAnsi="Times New Roman" w:eastAsia="宋体" w:cs="Times New Roman"/>
                      <w:color w:val="auto"/>
                      <w:sz w:val="21"/>
                      <w:szCs w:val="21"/>
                      <w:lang w:val="zh-CN" w:eastAsia="zh-CN" w:bidi="ar-SA"/>
                    </w:rPr>
                    <w:t>用量</w:t>
                  </w:r>
                </w:p>
              </w:tc>
              <w:tc>
                <w:tcPr>
                  <w:tcW w:w="2741" w:type="dxa"/>
                  <w:noWrap w:val="0"/>
                  <w:vAlign w:val="center"/>
                </w:tcPr>
                <w:p w14:paraId="48AE668D">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zh-CN" w:eastAsia="zh-CN" w:bidi="ar-SA"/>
                    </w:rPr>
                  </w:pPr>
                  <w:r>
                    <w:rPr>
                      <w:rFonts w:hint="default" w:ascii="Times New Roman" w:hAnsi="Times New Roman" w:eastAsia="宋体" w:cs="Times New Roman"/>
                      <w:color w:val="auto"/>
                      <w:sz w:val="21"/>
                      <w:szCs w:val="21"/>
                      <w:lang w:val="zh-CN" w:eastAsia="zh-CN" w:bidi="ar-SA"/>
                    </w:rPr>
                    <w:t>备注</w:t>
                  </w:r>
                </w:p>
              </w:tc>
              <w:tc>
                <w:tcPr>
                  <w:tcW w:w="1476" w:type="dxa"/>
                  <w:noWrap w:val="0"/>
                  <w:vAlign w:val="center"/>
                </w:tcPr>
                <w:p w14:paraId="76D7450B">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b w:val="0"/>
                      <w:bCs w:val="0"/>
                      <w:color w:val="auto"/>
                      <w:kern w:val="0"/>
                      <w:sz w:val="21"/>
                      <w:szCs w:val="24"/>
                      <w:highlight w:val="none"/>
                      <w:lang w:val="en-US" w:eastAsia="zh-CN" w:bidi="ar-SA"/>
                    </w:rPr>
                    <w:t>变动情况</w:t>
                  </w:r>
                </w:p>
              </w:tc>
            </w:tr>
            <w:tr w14:paraId="00BE8D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4" w:type="dxa"/>
                  <w:noWrap w:val="0"/>
                  <w:vAlign w:val="center"/>
                </w:tcPr>
                <w:p w14:paraId="24090A67">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zh-CN" w:eastAsia="zh-CN" w:bidi="ar-SA"/>
                    </w:rPr>
                  </w:pPr>
                  <w:r>
                    <w:rPr>
                      <w:rFonts w:hint="default" w:ascii="Times New Roman" w:hAnsi="Times New Roman" w:eastAsia="宋体" w:cs="Times New Roman"/>
                      <w:color w:val="auto"/>
                      <w:sz w:val="21"/>
                      <w:szCs w:val="21"/>
                      <w:lang w:val="zh-CN" w:eastAsia="zh-CN" w:bidi="ar-SA"/>
                    </w:rPr>
                    <w:t>一</w:t>
                  </w:r>
                </w:p>
              </w:tc>
              <w:tc>
                <w:tcPr>
                  <w:tcW w:w="8060" w:type="dxa"/>
                  <w:gridSpan w:val="6"/>
                  <w:noWrap w:val="0"/>
                  <w:vAlign w:val="center"/>
                </w:tcPr>
                <w:p w14:paraId="51ECADA2">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zh-CN" w:eastAsia="zh-CN" w:bidi="ar-SA"/>
                    </w:rPr>
                  </w:pPr>
                  <w:r>
                    <w:rPr>
                      <w:rFonts w:hint="default" w:ascii="Times New Roman" w:hAnsi="Times New Roman" w:eastAsia="宋体" w:cs="Times New Roman"/>
                      <w:color w:val="auto"/>
                      <w:sz w:val="21"/>
                      <w:szCs w:val="21"/>
                      <w:lang w:val="zh-CN" w:eastAsia="zh-CN" w:bidi="ar-SA"/>
                    </w:rPr>
                    <w:t>原辅料消耗</w:t>
                  </w:r>
                </w:p>
              </w:tc>
            </w:tr>
            <w:tr w14:paraId="618A65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4" w:type="dxa"/>
                  <w:noWrap w:val="0"/>
                  <w:vAlign w:val="center"/>
                </w:tcPr>
                <w:p w14:paraId="20C37D3F">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zh-CN" w:eastAsia="zh-CN" w:bidi="ar-SA"/>
                    </w:rPr>
                  </w:pPr>
                  <w:r>
                    <w:rPr>
                      <w:rFonts w:hint="default" w:ascii="Times New Roman" w:hAnsi="Times New Roman" w:eastAsia="宋体" w:cs="Times New Roman"/>
                      <w:color w:val="auto"/>
                      <w:sz w:val="21"/>
                      <w:szCs w:val="21"/>
                      <w:lang w:val="zh-CN" w:eastAsia="zh-CN" w:bidi="ar-SA"/>
                    </w:rPr>
                    <w:t>1</w:t>
                  </w:r>
                </w:p>
              </w:tc>
              <w:tc>
                <w:tcPr>
                  <w:tcW w:w="876" w:type="dxa"/>
                  <w:noWrap w:val="0"/>
                  <w:vAlign w:val="center"/>
                </w:tcPr>
                <w:p w14:paraId="46D6A3F9">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1"/>
                      <w:lang w:val="zh-CN" w:eastAsia="zh-CN" w:bidi="ar-SA"/>
                    </w:rPr>
                  </w:pPr>
                  <w:r>
                    <w:rPr>
                      <w:rFonts w:hint="default" w:ascii="Times New Roman" w:hAnsi="Times New Roman" w:eastAsia="宋体" w:cs="Times New Roman"/>
                      <w:color w:val="auto"/>
                      <w:sz w:val="21"/>
                      <w:szCs w:val="21"/>
                      <w:lang w:val="zh-CN" w:eastAsia="zh-CN" w:bidi="ar-SA"/>
                    </w:rPr>
                    <w:t>鸡粪（</w:t>
                  </w:r>
                  <w:r>
                    <w:rPr>
                      <w:rFonts w:hint="default" w:ascii="Times New Roman" w:hAnsi="Times New Roman" w:eastAsia="宋体" w:cs="Times New Roman"/>
                      <w:color w:val="auto"/>
                      <w:sz w:val="21"/>
                      <w:szCs w:val="21"/>
                      <w:lang w:val="en-US" w:eastAsia="zh-CN" w:bidi="ar-SA"/>
                    </w:rPr>
                    <w:t>40</w:t>
                  </w:r>
                  <w:r>
                    <w:rPr>
                      <w:rFonts w:hint="default" w:ascii="Times New Roman" w:hAnsi="Times New Roman" w:eastAsia="宋体" w:cs="Times New Roman"/>
                      <w:color w:val="auto"/>
                      <w:sz w:val="21"/>
                      <w:szCs w:val="21"/>
                      <w:lang w:val="zh-CN" w:eastAsia="zh-CN" w:bidi="ar-SA"/>
                    </w:rPr>
                    <w:t>%水分）</w:t>
                  </w:r>
                </w:p>
              </w:tc>
              <w:tc>
                <w:tcPr>
                  <w:tcW w:w="683" w:type="dxa"/>
                  <w:noWrap w:val="0"/>
                  <w:vAlign w:val="center"/>
                </w:tcPr>
                <w:p w14:paraId="7B96C6FD">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zh-CN" w:eastAsia="zh-CN" w:bidi="ar-SA"/>
                    </w:rPr>
                  </w:pPr>
                  <w:r>
                    <w:rPr>
                      <w:rFonts w:hint="default" w:ascii="Times New Roman" w:hAnsi="Times New Roman" w:eastAsia="宋体" w:cs="Times New Roman"/>
                      <w:color w:val="auto"/>
                      <w:sz w:val="21"/>
                      <w:szCs w:val="21"/>
                      <w:lang w:val="zh-CN" w:eastAsia="zh-CN" w:bidi="ar-SA"/>
                    </w:rPr>
                    <w:t>吨/年</w:t>
                  </w:r>
                </w:p>
              </w:tc>
              <w:tc>
                <w:tcPr>
                  <w:tcW w:w="1142" w:type="dxa"/>
                  <w:noWrap w:val="0"/>
                  <w:vAlign w:val="center"/>
                </w:tcPr>
                <w:p w14:paraId="7CE76DEA">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1"/>
                      <w:highlight w:val="yellow"/>
                      <w:lang w:val="en-US" w:eastAsia="zh-CN" w:bidi="ar-SA"/>
                    </w:rPr>
                  </w:pPr>
                  <w:r>
                    <w:rPr>
                      <w:rFonts w:hint="default" w:ascii="Times New Roman" w:hAnsi="Times New Roman" w:eastAsia="宋体" w:cs="Times New Roman"/>
                      <w:color w:val="auto"/>
                      <w:sz w:val="21"/>
                      <w:szCs w:val="21"/>
                      <w:highlight w:val="none"/>
                      <w:lang w:val="en-US" w:eastAsia="zh-CN" w:bidi="ar-SA"/>
                    </w:rPr>
                    <w:t>5000</w:t>
                  </w:r>
                </w:p>
              </w:tc>
              <w:tc>
                <w:tcPr>
                  <w:tcW w:w="1142" w:type="dxa"/>
                  <w:noWrap w:val="0"/>
                  <w:vAlign w:val="center"/>
                </w:tcPr>
                <w:p w14:paraId="439EF968">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1"/>
                      <w:highlight w:val="yellow"/>
                      <w:lang w:val="en-US" w:eastAsia="zh-CN" w:bidi="ar-SA"/>
                    </w:rPr>
                  </w:pPr>
                  <w:r>
                    <w:rPr>
                      <w:rFonts w:hint="default" w:ascii="Times New Roman" w:hAnsi="Times New Roman" w:eastAsia="宋体" w:cs="Times New Roman"/>
                      <w:color w:val="auto"/>
                      <w:sz w:val="21"/>
                      <w:szCs w:val="21"/>
                      <w:highlight w:val="none"/>
                      <w:lang w:val="en-US" w:eastAsia="zh-CN" w:bidi="ar-SA"/>
                    </w:rPr>
                    <w:t>8350</w:t>
                  </w:r>
                </w:p>
              </w:tc>
              <w:tc>
                <w:tcPr>
                  <w:tcW w:w="2741" w:type="dxa"/>
                  <w:noWrap w:val="0"/>
                  <w:vAlign w:val="center"/>
                </w:tcPr>
                <w:p w14:paraId="357D3659">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kern w:val="0"/>
                      <w:sz w:val="21"/>
                      <w:szCs w:val="21"/>
                      <w:lang w:eastAsia="zh-CN"/>
                    </w:rPr>
                    <w:t>新疆玛纳斯县2018年数字农业建设试点项目（蛋鸡产业园）</w:t>
                  </w:r>
                </w:p>
              </w:tc>
              <w:tc>
                <w:tcPr>
                  <w:tcW w:w="1476" w:type="dxa"/>
                  <w:noWrap w:val="0"/>
                  <w:vAlign w:val="center"/>
                </w:tcPr>
                <w:p w14:paraId="2AEBFD85">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4"/>
                      <w:lang w:val="en-US" w:eastAsia="zh-CN"/>
                    </w:rPr>
                  </w:pPr>
                  <w:r>
                    <w:rPr>
                      <w:rFonts w:hint="default" w:ascii="Times New Roman" w:hAnsi="Times New Roman" w:eastAsia="宋体" w:cs="Times New Roman"/>
                      <w:color w:val="auto"/>
                      <w:sz w:val="21"/>
                      <w:szCs w:val="24"/>
                      <w:lang w:val="en-US" w:eastAsia="zh-CN"/>
                    </w:rPr>
                    <w:t>增加用量</w:t>
                  </w:r>
                </w:p>
              </w:tc>
            </w:tr>
            <w:tr w14:paraId="04C6B5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4" w:type="dxa"/>
                  <w:noWrap w:val="0"/>
                  <w:vAlign w:val="center"/>
                </w:tcPr>
                <w:p w14:paraId="680B5243">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zh-CN" w:eastAsia="zh-CN" w:bidi="ar-SA"/>
                    </w:rPr>
                  </w:pPr>
                  <w:r>
                    <w:rPr>
                      <w:rFonts w:hint="default" w:ascii="Times New Roman" w:hAnsi="Times New Roman" w:eastAsia="宋体" w:cs="Times New Roman"/>
                      <w:color w:val="auto"/>
                      <w:sz w:val="21"/>
                      <w:szCs w:val="21"/>
                      <w:lang w:val="zh-CN" w:eastAsia="zh-CN" w:bidi="ar-SA"/>
                    </w:rPr>
                    <w:t>2</w:t>
                  </w:r>
                </w:p>
              </w:tc>
              <w:tc>
                <w:tcPr>
                  <w:tcW w:w="876" w:type="dxa"/>
                  <w:noWrap w:val="0"/>
                  <w:vAlign w:val="center"/>
                </w:tcPr>
                <w:p w14:paraId="4A769327">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b w:val="0"/>
                      <w:bCs/>
                      <w:snapToGrid w:val="0"/>
                      <w:color w:val="auto"/>
                      <w:kern w:val="0"/>
                      <w:sz w:val="21"/>
                      <w:szCs w:val="21"/>
                      <w:lang w:val="en-US" w:eastAsia="zh-CN"/>
                    </w:rPr>
                    <w:t>棉花、玉米</w:t>
                  </w:r>
                  <w:r>
                    <w:rPr>
                      <w:rFonts w:hint="default" w:ascii="Times New Roman" w:hAnsi="Times New Roman" w:eastAsia="宋体" w:cs="Times New Roman"/>
                      <w:b w:val="0"/>
                      <w:bCs/>
                      <w:snapToGrid w:val="0"/>
                      <w:color w:val="auto"/>
                      <w:kern w:val="0"/>
                      <w:sz w:val="21"/>
                      <w:szCs w:val="21"/>
                    </w:rPr>
                    <w:t>秸秆</w:t>
                  </w:r>
                  <w:r>
                    <w:rPr>
                      <w:rFonts w:hint="default" w:ascii="Times New Roman" w:hAnsi="Times New Roman" w:eastAsia="宋体" w:cs="Times New Roman"/>
                      <w:b w:val="0"/>
                      <w:bCs/>
                      <w:snapToGrid w:val="0"/>
                      <w:color w:val="auto"/>
                      <w:kern w:val="0"/>
                      <w:sz w:val="21"/>
                      <w:szCs w:val="21"/>
                      <w:lang w:val="en-US" w:eastAsia="zh-CN"/>
                    </w:rPr>
                    <w:t>颗粒</w:t>
                  </w:r>
                  <w:r>
                    <w:rPr>
                      <w:rFonts w:hint="default" w:ascii="Times New Roman" w:hAnsi="Times New Roman" w:eastAsia="宋体" w:cs="Times New Roman"/>
                      <w:color w:val="auto"/>
                      <w:sz w:val="21"/>
                      <w:szCs w:val="21"/>
                      <w:lang w:val="en-US" w:eastAsia="zh-CN" w:bidi="ar-SA"/>
                    </w:rPr>
                    <w:t>）</w:t>
                  </w:r>
                </w:p>
              </w:tc>
              <w:tc>
                <w:tcPr>
                  <w:tcW w:w="683" w:type="dxa"/>
                  <w:noWrap w:val="0"/>
                  <w:vAlign w:val="center"/>
                </w:tcPr>
                <w:p w14:paraId="628D91C0">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zh-CN" w:eastAsia="zh-CN" w:bidi="ar-SA"/>
                    </w:rPr>
                  </w:pPr>
                  <w:r>
                    <w:rPr>
                      <w:rFonts w:hint="default" w:ascii="Times New Roman" w:hAnsi="Times New Roman" w:eastAsia="宋体" w:cs="Times New Roman"/>
                      <w:color w:val="auto"/>
                      <w:sz w:val="21"/>
                      <w:szCs w:val="21"/>
                      <w:lang w:val="zh-CN" w:eastAsia="zh-CN" w:bidi="ar-SA"/>
                    </w:rPr>
                    <w:t>吨/年</w:t>
                  </w:r>
                </w:p>
              </w:tc>
              <w:tc>
                <w:tcPr>
                  <w:tcW w:w="1142" w:type="dxa"/>
                  <w:noWrap w:val="0"/>
                  <w:vAlign w:val="center"/>
                </w:tcPr>
                <w:p w14:paraId="785A2E3C">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1"/>
                      <w:highlight w:val="yellow"/>
                      <w:lang w:val="en-US" w:eastAsia="zh-CN" w:bidi="ar-SA"/>
                    </w:rPr>
                  </w:pPr>
                  <w:r>
                    <w:rPr>
                      <w:rFonts w:hint="default" w:ascii="Times New Roman" w:hAnsi="Times New Roman" w:eastAsia="宋体" w:cs="Times New Roman"/>
                      <w:color w:val="auto"/>
                      <w:sz w:val="21"/>
                      <w:szCs w:val="21"/>
                      <w:highlight w:val="none"/>
                      <w:lang w:val="en-US" w:eastAsia="zh-CN" w:bidi="ar-SA"/>
                    </w:rPr>
                    <w:t>5000</w:t>
                  </w:r>
                </w:p>
              </w:tc>
              <w:tc>
                <w:tcPr>
                  <w:tcW w:w="1142" w:type="dxa"/>
                  <w:noWrap w:val="0"/>
                  <w:vAlign w:val="center"/>
                </w:tcPr>
                <w:p w14:paraId="3412A108">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1"/>
                      <w:highlight w:val="yellow"/>
                      <w:lang w:val="en-US" w:eastAsia="zh-CN" w:bidi="ar-SA"/>
                    </w:rPr>
                  </w:pPr>
                  <w:r>
                    <w:rPr>
                      <w:rFonts w:hint="default" w:ascii="Times New Roman" w:hAnsi="Times New Roman" w:eastAsia="宋体" w:cs="Times New Roman"/>
                      <w:color w:val="auto"/>
                      <w:sz w:val="21"/>
                      <w:szCs w:val="21"/>
                      <w:highlight w:val="none"/>
                      <w:lang w:val="en-US" w:eastAsia="zh-CN" w:bidi="ar-SA"/>
                    </w:rPr>
                    <w:t>5000</w:t>
                  </w:r>
                </w:p>
              </w:tc>
              <w:tc>
                <w:tcPr>
                  <w:tcW w:w="2741" w:type="dxa"/>
                  <w:noWrap w:val="0"/>
                  <w:vAlign w:val="center"/>
                </w:tcPr>
                <w:p w14:paraId="5D0BBB32">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b w:val="0"/>
                      <w:bCs/>
                      <w:snapToGrid w:val="0"/>
                      <w:color w:val="auto"/>
                      <w:kern w:val="0"/>
                      <w:sz w:val="21"/>
                      <w:szCs w:val="21"/>
                      <w:lang w:val="en-US" w:eastAsia="zh-CN" w:bidi="ar-SA"/>
                    </w:rPr>
                    <w:t>项目周边农户粉碎后的</w:t>
                  </w:r>
                  <w:r>
                    <w:rPr>
                      <w:rFonts w:hint="default" w:ascii="Times New Roman" w:hAnsi="Times New Roman" w:eastAsia="宋体" w:cs="Times New Roman"/>
                      <w:b w:val="0"/>
                      <w:bCs/>
                      <w:snapToGrid w:val="0"/>
                      <w:color w:val="auto"/>
                      <w:kern w:val="0"/>
                      <w:sz w:val="21"/>
                      <w:szCs w:val="21"/>
                      <w:lang w:val="en-US" w:eastAsia="zh-CN"/>
                    </w:rPr>
                    <w:t>棉花、玉米</w:t>
                  </w:r>
                  <w:r>
                    <w:rPr>
                      <w:rFonts w:hint="default" w:ascii="Times New Roman" w:hAnsi="Times New Roman" w:eastAsia="宋体" w:cs="Times New Roman"/>
                      <w:b w:val="0"/>
                      <w:bCs/>
                      <w:snapToGrid w:val="0"/>
                      <w:color w:val="auto"/>
                      <w:kern w:val="0"/>
                      <w:sz w:val="21"/>
                      <w:szCs w:val="21"/>
                    </w:rPr>
                    <w:t>秸秆</w:t>
                  </w:r>
                  <w:r>
                    <w:rPr>
                      <w:rFonts w:hint="default" w:ascii="Times New Roman" w:hAnsi="Times New Roman" w:eastAsia="宋体" w:cs="Times New Roman"/>
                      <w:b w:val="0"/>
                      <w:bCs/>
                      <w:snapToGrid w:val="0"/>
                      <w:color w:val="auto"/>
                      <w:kern w:val="0"/>
                      <w:sz w:val="21"/>
                      <w:szCs w:val="21"/>
                      <w:lang w:val="en-US" w:eastAsia="zh-CN"/>
                    </w:rPr>
                    <w:t>颗粒（直径2cm）</w:t>
                  </w:r>
                </w:p>
              </w:tc>
              <w:tc>
                <w:tcPr>
                  <w:tcW w:w="1476" w:type="dxa"/>
                  <w:noWrap w:val="0"/>
                  <w:vAlign w:val="center"/>
                </w:tcPr>
                <w:p w14:paraId="0D7A3291">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4"/>
                      <w:lang w:val="en-US" w:eastAsia="zh-CN"/>
                    </w:rPr>
                  </w:pPr>
                  <w:r>
                    <w:rPr>
                      <w:rFonts w:hint="default" w:ascii="Times New Roman" w:hAnsi="Times New Roman" w:eastAsia="宋体" w:cs="Times New Roman"/>
                      <w:color w:val="auto"/>
                      <w:sz w:val="21"/>
                      <w:szCs w:val="24"/>
                      <w:lang w:val="en-US" w:eastAsia="zh-CN"/>
                    </w:rPr>
                    <w:t>不变</w:t>
                  </w:r>
                </w:p>
              </w:tc>
            </w:tr>
            <w:tr w14:paraId="678E1C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4" w:type="dxa"/>
                  <w:noWrap w:val="0"/>
                  <w:vAlign w:val="center"/>
                </w:tcPr>
                <w:p w14:paraId="00790079">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zh-CN" w:eastAsia="zh-CN" w:bidi="ar-SA"/>
                    </w:rPr>
                  </w:pPr>
                  <w:r>
                    <w:rPr>
                      <w:rFonts w:hint="default" w:ascii="Times New Roman" w:hAnsi="Times New Roman" w:eastAsia="宋体" w:cs="Times New Roman"/>
                      <w:color w:val="auto"/>
                      <w:sz w:val="21"/>
                      <w:szCs w:val="21"/>
                      <w:lang w:val="en-US" w:eastAsia="zh-CN" w:bidi="ar-SA"/>
                    </w:rPr>
                    <w:t>3</w:t>
                  </w:r>
                </w:p>
              </w:tc>
              <w:tc>
                <w:tcPr>
                  <w:tcW w:w="876" w:type="dxa"/>
                  <w:noWrap w:val="0"/>
                  <w:vAlign w:val="center"/>
                </w:tcPr>
                <w:p w14:paraId="7E2AD0D2">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生物菌剂</w:t>
                  </w:r>
                </w:p>
              </w:tc>
              <w:tc>
                <w:tcPr>
                  <w:tcW w:w="683" w:type="dxa"/>
                  <w:noWrap w:val="0"/>
                  <w:vAlign w:val="center"/>
                </w:tcPr>
                <w:p w14:paraId="6165CE0F">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highlight w:val="none"/>
                      <w:lang w:val="zh-CN" w:eastAsia="zh-CN" w:bidi="ar-SA"/>
                    </w:rPr>
                  </w:pPr>
                  <w:r>
                    <w:rPr>
                      <w:rFonts w:hint="default" w:ascii="Times New Roman" w:hAnsi="Times New Roman" w:eastAsia="宋体" w:cs="Times New Roman"/>
                      <w:color w:val="auto"/>
                      <w:sz w:val="21"/>
                      <w:szCs w:val="21"/>
                      <w:highlight w:val="none"/>
                      <w:lang w:val="zh-CN" w:eastAsia="zh-CN" w:bidi="ar-SA"/>
                    </w:rPr>
                    <w:t>吨/年</w:t>
                  </w:r>
                </w:p>
              </w:tc>
              <w:tc>
                <w:tcPr>
                  <w:tcW w:w="1142" w:type="dxa"/>
                  <w:noWrap w:val="0"/>
                  <w:vAlign w:val="center"/>
                </w:tcPr>
                <w:p w14:paraId="3D4E6046">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4"/>
                      <w:highlight w:val="none"/>
                      <w:lang w:val="en-US" w:eastAsia="zh-CN"/>
                    </w:rPr>
                  </w:pPr>
                  <w:r>
                    <w:rPr>
                      <w:rFonts w:hint="default" w:ascii="Times New Roman" w:hAnsi="Times New Roman" w:eastAsia="宋体" w:cs="Times New Roman"/>
                      <w:color w:val="auto"/>
                      <w:sz w:val="21"/>
                      <w:szCs w:val="24"/>
                      <w:highlight w:val="none"/>
                      <w:lang w:val="en-US" w:eastAsia="zh-CN"/>
                    </w:rPr>
                    <w:t>34.26</w:t>
                  </w:r>
                </w:p>
              </w:tc>
              <w:tc>
                <w:tcPr>
                  <w:tcW w:w="1142" w:type="dxa"/>
                  <w:noWrap w:val="0"/>
                  <w:vAlign w:val="center"/>
                </w:tcPr>
                <w:p w14:paraId="3D4D8B8E">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4"/>
                      <w:highlight w:val="none"/>
                      <w:lang w:val="en-US" w:eastAsia="zh-CN"/>
                    </w:rPr>
                    <w:t>34</w:t>
                  </w:r>
                </w:p>
              </w:tc>
              <w:tc>
                <w:tcPr>
                  <w:tcW w:w="2741" w:type="dxa"/>
                  <w:noWrap w:val="0"/>
                  <w:vAlign w:val="center"/>
                </w:tcPr>
                <w:p w14:paraId="608E98BF">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4"/>
                      <w:lang w:val="en-US" w:eastAsia="zh-CN"/>
                    </w:rPr>
                    <w:t>疆内采购，</w:t>
                  </w:r>
                  <w:r>
                    <w:rPr>
                      <w:rFonts w:hint="default" w:ascii="Times New Roman" w:hAnsi="Times New Roman" w:eastAsia="宋体" w:cs="Times New Roman"/>
                      <w:color w:val="auto"/>
                      <w:sz w:val="21"/>
                      <w:szCs w:val="24"/>
                    </w:rPr>
                    <w:t>标准袋装，</w:t>
                  </w:r>
                  <w:r>
                    <w:rPr>
                      <w:rFonts w:hint="default" w:ascii="Times New Roman" w:hAnsi="Times New Roman" w:eastAsia="宋体" w:cs="Times New Roman"/>
                      <w:color w:val="auto"/>
                      <w:sz w:val="21"/>
                      <w:szCs w:val="24"/>
                      <w:lang w:val="en-US" w:eastAsia="zh-CN"/>
                    </w:rPr>
                    <w:t>车间内暂存</w:t>
                  </w:r>
                </w:p>
              </w:tc>
              <w:tc>
                <w:tcPr>
                  <w:tcW w:w="1476" w:type="dxa"/>
                  <w:noWrap w:val="0"/>
                  <w:vAlign w:val="center"/>
                </w:tcPr>
                <w:p w14:paraId="0980587F">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4"/>
                      <w:lang w:val="en-US" w:eastAsia="zh-CN"/>
                    </w:rPr>
                  </w:pPr>
                  <w:r>
                    <w:rPr>
                      <w:rFonts w:hint="default" w:ascii="Times New Roman" w:hAnsi="Times New Roman" w:eastAsia="宋体" w:cs="Times New Roman"/>
                      <w:color w:val="auto"/>
                      <w:sz w:val="21"/>
                      <w:szCs w:val="24"/>
                      <w:lang w:val="en-US" w:eastAsia="zh-CN"/>
                    </w:rPr>
                    <w:t>减少</w:t>
                  </w:r>
                </w:p>
              </w:tc>
            </w:tr>
            <w:tr w14:paraId="5E7A2D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4" w:type="dxa"/>
                  <w:noWrap w:val="0"/>
                  <w:vAlign w:val="center"/>
                </w:tcPr>
                <w:p w14:paraId="69E5EFF7">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4</w:t>
                  </w:r>
                </w:p>
              </w:tc>
              <w:tc>
                <w:tcPr>
                  <w:tcW w:w="876" w:type="dxa"/>
                  <w:noWrap w:val="0"/>
                  <w:vAlign w:val="center"/>
                </w:tcPr>
                <w:p w14:paraId="215F988E">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活性污泥菌剂</w:t>
                  </w:r>
                </w:p>
              </w:tc>
              <w:tc>
                <w:tcPr>
                  <w:tcW w:w="683" w:type="dxa"/>
                  <w:noWrap w:val="0"/>
                  <w:vAlign w:val="center"/>
                </w:tcPr>
                <w:p w14:paraId="55122FBD">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highlight w:val="none"/>
                      <w:lang w:val="zh-CN" w:eastAsia="zh-CN" w:bidi="ar-SA"/>
                    </w:rPr>
                  </w:pPr>
                  <w:r>
                    <w:rPr>
                      <w:rFonts w:hint="default" w:ascii="Times New Roman" w:hAnsi="Times New Roman" w:eastAsia="宋体" w:cs="Times New Roman"/>
                      <w:color w:val="auto"/>
                      <w:sz w:val="21"/>
                      <w:szCs w:val="21"/>
                      <w:highlight w:val="none"/>
                      <w:lang w:val="zh-CN" w:eastAsia="zh-CN" w:bidi="ar-SA"/>
                    </w:rPr>
                    <w:t>吨/年</w:t>
                  </w:r>
                </w:p>
              </w:tc>
              <w:tc>
                <w:tcPr>
                  <w:tcW w:w="1142" w:type="dxa"/>
                  <w:noWrap w:val="0"/>
                  <w:vAlign w:val="center"/>
                </w:tcPr>
                <w:p w14:paraId="0E41BF8D">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4"/>
                      <w:highlight w:val="none"/>
                      <w:lang w:val="en-US" w:eastAsia="zh-CN"/>
                    </w:rPr>
                  </w:pPr>
                  <w:r>
                    <w:rPr>
                      <w:rFonts w:hint="default" w:ascii="Times New Roman" w:hAnsi="Times New Roman" w:eastAsia="宋体" w:cs="Times New Roman"/>
                      <w:color w:val="auto"/>
                      <w:sz w:val="21"/>
                      <w:szCs w:val="24"/>
                      <w:highlight w:val="none"/>
                      <w:lang w:val="en-US" w:eastAsia="zh-CN"/>
                    </w:rPr>
                    <w:t>20</w:t>
                  </w:r>
                </w:p>
              </w:tc>
              <w:tc>
                <w:tcPr>
                  <w:tcW w:w="1142" w:type="dxa"/>
                  <w:noWrap w:val="0"/>
                  <w:vAlign w:val="center"/>
                </w:tcPr>
                <w:p w14:paraId="0BD45E52">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4"/>
                      <w:highlight w:val="none"/>
                      <w:lang w:val="en-US" w:eastAsia="zh-CN"/>
                    </w:rPr>
                  </w:pPr>
                  <w:r>
                    <w:rPr>
                      <w:rFonts w:hint="default" w:ascii="Times New Roman" w:hAnsi="Times New Roman" w:eastAsia="宋体" w:cs="Times New Roman"/>
                      <w:color w:val="auto"/>
                      <w:sz w:val="21"/>
                      <w:szCs w:val="24"/>
                      <w:highlight w:val="none"/>
                      <w:lang w:val="en-US" w:eastAsia="zh-CN"/>
                    </w:rPr>
                    <w:t>0</w:t>
                  </w:r>
                </w:p>
              </w:tc>
              <w:tc>
                <w:tcPr>
                  <w:tcW w:w="2741" w:type="dxa"/>
                  <w:noWrap w:val="0"/>
                  <w:vAlign w:val="center"/>
                </w:tcPr>
                <w:p w14:paraId="4C0C4CF7">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4"/>
                      <w:lang w:val="en-US" w:eastAsia="zh-CN"/>
                    </w:rPr>
                  </w:pPr>
                  <w:r>
                    <w:rPr>
                      <w:rFonts w:hint="default" w:ascii="Times New Roman" w:hAnsi="Times New Roman" w:eastAsia="宋体" w:cs="Times New Roman"/>
                      <w:color w:val="auto"/>
                      <w:sz w:val="21"/>
                      <w:szCs w:val="24"/>
                      <w:lang w:val="en-US" w:eastAsia="zh-CN"/>
                    </w:rPr>
                    <w:t>疆内采购，</w:t>
                  </w:r>
                  <w:r>
                    <w:rPr>
                      <w:rFonts w:hint="default" w:ascii="Times New Roman" w:hAnsi="Times New Roman" w:eastAsia="宋体" w:cs="Times New Roman"/>
                      <w:color w:val="auto"/>
                      <w:sz w:val="21"/>
                      <w:szCs w:val="24"/>
                    </w:rPr>
                    <w:t>标准袋装，</w:t>
                  </w:r>
                  <w:r>
                    <w:rPr>
                      <w:rFonts w:hint="default" w:ascii="Times New Roman" w:hAnsi="Times New Roman" w:eastAsia="宋体" w:cs="Times New Roman"/>
                      <w:color w:val="auto"/>
                      <w:sz w:val="21"/>
                      <w:szCs w:val="24"/>
                      <w:lang w:val="en-US" w:eastAsia="zh-CN"/>
                    </w:rPr>
                    <w:t>车间内暂存</w:t>
                  </w:r>
                </w:p>
              </w:tc>
              <w:tc>
                <w:tcPr>
                  <w:tcW w:w="1476" w:type="dxa"/>
                  <w:noWrap w:val="0"/>
                  <w:vAlign w:val="center"/>
                </w:tcPr>
                <w:p w14:paraId="14DF6CF1">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4"/>
                      <w:lang w:val="en-US" w:eastAsia="zh-CN"/>
                    </w:rPr>
                  </w:pPr>
                  <w:r>
                    <w:rPr>
                      <w:rFonts w:hint="default" w:ascii="Times New Roman" w:hAnsi="Times New Roman" w:eastAsia="宋体" w:cs="Times New Roman"/>
                      <w:color w:val="auto"/>
                      <w:sz w:val="21"/>
                      <w:szCs w:val="24"/>
                      <w:lang w:val="en-US" w:eastAsia="zh-CN"/>
                    </w:rPr>
                    <w:t>减少</w:t>
                  </w:r>
                </w:p>
              </w:tc>
            </w:tr>
            <w:tr w14:paraId="5E9379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4" w:type="dxa"/>
                  <w:noWrap w:val="0"/>
                  <w:vAlign w:val="center"/>
                </w:tcPr>
                <w:p w14:paraId="766DBE8C">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5</w:t>
                  </w:r>
                </w:p>
              </w:tc>
              <w:tc>
                <w:tcPr>
                  <w:tcW w:w="876" w:type="dxa"/>
                  <w:noWrap w:val="0"/>
                  <w:vAlign w:val="center"/>
                </w:tcPr>
                <w:p w14:paraId="073FD299">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养鸡场废水</w:t>
                  </w:r>
                </w:p>
              </w:tc>
              <w:tc>
                <w:tcPr>
                  <w:tcW w:w="683" w:type="dxa"/>
                  <w:noWrap w:val="0"/>
                  <w:vAlign w:val="center"/>
                </w:tcPr>
                <w:p w14:paraId="12275565">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highlight w:val="none"/>
                      <w:lang w:val="zh-CN" w:eastAsia="zh-CN" w:bidi="ar-SA"/>
                    </w:rPr>
                  </w:pPr>
                  <w:r>
                    <w:rPr>
                      <w:rFonts w:hint="default" w:ascii="Times New Roman" w:hAnsi="Times New Roman" w:eastAsia="宋体" w:cs="Times New Roman"/>
                      <w:color w:val="auto"/>
                      <w:sz w:val="21"/>
                      <w:szCs w:val="21"/>
                      <w:highlight w:val="none"/>
                      <w:lang w:val="zh-CN" w:eastAsia="zh-CN" w:bidi="ar-SA"/>
                    </w:rPr>
                    <w:t>吨/年</w:t>
                  </w:r>
                </w:p>
              </w:tc>
              <w:tc>
                <w:tcPr>
                  <w:tcW w:w="1142" w:type="dxa"/>
                  <w:noWrap w:val="0"/>
                  <w:vAlign w:val="center"/>
                </w:tcPr>
                <w:p w14:paraId="13E8F346">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4"/>
                      <w:highlight w:val="none"/>
                      <w:lang w:val="en-US" w:eastAsia="zh-CN"/>
                    </w:rPr>
                  </w:pPr>
                  <w:r>
                    <w:rPr>
                      <w:rFonts w:hint="default" w:ascii="Times New Roman" w:hAnsi="Times New Roman" w:eastAsia="宋体" w:cs="Times New Roman"/>
                      <w:bCs/>
                      <w:color w:val="auto"/>
                      <w:sz w:val="21"/>
                      <w:szCs w:val="21"/>
                      <w:lang w:val="en-US" w:eastAsia="zh-CN"/>
                    </w:rPr>
                    <w:t>10100</w:t>
                  </w:r>
                </w:p>
              </w:tc>
              <w:tc>
                <w:tcPr>
                  <w:tcW w:w="1142" w:type="dxa"/>
                  <w:noWrap w:val="0"/>
                  <w:vAlign w:val="center"/>
                </w:tcPr>
                <w:p w14:paraId="59F2979E">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4"/>
                      <w:highlight w:val="none"/>
                      <w:lang w:val="en-US" w:eastAsia="zh-CN"/>
                    </w:rPr>
                  </w:pPr>
                  <w:r>
                    <w:rPr>
                      <w:rFonts w:hint="default" w:ascii="Times New Roman" w:hAnsi="Times New Roman" w:eastAsia="宋体" w:cs="Times New Roman"/>
                      <w:color w:val="auto"/>
                      <w:sz w:val="21"/>
                      <w:szCs w:val="24"/>
                      <w:highlight w:val="none"/>
                      <w:lang w:val="en-US" w:eastAsia="zh-CN"/>
                    </w:rPr>
                    <w:t>0</w:t>
                  </w:r>
                </w:p>
              </w:tc>
              <w:tc>
                <w:tcPr>
                  <w:tcW w:w="2741" w:type="dxa"/>
                  <w:noWrap w:val="0"/>
                  <w:vAlign w:val="center"/>
                </w:tcPr>
                <w:p w14:paraId="79EF1F9C">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4"/>
                      <w:lang w:val="en-US" w:eastAsia="zh-CN"/>
                    </w:rPr>
                  </w:pPr>
                  <w:r>
                    <w:rPr>
                      <w:rFonts w:hint="default" w:ascii="Times New Roman" w:hAnsi="Times New Roman" w:eastAsia="宋体" w:cs="Times New Roman"/>
                      <w:bCs/>
                      <w:color w:val="auto"/>
                      <w:sz w:val="21"/>
                      <w:szCs w:val="21"/>
                      <w:lang w:eastAsia="zh-CN"/>
                    </w:rPr>
                    <w:t>新疆玛纳斯县2018年数字农业建设试点项目（蛋鸡产业园）</w:t>
                  </w:r>
                </w:p>
              </w:tc>
              <w:tc>
                <w:tcPr>
                  <w:tcW w:w="1476" w:type="dxa"/>
                  <w:noWrap w:val="0"/>
                  <w:vAlign w:val="center"/>
                </w:tcPr>
                <w:p w14:paraId="097F7D2C">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4"/>
                      <w:lang w:val="en-US" w:eastAsia="zh-CN"/>
                    </w:rPr>
                  </w:pPr>
                  <w:r>
                    <w:rPr>
                      <w:rFonts w:hint="default" w:ascii="Times New Roman" w:hAnsi="Times New Roman" w:eastAsia="宋体" w:cs="Times New Roman"/>
                      <w:color w:val="auto"/>
                      <w:sz w:val="21"/>
                      <w:szCs w:val="24"/>
                      <w:lang w:val="en-US" w:eastAsia="zh-CN"/>
                    </w:rPr>
                    <w:t>减少</w:t>
                  </w:r>
                </w:p>
              </w:tc>
            </w:tr>
            <w:tr w14:paraId="68D640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4" w:type="dxa"/>
                  <w:noWrap w:val="0"/>
                  <w:vAlign w:val="center"/>
                </w:tcPr>
                <w:p w14:paraId="711FDE2F">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zh-CN" w:eastAsia="zh-CN" w:bidi="ar-SA"/>
                    </w:rPr>
                    <w:t>二</w:t>
                  </w:r>
                </w:p>
              </w:tc>
              <w:tc>
                <w:tcPr>
                  <w:tcW w:w="8060" w:type="dxa"/>
                  <w:gridSpan w:val="6"/>
                  <w:noWrap w:val="0"/>
                  <w:vAlign w:val="center"/>
                </w:tcPr>
                <w:p w14:paraId="3E94F496">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zh-CN" w:eastAsia="zh-CN" w:bidi="ar-SA"/>
                    </w:rPr>
                  </w:pPr>
                  <w:r>
                    <w:rPr>
                      <w:rFonts w:hint="default" w:ascii="Times New Roman" w:hAnsi="Times New Roman" w:eastAsia="宋体" w:cs="Times New Roman"/>
                      <w:color w:val="auto"/>
                      <w:sz w:val="21"/>
                      <w:szCs w:val="21"/>
                      <w:lang w:val="zh-CN" w:eastAsia="zh-CN" w:bidi="ar-SA"/>
                    </w:rPr>
                    <w:t>动力消耗</w:t>
                  </w:r>
                </w:p>
              </w:tc>
            </w:tr>
            <w:tr w14:paraId="48B930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4" w:type="dxa"/>
                  <w:noWrap w:val="0"/>
                  <w:vAlign w:val="center"/>
                </w:tcPr>
                <w:p w14:paraId="73996F1E">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zh-CN" w:eastAsia="zh-CN" w:bidi="ar-SA"/>
                    </w:rPr>
                  </w:pPr>
                  <w:r>
                    <w:rPr>
                      <w:rFonts w:hint="default" w:ascii="Times New Roman" w:hAnsi="Times New Roman" w:eastAsia="宋体" w:cs="Times New Roman"/>
                      <w:color w:val="auto"/>
                      <w:sz w:val="21"/>
                      <w:szCs w:val="21"/>
                      <w:lang w:val="zh-CN" w:eastAsia="zh-CN" w:bidi="ar-SA"/>
                    </w:rPr>
                    <w:t>1</w:t>
                  </w:r>
                </w:p>
              </w:tc>
              <w:tc>
                <w:tcPr>
                  <w:tcW w:w="876" w:type="dxa"/>
                  <w:noWrap w:val="0"/>
                  <w:vAlign w:val="center"/>
                </w:tcPr>
                <w:p w14:paraId="58467E87">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zh-CN" w:eastAsia="zh-CN" w:bidi="ar-SA"/>
                    </w:rPr>
                  </w:pPr>
                  <w:r>
                    <w:rPr>
                      <w:rFonts w:hint="default" w:ascii="Times New Roman" w:hAnsi="Times New Roman" w:eastAsia="宋体" w:cs="Times New Roman"/>
                      <w:color w:val="auto"/>
                      <w:sz w:val="21"/>
                      <w:szCs w:val="21"/>
                      <w:lang w:val="zh-CN" w:eastAsia="zh-CN" w:bidi="ar-SA"/>
                    </w:rPr>
                    <w:t>电</w:t>
                  </w:r>
                </w:p>
              </w:tc>
              <w:tc>
                <w:tcPr>
                  <w:tcW w:w="683" w:type="dxa"/>
                  <w:noWrap w:val="0"/>
                  <w:vAlign w:val="center"/>
                </w:tcPr>
                <w:p w14:paraId="5F37B4DB">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zh-CN" w:eastAsia="zh-CN" w:bidi="ar-SA"/>
                    </w:rPr>
                  </w:pPr>
                  <w:r>
                    <w:rPr>
                      <w:rFonts w:hint="default" w:ascii="Times New Roman" w:hAnsi="Times New Roman" w:eastAsia="宋体" w:cs="Times New Roman"/>
                      <w:color w:val="auto"/>
                      <w:sz w:val="21"/>
                      <w:szCs w:val="21"/>
                      <w:lang w:val="zh-CN" w:eastAsia="zh-CN" w:bidi="ar-SA"/>
                    </w:rPr>
                    <w:t>kWh/年</w:t>
                  </w:r>
                </w:p>
              </w:tc>
              <w:tc>
                <w:tcPr>
                  <w:tcW w:w="1142" w:type="dxa"/>
                  <w:noWrap w:val="0"/>
                  <w:vAlign w:val="center"/>
                </w:tcPr>
                <w:p w14:paraId="3F72508A">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20000</w:t>
                  </w:r>
                </w:p>
              </w:tc>
              <w:tc>
                <w:tcPr>
                  <w:tcW w:w="1142" w:type="dxa"/>
                  <w:noWrap w:val="0"/>
                  <w:vAlign w:val="center"/>
                </w:tcPr>
                <w:p w14:paraId="5969F3CF">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15000</w:t>
                  </w:r>
                </w:p>
              </w:tc>
              <w:tc>
                <w:tcPr>
                  <w:tcW w:w="2741" w:type="dxa"/>
                  <w:noWrap w:val="0"/>
                  <w:vAlign w:val="center"/>
                </w:tcPr>
                <w:p w14:paraId="7B490165">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市政电力管网</w:t>
                  </w:r>
                </w:p>
              </w:tc>
              <w:tc>
                <w:tcPr>
                  <w:tcW w:w="1476" w:type="dxa"/>
                  <w:noWrap w:val="0"/>
                  <w:vAlign w:val="center"/>
                </w:tcPr>
                <w:p w14:paraId="550BE31C">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4"/>
                      <w:lang w:val="en-US" w:eastAsia="zh-CN"/>
                    </w:rPr>
                    <w:t>减少</w:t>
                  </w:r>
                </w:p>
              </w:tc>
            </w:tr>
          </w:tbl>
          <w:p w14:paraId="3DBBF6E0">
            <w:pPr>
              <w:widowControl w:val="0"/>
              <w:spacing w:line="360" w:lineRule="exact"/>
              <w:ind w:firstLine="480" w:firstLineChars="200"/>
              <w:jc w:val="both"/>
              <w:rPr>
                <w:rFonts w:hint="default" w:ascii="Times New Roman" w:hAnsi="Times New Roman" w:eastAsia="宋体" w:cs="Times New Roman"/>
                <w:snapToGrid w:val="0"/>
                <w:color w:val="auto"/>
                <w:sz w:val="24"/>
                <w:szCs w:val="21"/>
                <w:lang w:val="en-US" w:eastAsia="zh-CN" w:bidi="ar-SA"/>
              </w:rPr>
            </w:pPr>
            <w:r>
              <w:rPr>
                <w:rFonts w:hint="default" w:ascii="Times New Roman" w:hAnsi="Times New Roman" w:eastAsia="宋体" w:cs="Times New Roman"/>
                <w:snapToGrid w:val="0"/>
                <w:color w:val="auto"/>
                <w:sz w:val="24"/>
                <w:szCs w:val="21"/>
                <w:lang w:val="en-US" w:eastAsia="zh-CN" w:bidi="ar-SA"/>
              </w:rPr>
              <w:t>本项目</w:t>
            </w:r>
            <w:r>
              <w:rPr>
                <w:rFonts w:hint="default" w:ascii="Times New Roman" w:hAnsi="Times New Roman" w:eastAsia="宋体" w:cs="Times New Roman"/>
                <w:color w:val="auto"/>
                <w:sz w:val="24"/>
                <w:szCs w:val="24"/>
              </w:rPr>
              <w:t>产品符合《</w:t>
            </w:r>
            <w:r>
              <w:rPr>
                <w:rFonts w:hint="default" w:ascii="Times New Roman" w:hAnsi="Times New Roman" w:eastAsia="宋体" w:cs="Times New Roman"/>
                <w:color w:val="auto"/>
                <w:sz w:val="24"/>
                <w:szCs w:val="24"/>
                <w:lang w:val="en-US" w:eastAsia="zh-CN"/>
              </w:rPr>
              <w:t>有机肥料</w:t>
            </w:r>
            <w:r>
              <w:rPr>
                <w:rFonts w:hint="default" w:ascii="Times New Roman" w:hAnsi="Times New Roman" w:eastAsia="宋体" w:cs="Times New Roman"/>
                <w:color w:val="auto"/>
                <w:sz w:val="24"/>
                <w:szCs w:val="24"/>
              </w:rPr>
              <w:t>》（NY</w:t>
            </w:r>
            <w:r>
              <w:rPr>
                <w:rFonts w:hint="default" w:ascii="Times New Roman" w:hAnsi="Times New Roman" w:eastAsia="宋体" w:cs="Times New Roman"/>
                <w:color w:val="auto"/>
                <w:sz w:val="24"/>
                <w:szCs w:val="24"/>
                <w:lang w:val="en-US" w:eastAsia="zh-CN"/>
              </w:rPr>
              <w:t>/T525</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2021</w:t>
            </w:r>
            <w:r>
              <w:rPr>
                <w:rFonts w:hint="default" w:ascii="Times New Roman" w:hAnsi="Times New Roman" w:eastAsia="宋体" w:cs="Times New Roman"/>
                <w:color w:val="auto"/>
                <w:sz w:val="24"/>
                <w:szCs w:val="24"/>
              </w:rPr>
              <w:t>）标准要求</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snapToGrid w:val="0"/>
                <w:color w:val="auto"/>
                <w:sz w:val="24"/>
                <w:szCs w:val="21"/>
                <w:lang w:val="en-US" w:eastAsia="zh-CN" w:bidi="ar-SA"/>
              </w:rPr>
              <w:t>产品方案见表2.4-2。</w:t>
            </w:r>
          </w:p>
          <w:p w14:paraId="515FB930">
            <w:pPr>
              <w:pStyle w:val="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w:t>
            </w:r>
            <w:r>
              <w:rPr>
                <w:rFonts w:hint="default" w:ascii="Times New Roman" w:hAnsi="Times New Roman" w:eastAsia="宋体" w:cs="Times New Roman"/>
                <w:b/>
                <w:bCs/>
                <w:color w:val="auto"/>
                <w:sz w:val="21"/>
                <w:szCs w:val="21"/>
                <w:lang w:val="en-US" w:eastAsia="zh-CN"/>
              </w:rPr>
              <w:t>2.4-2</w:t>
            </w:r>
            <w:r>
              <w:rPr>
                <w:rFonts w:hint="default" w:ascii="Times New Roman" w:hAnsi="Times New Roman" w:eastAsia="宋体" w:cs="Times New Roman"/>
                <w:b/>
                <w:bCs/>
                <w:color w:val="auto"/>
                <w:sz w:val="21"/>
                <w:szCs w:val="21"/>
              </w:rPr>
              <w:t>有机肥产品技术指标要求</w:t>
            </w:r>
          </w:p>
          <w:tbl>
            <w:tblPr>
              <w:tblStyle w:val="22"/>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372"/>
              <w:gridCol w:w="4132"/>
            </w:tblGrid>
            <w:tr w14:paraId="0CA967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04FE9C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控制项目</w:t>
                  </w:r>
                </w:p>
              </w:tc>
              <w:tc>
                <w:tcPr>
                  <w:tcW w:w="4132" w:type="dxa"/>
                  <w:tcBorders>
                    <w:tl2br w:val="nil"/>
                    <w:tr2bl w:val="nil"/>
                  </w:tcBorders>
                  <w:noWrap w:val="0"/>
                  <w:vAlign w:val="center"/>
                </w:tcPr>
                <w:p w14:paraId="1BC791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指标</w:t>
                  </w:r>
                </w:p>
              </w:tc>
            </w:tr>
            <w:tr w14:paraId="09A7F9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71F4EC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有机质</w:t>
                  </w:r>
                  <w:r>
                    <w:rPr>
                      <w:rFonts w:hint="default" w:ascii="Times New Roman" w:hAnsi="Times New Roman" w:eastAsia="宋体" w:cs="Times New Roman"/>
                      <w:color w:val="auto"/>
                      <w:sz w:val="21"/>
                      <w:szCs w:val="21"/>
                      <w:lang w:val="en-US" w:eastAsia="zh-CN"/>
                    </w:rPr>
                    <w:t>的质量分数</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以干基计</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w:t>
                  </w:r>
                </w:p>
              </w:tc>
              <w:tc>
                <w:tcPr>
                  <w:tcW w:w="4132" w:type="dxa"/>
                  <w:tcBorders>
                    <w:tl2br w:val="nil"/>
                    <w:tr2bl w:val="nil"/>
                  </w:tcBorders>
                  <w:noWrap w:val="0"/>
                  <w:vAlign w:val="center"/>
                </w:tcPr>
                <w:p w14:paraId="327BD8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30</w:t>
                  </w:r>
                </w:p>
              </w:tc>
            </w:tr>
            <w:tr w14:paraId="61FFC2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2742AF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总养分（N+P</w:t>
                  </w:r>
                  <w:r>
                    <w:rPr>
                      <w:rFonts w:hint="default" w:ascii="Times New Roman" w:hAnsi="Times New Roman" w:eastAsia="宋体" w:cs="Times New Roman"/>
                      <w:color w:val="auto"/>
                      <w:sz w:val="21"/>
                      <w:szCs w:val="21"/>
                      <w:vertAlign w:val="subscript"/>
                      <w:lang w:val="en-US" w:eastAsia="zh-CN"/>
                    </w:rPr>
                    <w:t>2</w:t>
                  </w:r>
                  <w:r>
                    <w:rPr>
                      <w:rFonts w:hint="default" w:ascii="Times New Roman" w:hAnsi="Times New Roman" w:eastAsia="宋体" w:cs="Times New Roman"/>
                      <w:color w:val="auto"/>
                      <w:sz w:val="21"/>
                      <w:szCs w:val="21"/>
                      <w:lang w:val="en-US" w:eastAsia="zh-CN"/>
                    </w:rPr>
                    <w:t>O</w:t>
                  </w:r>
                  <w:r>
                    <w:rPr>
                      <w:rFonts w:hint="default" w:ascii="Times New Roman" w:hAnsi="Times New Roman" w:eastAsia="宋体" w:cs="Times New Roman"/>
                      <w:color w:val="auto"/>
                      <w:sz w:val="21"/>
                      <w:szCs w:val="21"/>
                      <w:vertAlign w:val="subscript"/>
                      <w:lang w:val="en-US" w:eastAsia="zh-CN"/>
                    </w:rPr>
                    <w:t>5</w:t>
                  </w:r>
                  <w:r>
                    <w:rPr>
                      <w:rFonts w:hint="default" w:ascii="Times New Roman" w:hAnsi="Times New Roman" w:eastAsia="宋体" w:cs="Times New Roman"/>
                      <w:color w:val="auto"/>
                      <w:sz w:val="21"/>
                      <w:szCs w:val="21"/>
                      <w:vertAlign w:val="baseline"/>
                      <w:lang w:val="en-US" w:eastAsia="zh-CN"/>
                    </w:rPr>
                    <w:t>+</w:t>
                  </w:r>
                  <w:r>
                    <w:rPr>
                      <w:rFonts w:hint="default" w:ascii="Times New Roman" w:hAnsi="Times New Roman" w:eastAsia="宋体" w:cs="Times New Roman"/>
                      <w:color w:val="auto"/>
                      <w:sz w:val="21"/>
                      <w:szCs w:val="21"/>
                      <w:lang w:val="en-US" w:eastAsia="zh-CN"/>
                    </w:rPr>
                    <w:t>K</w:t>
                  </w:r>
                  <w:r>
                    <w:rPr>
                      <w:rFonts w:hint="default" w:ascii="Times New Roman" w:hAnsi="Times New Roman" w:eastAsia="宋体" w:cs="Times New Roman"/>
                      <w:color w:val="auto"/>
                      <w:sz w:val="21"/>
                      <w:szCs w:val="21"/>
                      <w:vertAlign w:val="subscript"/>
                      <w:lang w:val="en-US" w:eastAsia="zh-CN"/>
                    </w:rPr>
                    <w:t>2</w:t>
                  </w:r>
                  <w:r>
                    <w:rPr>
                      <w:rFonts w:hint="default" w:ascii="Times New Roman" w:hAnsi="Times New Roman" w:eastAsia="宋体" w:cs="Times New Roman"/>
                      <w:color w:val="auto"/>
                      <w:sz w:val="21"/>
                      <w:szCs w:val="21"/>
                      <w:lang w:val="en-US" w:eastAsia="zh-CN"/>
                    </w:rPr>
                    <w:t>O）的质量分数</w:t>
                  </w:r>
                  <w:r>
                    <w:rPr>
                      <w:rFonts w:hint="default" w:ascii="Times New Roman" w:hAnsi="Times New Roman" w:eastAsia="宋体" w:cs="Times New Roman"/>
                      <w:color w:val="auto"/>
                      <w:sz w:val="21"/>
                      <w:szCs w:val="21"/>
                    </w:rPr>
                    <w:t>，%</w:t>
                  </w:r>
                </w:p>
              </w:tc>
              <w:tc>
                <w:tcPr>
                  <w:tcW w:w="4132" w:type="dxa"/>
                  <w:tcBorders>
                    <w:tl2br w:val="nil"/>
                    <w:tr2bl w:val="nil"/>
                  </w:tcBorders>
                  <w:noWrap w:val="0"/>
                  <w:vAlign w:val="center"/>
                </w:tcPr>
                <w:p w14:paraId="48426B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0</w:t>
                  </w:r>
                </w:p>
              </w:tc>
            </w:tr>
            <w:tr w14:paraId="56E78E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28BB47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水分</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w:t>
                  </w:r>
                </w:p>
              </w:tc>
              <w:tc>
                <w:tcPr>
                  <w:tcW w:w="4132" w:type="dxa"/>
                  <w:tcBorders>
                    <w:tl2br w:val="nil"/>
                    <w:tr2bl w:val="nil"/>
                  </w:tcBorders>
                  <w:noWrap w:val="0"/>
                  <w:vAlign w:val="center"/>
                </w:tcPr>
                <w:p w14:paraId="6FE73C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w:t>
                  </w:r>
                </w:p>
              </w:tc>
            </w:tr>
            <w:tr w14:paraId="38B5CD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7FCAA3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pH</w:t>
                  </w:r>
                </w:p>
              </w:tc>
              <w:tc>
                <w:tcPr>
                  <w:tcW w:w="4132" w:type="dxa"/>
                  <w:tcBorders>
                    <w:tl2br w:val="nil"/>
                    <w:tr2bl w:val="nil"/>
                  </w:tcBorders>
                  <w:noWrap w:val="0"/>
                  <w:vAlign w:val="center"/>
                </w:tcPr>
                <w:p w14:paraId="55D33B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5.5-8.5</w:t>
                  </w:r>
                </w:p>
              </w:tc>
            </w:tr>
            <w:tr w14:paraId="3A0941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51C120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种子发芽指数（GI）</w:t>
                  </w:r>
                  <w:r>
                    <w:rPr>
                      <w:rFonts w:hint="default" w:ascii="Times New Roman" w:hAnsi="Times New Roman" w:eastAsia="宋体" w:cs="Times New Roman"/>
                      <w:color w:val="auto"/>
                      <w:sz w:val="21"/>
                      <w:szCs w:val="21"/>
                    </w:rPr>
                    <w:t>，%</w:t>
                  </w:r>
                </w:p>
              </w:tc>
              <w:tc>
                <w:tcPr>
                  <w:tcW w:w="4132" w:type="dxa"/>
                  <w:tcBorders>
                    <w:tl2br w:val="nil"/>
                    <w:tr2bl w:val="nil"/>
                  </w:tcBorders>
                  <w:noWrap w:val="0"/>
                  <w:vAlign w:val="center"/>
                </w:tcPr>
                <w:p w14:paraId="47865B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70</w:t>
                  </w:r>
                  <w:r>
                    <w:rPr>
                      <w:rFonts w:hint="default" w:ascii="Times New Roman" w:hAnsi="Times New Roman" w:eastAsia="宋体" w:cs="Times New Roman"/>
                      <w:color w:val="auto"/>
                      <w:sz w:val="21"/>
                      <w:szCs w:val="21"/>
                    </w:rPr>
                    <w:t>%</w:t>
                  </w:r>
                </w:p>
              </w:tc>
            </w:tr>
            <w:tr w14:paraId="22D00A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72" w:type="dxa"/>
                  <w:tcBorders>
                    <w:tl2br w:val="nil"/>
                    <w:tr2bl w:val="nil"/>
                  </w:tcBorders>
                  <w:noWrap w:val="0"/>
                  <w:vAlign w:val="center"/>
                </w:tcPr>
                <w:p w14:paraId="000C41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机械杂质质量分数</w:t>
                  </w:r>
                  <w:r>
                    <w:rPr>
                      <w:rFonts w:hint="default" w:ascii="Times New Roman" w:hAnsi="Times New Roman" w:eastAsia="宋体" w:cs="Times New Roman"/>
                      <w:color w:val="auto"/>
                      <w:sz w:val="21"/>
                      <w:szCs w:val="21"/>
                    </w:rPr>
                    <w:t>，%</w:t>
                  </w:r>
                </w:p>
              </w:tc>
              <w:tc>
                <w:tcPr>
                  <w:tcW w:w="4132" w:type="dxa"/>
                  <w:tcBorders>
                    <w:tl2br w:val="nil"/>
                    <w:tr2bl w:val="nil"/>
                  </w:tcBorders>
                  <w:noWrap w:val="0"/>
                  <w:vAlign w:val="center"/>
                </w:tcPr>
                <w:p w14:paraId="3FF4D6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0.5</w:t>
                  </w:r>
                </w:p>
              </w:tc>
            </w:tr>
          </w:tbl>
          <w:p w14:paraId="0E67AD67">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0" w:after="0" w:line="360" w:lineRule="auto"/>
              <w:ind w:left="480" w:leftChars="200" w:right="0" w:rightChars="0" w:firstLine="0" w:firstLineChars="0"/>
              <w:jc w:val="left"/>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（2）物料平衡</w:t>
            </w:r>
          </w:p>
          <w:p w14:paraId="480B080D">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0" w:after="0" w:line="360" w:lineRule="auto"/>
              <w:ind w:leftChars="200" w:right="0" w:rightChars="0"/>
              <w:jc w:val="lef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本项目物料平衡见表2.4-3。</w:t>
            </w:r>
          </w:p>
          <w:p w14:paraId="3C99395A">
            <w:pPr>
              <w:widowControl/>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
                <w:color w:val="auto"/>
                <w:kern w:val="0"/>
                <w:sz w:val="21"/>
                <w:szCs w:val="21"/>
                <w:highlight w:val="none"/>
                <w:lang w:val="en-US" w:eastAsia="zh-CN" w:bidi="en-US"/>
              </w:rPr>
            </w:pPr>
            <w:r>
              <w:rPr>
                <w:rFonts w:hint="default" w:ascii="Times New Roman" w:hAnsi="Times New Roman" w:eastAsia="宋体" w:cs="Times New Roman"/>
                <w:b/>
                <w:color w:val="auto"/>
                <w:kern w:val="0"/>
                <w:sz w:val="21"/>
                <w:szCs w:val="21"/>
                <w:highlight w:val="none"/>
                <w:lang w:val="en-US" w:eastAsia="zh-CN" w:bidi="en-US"/>
              </w:rPr>
              <w:t>表2.4-3本项目物料平衡表</w:t>
            </w:r>
          </w:p>
          <w:tbl>
            <w:tblPr>
              <w:tblStyle w:val="22"/>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15" w:type="dxa"/>
                <w:left w:w="15" w:type="dxa"/>
                <w:bottom w:w="15" w:type="dxa"/>
                <w:right w:w="15" w:type="dxa"/>
              </w:tblCellMar>
            </w:tblPr>
            <w:tblGrid>
              <w:gridCol w:w="2124"/>
              <w:gridCol w:w="2128"/>
              <w:gridCol w:w="2126"/>
              <w:gridCol w:w="2126"/>
            </w:tblGrid>
            <w:tr w14:paraId="7C27B3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8504" w:type="dxa"/>
                  <w:gridSpan w:val="4"/>
                  <w:tcBorders>
                    <w:tl2br w:val="nil"/>
                    <w:tr2bl w:val="nil"/>
                  </w:tcBorders>
                  <w:noWrap w:val="0"/>
                  <w:vAlign w:val="center"/>
                </w:tcPr>
                <w:p w14:paraId="76EEFE1C">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sz w:val="21"/>
                      <w:szCs w:val="22"/>
                      <w:highlight w:val="none"/>
                      <w:lang w:val="en-US" w:eastAsia="zh-CN" w:bidi="ar-SA"/>
                    </w:rPr>
                  </w:pPr>
                  <w:r>
                    <w:rPr>
                      <w:rFonts w:hint="default" w:ascii="Times New Roman" w:hAnsi="Times New Roman" w:eastAsia="宋体" w:cs="Times New Roman"/>
                      <w:color w:val="auto"/>
                      <w:sz w:val="21"/>
                      <w:szCs w:val="22"/>
                      <w:highlight w:val="none"/>
                      <w:lang w:val="en-US" w:eastAsia="zh-CN" w:bidi="ar-SA"/>
                    </w:rPr>
                    <w:t>固液分离（三废处理前）</w:t>
                  </w:r>
                </w:p>
              </w:tc>
            </w:tr>
            <w:tr w14:paraId="7BFDA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4252" w:type="dxa"/>
                  <w:gridSpan w:val="2"/>
                  <w:tcBorders>
                    <w:tl2br w:val="nil"/>
                    <w:tr2bl w:val="nil"/>
                  </w:tcBorders>
                  <w:noWrap w:val="0"/>
                  <w:vAlign w:val="center"/>
                </w:tcPr>
                <w:p w14:paraId="33782BF5">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sz w:val="21"/>
                      <w:szCs w:val="22"/>
                      <w:highlight w:val="none"/>
                      <w:lang w:val="en-US" w:eastAsia="zh-CN" w:bidi="ar-SA"/>
                    </w:rPr>
                  </w:pPr>
                  <w:r>
                    <w:rPr>
                      <w:rFonts w:hint="default" w:ascii="Times New Roman" w:hAnsi="Times New Roman" w:eastAsia="宋体" w:cs="Times New Roman"/>
                      <w:color w:val="auto"/>
                      <w:sz w:val="21"/>
                      <w:szCs w:val="22"/>
                      <w:highlight w:val="none"/>
                      <w:lang w:val="en-US" w:eastAsia="zh-CN" w:bidi="ar-SA"/>
                    </w:rPr>
                    <w:t>进料</w:t>
                  </w:r>
                </w:p>
              </w:tc>
              <w:tc>
                <w:tcPr>
                  <w:tcW w:w="4252" w:type="dxa"/>
                  <w:gridSpan w:val="2"/>
                  <w:tcBorders>
                    <w:tl2br w:val="nil"/>
                    <w:tr2bl w:val="nil"/>
                  </w:tcBorders>
                  <w:noWrap w:val="0"/>
                  <w:vAlign w:val="center"/>
                </w:tcPr>
                <w:p w14:paraId="3D0058EB">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sz w:val="21"/>
                      <w:szCs w:val="22"/>
                      <w:highlight w:val="none"/>
                      <w:lang w:val="en-US" w:eastAsia="zh-CN" w:bidi="ar-SA"/>
                    </w:rPr>
                  </w:pPr>
                  <w:r>
                    <w:rPr>
                      <w:rFonts w:hint="default" w:ascii="Times New Roman" w:hAnsi="Times New Roman" w:eastAsia="宋体" w:cs="Times New Roman"/>
                      <w:color w:val="auto"/>
                      <w:sz w:val="21"/>
                      <w:szCs w:val="22"/>
                      <w:highlight w:val="none"/>
                      <w:lang w:val="en-US" w:eastAsia="zh-CN" w:bidi="ar-SA"/>
                    </w:rPr>
                    <w:t>产出</w:t>
                  </w:r>
                </w:p>
              </w:tc>
            </w:tr>
            <w:tr w14:paraId="68D30C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2124" w:type="dxa"/>
                  <w:tcBorders>
                    <w:tl2br w:val="nil"/>
                    <w:tr2bl w:val="nil"/>
                  </w:tcBorders>
                  <w:noWrap w:val="0"/>
                  <w:vAlign w:val="center"/>
                </w:tcPr>
                <w:p w14:paraId="48373211">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sz w:val="21"/>
                      <w:szCs w:val="22"/>
                      <w:highlight w:val="none"/>
                      <w:lang w:val="en-US" w:eastAsia="zh-CN" w:bidi="ar-SA"/>
                    </w:rPr>
                  </w:pPr>
                  <w:r>
                    <w:rPr>
                      <w:rFonts w:hint="default" w:ascii="Times New Roman" w:hAnsi="Times New Roman" w:eastAsia="宋体" w:cs="Times New Roman"/>
                      <w:color w:val="auto"/>
                      <w:sz w:val="21"/>
                      <w:szCs w:val="22"/>
                      <w:highlight w:val="none"/>
                      <w:lang w:val="en-US" w:eastAsia="zh-CN" w:bidi="ar-SA"/>
                    </w:rPr>
                    <w:t>名称</w:t>
                  </w:r>
                </w:p>
              </w:tc>
              <w:tc>
                <w:tcPr>
                  <w:tcW w:w="2128" w:type="dxa"/>
                  <w:tcBorders>
                    <w:tl2br w:val="nil"/>
                    <w:tr2bl w:val="nil"/>
                  </w:tcBorders>
                  <w:noWrap w:val="0"/>
                  <w:vAlign w:val="center"/>
                </w:tcPr>
                <w:p w14:paraId="4AB18F59">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sz w:val="21"/>
                      <w:szCs w:val="22"/>
                      <w:highlight w:val="none"/>
                      <w:lang w:val="en-US" w:eastAsia="zh-CN" w:bidi="ar-SA"/>
                    </w:rPr>
                  </w:pPr>
                  <w:r>
                    <w:rPr>
                      <w:rFonts w:hint="default" w:ascii="Times New Roman" w:hAnsi="Times New Roman" w:eastAsia="宋体" w:cs="Times New Roman"/>
                      <w:color w:val="auto"/>
                      <w:sz w:val="21"/>
                      <w:szCs w:val="22"/>
                      <w:highlight w:val="none"/>
                      <w:lang w:val="en-US" w:eastAsia="zh-CN" w:bidi="ar-SA"/>
                    </w:rPr>
                    <w:t>数量（t/a）</w:t>
                  </w:r>
                </w:p>
              </w:tc>
              <w:tc>
                <w:tcPr>
                  <w:tcW w:w="2126" w:type="dxa"/>
                  <w:tcBorders>
                    <w:tl2br w:val="nil"/>
                    <w:tr2bl w:val="nil"/>
                  </w:tcBorders>
                  <w:noWrap w:val="0"/>
                  <w:vAlign w:val="center"/>
                </w:tcPr>
                <w:p w14:paraId="751723F5">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sz w:val="21"/>
                      <w:szCs w:val="22"/>
                      <w:highlight w:val="none"/>
                      <w:lang w:val="en-US" w:eastAsia="zh-CN" w:bidi="ar-SA"/>
                    </w:rPr>
                  </w:pPr>
                  <w:r>
                    <w:rPr>
                      <w:rFonts w:hint="default" w:ascii="Times New Roman" w:hAnsi="Times New Roman" w:eastAsia="宋体" w:cs="Times New Roman"/>
                      <w:color w:val="auto"/>
                      <w:sz w:val="21"/>
                      <w:szCs w:val="22"/>
                      <w:highlight w:val="none"/>
                      <w:lang w:val="en-US" w:eastAsia="zh-CN" w:bidi="ar-SA"/>
                    </w:rPr>
                    <w:t>名称</w:t>
                  </w:r>
                </w:p>
              </w:tc>
              <w:tc>
                <w:tcPr>
                  <w:tcW w:w="2126" w:type="dxa"/>
                  <w:tcBorders>
                    <w:tl2br w:val="nil"/>
                    <w:tr2bl w:val="nil"/>
                  </w:tcBorders>
                  <w:noWrap w:val="0"/>
                  <w:vAlign w:val="center"/>
                </w:tcPr>
                <w:p w14:paraId="1702F80C">
                  <w:pPr>
                    <w:widowControl w:val="0"/>
                    <w:overflowPunct w:val="0"/>
                    <w:autoSpaceDE w:val="0"/>
                    <w:autoSpaceDN w:val="0"/>
                    <w:adjustRightInd w:val="0"/>
                    <w:snapToGrid w:val="0"/>
                    <w:spacing w:before="0" w:after="0" w:line="240" w:lineRule="auto"/>
                    <w:ind w:left="0" w:right="0" w:firstLine="0" w:firstLineChars="0"/>
                    <w:jc w:val="center"/>
                    <w:rPr>
                      <w:rFonts w:hint="default" w:ascii="Times New Roman" w:hAnsi="Times New Roman" w:eastAsia="宋体" w:cs="Times New Roman"/>
                      <w:color w:val="auto"/>
                      <w:sz w:val="21"/>
                      <w:szCs w:val="22"/>
                      <w:highlight w:val="none"/>
                      <w:lang w:val="en-US" w:eastAsia="zh-CN" w:bidi="ar-SA"/>
                    </w:rPr>
                  </w:pPr>
                  <w:r>
                    <w:rPr>
                      <w:rFonts w:hint="default" w:ascii="Times New Roman" w:hAnsi="Times New Roman" w:eastAsia="宋体" w:cs="Times New Roman"/>
                      <w:color w:val="auto"/>
                      <w:sz w:val="21"/>
                      <w:szCs w:val="22"/>
                      <w:highlight w:val="none"/>
                      <w:lang w:val="en-US" w:eastAsia="zh-CN" w:bidi="ar-SA"/>
                    </w:rPr>
                    <w:t>数量（t/a）</w:t>
                  </w:r>
                </w:p>
              </w:tc>
            </w:tr>
            <w:tr w14:paraId="584E73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2124" w:type="dxa"/>
                  <w:tcBorders>
                    <w:tl2br w:val="nil"/>
                    <w:tr2bl w:val="nil"/>
                  </w:tcBorders>
                  <w:noWrap w:val="0"/>
                  <w:vAlign w:val="center"/>
                </w:tcPr>
                <w:p w14:paraId="565C6819">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2"/>
                      <w:highlight w:val="none"/>
                      <w:lang w:val="en-US" w:eastAsia="zh-CN" w:bidi="ar-SA"/>
                    </w:rPr>
                  </w:pPr>
                  <w:r>
                    <w:rPr>
                      <w:rFonts w:hint="default" w:ascii="Times New Roman" w:hAnsi="Times New Roman" w:eastAsia="宋体" w:cs="Times New Roman"/>
                      <w:color w:val="auto"/>
                      <w:sz w:val="21"/>
                      <w:szCs w:val="21"/>
                      <w:highlight w:val="none"/>
                      <w:lang w:val="zh-CN" w:eastAsia="zh-CN" w:bidi="ar-SA"/>
                    </w:rPr>
                    <w:t>鸡粪（</w:t>
                  </w:r>
                  <w:r>
                    <w:rPr>
                      <w:rFonts w:hint="default" w:ascii="Times New Roman" w:hAnsi="Times New Roman" w:eastAsia="宋体" w:cs="Times New Roman"/>
                      <w:color w:val="auto"/>
                      <w:sz w:val="21"/>
                      <w:szCs w:val="21"/>
                      <w:highlight w:val="none"/>
                      <w:lang w:val="en-US" w:eastAsia="zh-CN" w:bidi="ar-SA"/>
                    </w:rPr>
                    <w:t>40</w:t>
                  </w:r>
                  <w:r>
                    <w:rPr>
                      <w:rFonts w:hint="default" w:ascii="Times New Roman" w:hAnsi="Times New Roman" w:eastAsia="宋体" w:cs="Times New Roman"/>
                      <w:color w:val="auto"/>
                      <w:sz w:val="21"/>
                      <w:szCs w:val="21"/>
                      <w:highlight w:val="none"/>
                      <w:lang w:val="zh-CN" w:eastAsia="zh-CN" w:bidi="ar-SA"/>
                    </w:rPr>
                    <w:t>%水分</w:t>
                  </w:r>
                  <w:r>
                    <w:rPr>
                      <w:rFonts w:hint="default" w:ascii="Times New Roman" w:hAnsi="Times New Roman" w:eastAsia="宋体" w:cs="Times New Roman"/>
                      <w:color w:val="auto"/>
                      <w:sz w:val="21"/>
                      <w:szCs w:val="21"/>
                      <w:lang w:val="zh-CN" w:eastAsia="zh-CN" w:bidi="ar-SA"/>
                    </w:rPr>
                    <w:t>）</w:t>
                  </w:r>
                </w:p>
              </w:tc>
              <w:tc>
                <w:tcPr>
                  <w:tcW w:w="2128" w:type="dxa"/>
                  <w:tcBorders>
                    <w:tl2br w:val="nil"/>
                    <w:tr2bl w:val="nil"/>
                  </w:tcBorders>
                  <w:noWrap w:val="0"/>
                  <w:vAlign w:val="center"/>
                </w:tcPr>
                <w:p w14:paraId="6EC5294F">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2"/>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8350</w:t>
                  </w:r>
                </w:p>
              </w:tc>
              <w:tc>
                <w:tcPr>
                  <w:tcW w:w="2126" w:type="dxa"/>
                  <w:tcBorders>
                    <w:tl2br w:val="nil"/>
                    <w:tr2bl w:val="nil"/>
                  </w:tcBorders>
                  <w:noWrap w:val="0"/>
                  <w:vAlign w:val="center"/>
                </w:tcPr>
                <w:p w14:paraId="25FB94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2"/>
                      <w:highlight w:val="none"/>
                      <w:lang w:val="en-US" w:eastAsia="zh-CN" w:bidi="ar-SA"/>
                    </w:rPr>
                  </w:pPr>
                  <w:r>
                    <w:rPr>
                      <w:rFonts w:hint="default" w:ascii="Times New Roman" w:hAnsi="Times New Roman" w:eastAsia="宋体" w:cs="Times New Roman"/>
                      <w:color w:val="auto"/>
                      <w:sz w:val="21"/>
                      <w:szCs w:val="21"/>
                    </w:rPr>
                    <w:t>有机肥</w:t>
                  </w:r>
                </w:p>
              </w:tc>
              <w:tc>
                <w:tcPr>
                  <w:tcW w:w="2126" w:type="dxa"/>
                  <w:tcBorders>
                    <w:tl2br w:val="nil"/>
                    <w:tr2bl w:val="nil"/>
                  </w:tcBorders>
                  <w:noWrap w:val="0"/>
                  <w:vAlign w:val="center"/>
                </w:tcPr>
                <w:p w14:paraId="74D3E13C">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highlight w:val="none"/>
                      <w:lang w:val="en-US" w:eastAsia="zh-CN" w:bidi="ar-SA"/>
                    </w:rPr>
                    <w:t>10000</w:t>
                  </w:r>
                </w:p>
              </w:tc>
            </w:tr>
            <w:tr w14:paraId="3FB493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2124" w:type="dxa"/>
                  <w:tcBorders>
                    <w:tl2br w:val="nil"/>
                    <w:tr2bl w:val="nil"/>
                  </w:tcBorders>
                  <w:noWrap w:val="0"/>
                  <w:vAlign w:val="center"/>
                </w:tcPr>
                <w:p w14:paraId="09C3CA81">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2"/>
                      <w:highlight w:val="none"/>
                      <w:lang w:val="en-US" w:eastAsia="zh-CN" w:bidi="ar-SA"/>
                    </w:rPr>
                  </w:pPr>
                  <w:r>
                    <w:rPr>
                      <w:rFonts w:hint="default" w:ascii="Times New Roman" w:hAnsi="Times New Roman" w:eastAsia="宋体" w:cs="Times New Roman"/>
                      <w:b w:val="0"/>
                      <w:bCs/>
                      <w:snapToGrid w:val="0"/>
                      <w:color w:val="auto"/>
                      <w:kern w:val="0"/>
                      <w:sz w:val="21"/>
                      <w:szCs w:val="21"/>
                      <w:lang w:val="en-US" w:eastAsia="zh-CN"/>
                    </w:rPr>
                    <w:t>棉花、玉米</w:t>
                  </w:r>
                  <w:r>
                    <w:rPr>
                      <w:rFonts w:hint="default" w:ascii="Times New Roman" w:hAnsi="Times New Roman" w:eastAsia="宋体" w:cs="Times New Roman"/>
                      <w:b w:val="0"/>
                      <w:bCs/>
                      <w:snapToGrid w:val="0"/>
                      <w:color w:val="auto"/>
                      <w:kern w:val="0"/>
                      <w:sz w:val="21"/>
                      <w:szCs w:val="21"/>
                    </w:rPr>
                    <w:t>秸秆</w:t>
                  </w:r>
                  <w:r>
                    <w:rPr>
                      <w:rFonts w:hint="default" w:ascii="Times New Roman" w:hAnsi="Times New Roman" w:eastAsia="宋体" w:cs="Times New Roman"/>
                      <w:b w:val="0"/>
                      <w:bCs/>
                      <w:snapToGrid w:val="0"/>
                      <w:color w:val="auto"/>
                      <w:kern w:val="0"/>
                      <w:sz w:val="21"/>
                      <w:szCs w:val="21"/>
                      <w:lang w:val="en-US" w:eastAsia="zh-CN"/>
                    </w:rPr>
                    <w:t>颗粒</w:t>
                  </w:r>
                </w:p>
              </w:tc>
              <w:tc>
                <w:tcPr>
                  <w:tcW w:w="2128" w:type="dxa"/>
                  <w:tcBorders>
                    <w:tl2br w:val="nil"/>
                    <w:tr2bl w:val="nil"/>
                  </w:tcBorders>
                  <w:noWrap w:val="0"/>
                  <w:vAlign w:val="center"/>
                </w:tcPr>
                <w:p w14:paraId="47574B4F">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2"/>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5000</w:t>
                  </w:r>
                </w:p>
              </w:tc>
              <w:tc>
                <w:tcPr>
                  <w:tcW w:w="2126" w:type="dxa"/>
                  <w:tcBorders>
                    <w:tl2br w:val="nil"/>
                    <w:tr2bl w:val="nil"/>
                  </w:tcBorders>
                  <w:noWrap w:val="0"/>
                  <w:vAlign w:val="center"/>
                </w:tcPr>
                <w:p w14:paraId="285404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2"/>
                      <w:highlight w:val="none"/>
                      <w:lang w:val="en-US" w:eastAsia="zh-CN" w:bidi="ar-SA"/>
                    </w:rPr>
                  </w:pPr>
                  <w:r>
                    <w:rPr>
                      <w:rFonts w:hint="default" w:ascii="Times New Roman" w:hAnsi="Times New Roman" w:eastAsia="宋体" w:cs="Times New Roman"/>
                      <w:color w:val="auto"/>
                      <w:sz w:val="21"/>
                      <w:szCs w:val="21"/>
                      <w:lang w:val="en-US" w:eastAsia="zh-CN"/>
                    </w:rPr>
                    <w:t>蒸发损耗</w:t>
                  </w:r>
                </w:p>
              </w:tc>
              <w:tc>
                <w:tcPr>
                  <w:tcW w:w="2126" w:type="dxa"/>
                  <w:tcBorders>
                    <w:tl2br w:val="nil"/>
                    <w:tr2bl w:val="nil"/>
                  </w:tcBorders>
                  <w:noWrap w:val="0"/>
                  <w:vAlign w:val="center"/>
                </w:tcPr>
                <w:p w14:paraId="43747FB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3274.74396</w:t>
                  </w:r>
                </w:p>
              </w:tc>
            </w:tr>
            <w:tr w14:paraId="118B42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2124" w:type="dxa"/>
                  <w:tcBorders>
                    <w:tl2br w:val="nil"/>
                    <w:tr2bl w:val="nil"/>
                  </w:tcBorders>
                  <w:noWrap w:val="0"/>
                  <w:vAlign w:val="center"/>
                </w:tcPr>
                <w:p w14:paraId="6C7E28A5">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生物菌剂</w:t>
                  </w:r>
                </w:p>
              </w:tc>
              <w:tc>
                <w:tcPr>
                  <w:tcW w:w="2128" w:type="dxa"/>
                  <w:tcBorders>
                    <w:tl2br w:val="nil"/>
                    <w:tr2bl w:val="nil"/>
                  </w:tcBorders>
                  <w:noWrap w:val="0"/>
                  <w:vAlign w:val="center"/>
                </w:tcPr>
                <w:p w14:paraId="600ACAED">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4"/>
                      <w:highlight w:val="none"/>
                      <w:lang w:val="en-US" w:eastAsia="zh-CN"/>
                    </w:rPr>
                    <w:t>34</w:t>
                  </w:r>
                </w:p>
              </w:tc>
              <w:tc>
                <w:tcPr>
                  <w:tcW w:w="2126" w:type="dxa"/>
                  <w:tcBorders>
                    <w:tl2br w:val="nil"/>
                    <w:tr2bl w:val="nil"/>
                  </w:tcBorders>
                  <w:noWrap w:val="0"/>
                  <w:vAlign w:val="center"/>
                </w:tcPr>
                <w:p w14:paraId="399302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2"/>
                      <w:highlight w:val="none"/>
                      <w:lang w:val="en-US" w:eastAsia="zh-CN" w:bidi="ar-SA"/>
                    </w:rPr>
                  </w:pPr>
                  <w:r>
                    <w:rPr>
                      <w:rFonts w:hint="default" w:ascii="Times New Roman" w:hAnsi="Times New Roman" w:eastAsia="宋体" w:cs="Times New Roman"/>
                      <w:color w:val="auto"/>
                      <w:sz w:val="21"/>
                      <w:szCs w:val="21"/>
                      <w:lang w:val="en-US" w:eastAsia="zh-CN"/>
                    </w:rPr>
                    <w:t>颗粒物</w:t>
                  </w:r>
                </w:p>
              </w:tc>
              <w:tc>
                <w:tcPr>
                  <w:tcW w:w="2126" w:type="dxa"/>
                  <w:tcBorders>
                    <w:tl2br w:val="nil"/>
                    <w:tr2bl w:val="nil"/>
                  </w:tcBorders>
                  <w:noWrap w:val="0"/>
                  <w:vAlign w:val="center"/>
                </w:tcPr>
                <w:p w14:paraId="653180E4">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9.0453</w:t>
                  </w:r>
                </w:p>
              </w:tc>
            </w:tr>
            <w:tr w14:paraId="2BECD5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2124" w:type="dxa"/>
                  <w:tcBorders>
                    <w:tl2br w:val="nil"/>
                    <w:tr2bl w:val="nil"/>
                  </w:tcBorders>
                  <w:noWrap w:val="0"/>
                  <w:vAlign w:val="center"/>
                </w:tcPr>
                <w:p w14:paraId="324491F3">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bidi="ar-SA"/>
                    </w:rPr>
                  </w:pPr>
                </w:p>
              </w:tc>
              <w:tc>
                <w:tcPr>
                  <w:tcW w:w="2128" w:type="dxa"/>
                  <w:tcBorders>
                    <w:tl2br w:val="nil"/>
                    <w:tr2bl w:val="nil"/>
                  </w:tcBorders>
                  <w:noWrap w:val="0"/>
                  <w:vAlign w:val="center"/>
                </w:tcPr>
                <w:p w14:paraId="6AA3F6BC">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4"/>
                      <w:lang w:val="en-US" w:eastAsia="zh-CN"/>
                    </w:rPr>
                  </w:pPr>
                </w:p>
              </w:tc>
              <w:tc>
                <w:tcPr>
                  <w:tcW w:w="2126" w:type="dxa"/>
                  <w:tcBorders>
                    <w:tl2br w:val="nil"/>
                    <w:tr2bl w:val="nil"/>
                  </w:tcBorders>
                  <w:noWrap w:val="0"/>
                  <w:vAlign w:val="center"/>
                </w:tcPr>
                <w:p w14:paraId="72ED99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氨</w:t>
                  </w:r>
                </w:p>
              </w:tc>
              <w:tc>
                <w:tcPr>
                  <w:tcW w:w="2126" w:type="dxa"/>
                  <w:tcBorders>
                    <w:tl2br w:val="nil"/>
                    <w:tr2bl w:val="nil"/>
                  </w:tcBorders>
                  <w:noWrap w:val="0"/>
                  <w:vAlign w:val="center"/>
                </w:tcPr>
                <w:p w14:paraId="0CD5C485">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w:t>
                  </w:r>
                </w:p>
              </w:tc>
            </w:tr>
            <w:tr w14:paraId="6B9DA5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2124" w:type="dxa"/>
                  <w:tcBorders>
                    <w:tl2br w:val="nil"/>
                    <w:tr2bl w:val="nil"/>
                  </w:tcBorders>
                  <w:noWrap w:val="0"/>
                  <w:vAlign w:val="center"/>
                </w:tcPr>
                <w:p w14:paraId="180B222F">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bidi="ar-SA"/>
                    </w:rPr>
                  </w:pPr>
                </w:p>
              </w:tc>
              <w:tc>
                <w:tcPr>
                  <w:tcW w:w="2128" w:type="dxa"/>
                  <w:tcBorders>
                    <w:tl2br w:val="nil"/>
                    <w:tr2bl w:val="nil"/>
                  </w:tcBorders>
                  <w:noWrap w:val="0"/>
                  <w:vAlign w:val="center"/>
                </w:tcPr>
                <w:p w14:paraId="6AC8FB44">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4"/>
                      <w:lang w:val="en-US" w:eastAsia="zh-CN"/>
                    </w:rPr>
                  </w:pPr>
                </w:p>
              </w:tc>
              <w:tc>
                <w:tcPr>
                  <w:tcW w:w="2126" w:type="dxa"/>
                  <w:tcBorders>
                    <w:tl2br w:val="nil"/>
                    <w:tr2bl w:val="nil"/>
                  </w:tcBorders>
                  <w:noWrap w:val="0"/>
                  <w:vAlign w:val="center"/>
                </w:tcPr>
                <w:p w14:paraId="42C451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硫化氢</w:t>
                  </w:r>
                </w:p>
              </w:tc>
              <w:tc>
                <w:tcPr>
                  <w:tcW w:w="2126" w:type="dxa"/>
                  <w:tcBorders>
                    <w:tl2br w:val="nil"/>
                    <w:tr2bl w:val="nil"/>
                  </w:tcBorders>
                  <w:noWrap w:val="0"/>
                  <w:vAlign w:val="center"/>
                </w:tcPr>
                <w:p w14:paraId="6C031CFC">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0.01074</w:t>
                  </w:r>
                </w:p>
              </w:tc>
            </w:tr>
            <w:tr w14:paraId="1517AC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2124" w:type="dxa"/>
                  <w:tcBorders>
                    <w:tl2br w:val="nil"/>
                    <w:tr2bl w:val="nil"/>
                  </w:tcBorders>
                  <w:noWrap w:val="0"/>
                  <w:vAlign w:val="center"/>
                </w:tcPr>
                <w:p w14:paraId="418EAE75">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bidi="ar-SA"/>
                    </w:rPr>
                  </w:pPr>
                </w:p>
              </w:tc>
              <w:tc>
                <w:tcPr>
                  <w:tcW w:w="2128" w:type="dxa"/>
                  <w:tcBorders>
                    <w:tl2br w:val="nil"/>
                    <w:tr2bl w:val="nil"/>
                  </w:tcBorders>
                  <w:noWrap w:val="0"/>
                  <w:vAlign w:val="center"/>
                </w:tcPr>
                <w:p w14:paraId="330FBBF9">
                  <w:pPr>
                    <w:widowControl/>
                    <w:overflowPunct w:val="0"/>
                    <w:autoSpaceDE w:val="0"/>
                    <w:autoSpaceDN w:val="0"/>
                    <w:bidi w:val="0"/>
                    <w:adjustRightInd w:val="0"/>
                    <w:snapToGrid w:val="0"/>
                    <w:spacing w:before="0" w:after="0" w:line="240" w:lineRule="auto"/>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bidi="ar-SA"/>
                    </w:rPr>
                  </w:pPr>
                </w:p>
              </w:tc>
              <w:tc>
                <w:tcPr>
                  <w:tcW w:w="2126" w:type="dxa"/>
                  <w:tcBorders>
                    <w:tl2br w:val="nil"/>
                    <w:tr2bl w:val="nil"/>
                  </w:tcBorders>
                  <w:noWrap w:val="0"/>
                  <w:vAlign w:val="center"/>
                </w:tcPr>
                <w:p w14:paraId="4F9191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不合格产品</w:t>
                  </w:r>
                </w:p>
              </w:tc>
              <w:tc>
                <w:tcPr>
                  <w:tcW w:w="2126" w:type="dxa"/>
                  <w:tcBorders>
                    <w:tl2br w:val="nil"/>
                    <w:tr2bl w:val="nil"/>
                  </w:tcBorders>
                  <w:noWrap w:val="0"/>
                  <w:vAlign w:val="center"/>
                </w:tcPr>
                <w:p w14:paraId="6B094F20">
                  <w:pPr>
                    <w:numPr>
                      <w:ilvl w:val="0"/>
                      <w:numId w:val="0"/>
                    </w:numPr>
                    <w:spacing w:beforeLines="0" w:afterLines="0"/>
                    <w:ind w:left="0" w:leftChars="0" w:firstLine="0" w:firstLineChars="0"/>
                    <w:jc w:val="center"/>
                    <w:rPr>
                      <w:rFonts w:hint="default" w:ascii="Times New Roman" w:hAnsi="Times New Roman" w:eastAsia="宋体" w:cs="Times New Roman"/>
                      <w:color w:val="auto"/>
                      <w:sz w:val="21"/>
                      <w:szCs w:val="24"/>
                      <w:highlight w:val="none"/>
                      <w:lang w:val="en-US" w:eastAsia="zh-CN"/>
                    </w:rPr>
                  </w:pPr>
                  <w:r>
                    <w:rPr>
                      <w:rFonts w:hint="default" w:ascii="Times New Roman" w:hAnsi="Times New Roman" w:eastAsia="宋体" w:cs="Times New Roman"/>
                      <w:color w:val="auto"/>
                      <w:sz w:val="21"/>
                      <w:szCs w:val="24"/>
                      <w:highlight w:val="none"/>
                      <w:lang w:val="en-US" w:eastAsia="zh-CN"/>
                    </w:rPr>
                    <w:t>100</w:t>
                  </w:r>
                </w:p>
              </w:tc>
            </w:tr>
            <w:tr w14:paraId="24013D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2124" w:type="dxa"/>
                  <w:tcBorders>
                    <w:tl2br w:val="nil"/>
                    <w:tr2bl w:val="nil"/>
                  </w:tcBorders>
                  <w:noWrap w:val="0"/>
                  <w:vAlign w:val="center"/>
                </w:tcPr>
                <w:p w14:paraId="592D77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总计</w:t>
                  </w:r>
                </w:p>
              </w:tc>
              <w:tc>
                <w:tcPr>
                  <w:tcW w:w="2128" w:type="dxa"/>
                  <w:tcBorders>
                    <w:tl2br w:val="nil"/>
                    <w:tr2bl w:val="nil"/>
                  </w:tcBorders>
                  <w:noWrap w:val="0"/>
                  <w:vAlign w:val="center"/>
                </w:tcPr>
                <w:p w14:paraId="3E677E3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13384</w:t>
                  </w:r>
                </w:p>
              </w:tc>
              <w:tc>
                <w:tcPr>
                  <w:tcW w:w="2126" w:type="dxa"/>
                  <w:tcBorders>
                    <w:tl2br w:val="nil"/>
                    <w:tr2bl w:val="nil"/>
                  </w:tcBorders>
                  <w:noWrap w:val="0"/>
                  <w:vAlign w:val="center"/>
                </w:tcPr>
                <w:p w14:paraId="16AA76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总计</w:t>
                  </w:r>
                </w:p>
              </w:tc>
              <w:tc>
                <w:tcPr>
                  <w:tcW w:w="2126" w:type="dxa"/>
                  <w:tcBorders>
                    <w:tl2br w:val="nil"/>
                    <w:tr2bl w:val="nil"/>
                  </w:tcBorders>
                  <w:noWrap w:val="0"/>
                  <w:vAlign w:val="center"/>
                </w:tcPr>
                <w:p w14:paraId="69494A3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13384</w:t>
                  </w:r>
                </w:p>
              </w:tc>
            </w:tr>
          </w:tbl>
          <w:p w14:paraId="34016768">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right="0" w:firstLine="480" w:firstLineChars="200"/>
              <w:jc w:val="left"/>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（3）</w:t>
            </w:r>
            <w:r>
              <w:rPr>
                <w:rFonts w:hint="default" w:ascii="Times New Roman" w:hAnsi="Times New Roman" w:eastAsia="宋体" w:cs="Times New Roman"/>
                <w:color w:val="auto"/>
              </w:rPr>
              <w:t>主要生产设施</w:t>
            </w:r>
          </w:p>
          <w:p w14:paraId="4FAB78D7">
            <w:pPr>
              <w:pStyle w:val="43"/>
              <w:bidi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表</w:t>
            </w:r>
            <w:r>
              <w:rPr>
                <w:rFonts w:hint="default" w:ascii="Times New Roman" w:hAnsi="Times New Roman" w:eastAsia="宋体" w:cs="Times New Roman"/>
                <w:color w:val="auto"/>
                <w:sz w:val="21"/>
                <w:szCs w:val="21"/>
                <w:highlight w:val="none"/>
                <w:lang w:val="en-US" w:eastAsia="zh-CN"/>
              </w:rPr>
              <w:t>2.</w:t>
            </w: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val="en-US" w:eastAsia="zh-CN"/>
              </w:rPr>
              <w:t>-4  项目变动前后</w:t>
            </w:r>
            <w:r>
              <w:rPr>
                <w:rFonts w:hint="default" w:ascii="Times New Roman" w:hAnsi="Times New Roman" w:eastAsia="宋体" w:cs="Times New Roman"/>
                <w:color w:val="auto"/>
                <w:sz w:val="21"/>
                <w:szCs w:val="21"/>
                <w:highlight w:val="none"/>
              </w:rPr>
              <w:t>主要生产设备</w:t>
            </w:r>
            <w:r>
              <w:rPr>
                <w:rFonts w:hint="default" w:ascii="Times New Roman" w:hAnsi="Times New Roman" w:eastAsia="宋体" w:cs="Times New Roman"/>
                <w:color w:val="auto"/>
                <w:sz w:val="21"/>
                <w:szCs w:val="21"/>
                <w:highlight w:val="none"/>
                <w:lang w:val="en-US" w:eastAsia="zh-CN"/>
              </w:rPr>
              <w:t>一览表</w:t>
            </w:r>
          </w:p>
          <w:tbl>
            <w:tblPr>
              <w:tblStyle w:val="41"/>
              <w:tblW w:w="4998" w:type="pct"/>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361"/>
              <w:gridCol w:w="1166"/>
              <w:gridCol w:w="811"/>
              <w:gridCol w:w="2387"/>
              <w:gridCol w:w="887"/>
              <w:gridCol w:w="889"/>
            </w:tblGrid>
            <w:tr w14:paraId="5F55AD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rPr>
              <w:tc>
                <w:tcPr>
                  <w:tcW w:w="2514" w:type="pct"/>
                  <w:gridSpan w:val="3"/>
                  <w:tcBorders>
                    <w:tl2br w:val="nil"/>
                  </w:tcBorders>
                  <w:shd w:val="clear" w:color="auto" w:fill="auto"/>
                  <w:vAlign w:val="center"/>
                </w:tcPr>
                <w:p w14:paraId="2DF81548">
                  <w:pPr>
                    <w:pStyle w:val="42"/>
                    <w:keepNext w:val="0"/>
                    <w:keepLines w:val="0"/>
                    <w:pageBreakBefore w:val="0"/>
                    <w:widowControl w:val="0"/>
                    <w:kinsoku/>
                    <w:wordWrap/>
                    <w:overflowPunct w:val="0"/>
                    <w:topLinePunct w:val="0"/>
                    <w:autoSpaceDE w:val="0"/>
                    <w:autoSpaceDN w:val="0"/>
                    <w:bidi w:val="0"/>
                    <w:adjustRightInd w:val="0"/>
                    <w:snapToGrid w:val="0"/>
                    <w:spacing w:line="240" w:lineRule="auto"/>
                    <w:ind w:left="0" w:firstLine="0" w:firstLineChars="0"/>
                    <w:jc w:val="center"/>
                    <w:textAlignment w:val="auto"/>
                    <w:rPr>
                      <w:rFonts w:hint="default" w:ascii="Times New Roman" w:hAnsi="Times New Roman" w:eastAsia="宋体" w:cs="Times New Roman"/>
                      <w:b w:val="0"/>
                      <w:color w:val="auto"/>
                      <w:sz w:val="21"/>
                      <w:szCs w:val="21"/>
                      <w:highlight w:val="none"/>
                      <w:lang w:val="en-US"/>
                    </w:rPr>
                  </w:pPr>
                  <w:r>
                    <w:rPr>
                      <w:rFonts w:hint="default" w:ascii="Times New Roman" w:hAnsi="Times New Roman" w:eastAsia="宋体" w:cs="Times New Roman"/>
                      <w:b w:val="0"/>
                      <w:color w:val="auto"/>
                      <w:sz w:val="21"/>
                      <w:szCs w:val="21"/>
                      <w:highlight w:val="none"/>
                      <w:lang w:val="en-US" w:eastAsia="zh-CN"/>
                    </w:rPr>
                    <w:t>变动前</w:t>
                  </w:r>
                </w:p>
              </w:tc>
              <w:tc>
                <w:tcPr>
                  <w:tcW w:w="2485" w:type="pct"/>
                  <w:gridSpan w:val="3"/>
                  <w:shd w:val="clear" w:color="auto" w:fill="auto"/>
                  <w:vAlign w:val="center"/>
                </w:tcPr>
                <w:p w14:paraId="6868857F">
                  <w:pPr>
                    <w:pStyle w:val="42"/>
                    <w:keepNext w:val="0"/>
                    <w:keepLines w:val="0"/>
                    <w:pageBreakBefore w:val="0"/>
                    <w:widowControl w:val="0"/>
                    <w:kinsoku/>
                    <w:wordWrap/>
                    <w:overflowPunct w:val="0"/>
                    <w:topLinePunct w:val="0"/>
                    <w:autoSpaceDE w:val="0"/>
                    <w:autoSpaceDN w:val="0"/>
                    <w:bidi w:val="0"/>
                    <w:adjustRightInd w:val="0"/>
                    <w:snapToGrid w:val="0"/>
                    <w:spacing w:line="240" w:lineRule="auto"/>
                    <w:ind w:left="0"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变动后</w:t>
                  </w:r>
                </w:p>
              </w:tc>
            </w:tr>
            <w:tr w14:paraId="7DCF84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rPr>
              <w:tc>
                <w:tcPr>
                  <w:tcW w:w="1401" w:type="pct"/>
                  <w:shd w:val="clear" w:color="auto" w:fill="auto"/>
                  <w:vAlign w:val="center"/>
                </w:tcPr>
                <w:p w14:paraId="2C151AA0">
                  <w:pPr>
                    <w:pStyle w:val="42"/>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auto"/>
                      <w:sz w:val="21"/>
                      <w:szCs w:val="21"/>
                      <w:highlight w:val="none"/>
                      <w:lang w:val="en-US" w:eastAsia="en-US" w:bidi="ar-SA"/>
                    </w:rPr>
                  </w:pPr>
                  <w:r>
                    <w:rPr>
                      <w:rFonts w:hint="default" w:ascii="Times New Roman" w:hAnsi="Times New Roman" w:eastAsia="宋体" w:cs="Times New Roman"/>
                      <w:b w:val="0"/>
                      <w:color w:val="auto"/>
                      <w:spacing w:val="8"/>
                      <w:sz w:val="21"/>
                      <w:szCs w:val="21"/>
                      <w:highlight w:val="none"/>
                      <w:lang w:val="en-US" w:eastAsia="zh-CN"/>
                    </w:rPr>
                    <w:t>设备</w:t>
                  </w:r>
                  <w:r>
                    <w:rPr>
                      <w:rFonts w:hint="default" w:ascii="Times New Roman" w:hAnsi="Times New Roman" w:eastAsia="宋体" w:cs="Times New Roman"/>
                      <w:b w:val="0"/>
                      <w:color w:val="auto"/>
                      <w:spacing w:val="8"/>
                      <w:sz w:val="21"/>
                      <w:szCs w:val="21"/>
                      <w:highlight w:val="none"/>
                    </w:rPr>
                    <w:t>名称</w:t>
                  </w:r>
                </w:p>
              </w:tc>
              <w:tc>
                <w:tcPr>
                  <w:tcW w:w="623" w:type="pct"/>
                  <w:shd w:val="clear" w:color="auto" w:fill="auto"/>
                  <w:vAlign w:val="center"/>
                </w:tcPr>
                <w:p w14:paraId="130E8093">
                  <w:pPr>
                    <w:pStyle w:val="42"/>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auto"/>
                      <w:sz w:val="21"/>
                      <w:szCs w:val="21"/>
                      <w:highlight w:val="none"/>
                      <w:lang w:val="en-US" w:eastAsia="zh-CN" w:bidi="ar-SA"/>
                    </w:rPr>
                  </w:pPr>
                  <w:r>
                    <w:rPr>
                      <w:rFonts w:hint="default" w:ascii="Times New Roman" w:hAnsi="Times New Roman" w:eastAsia="宋体" w:cs="Times New Roman"/>
                      <w:b w:val="0"/>
                      <w:color w:val="auto"/>
                      <w:sz w:val="21"/>
                      <w:szCs w:val="21"/>
                      <w:highlight w:val="none"/>
                      <w:lang w:val="en-US" w:eastAsia="zh-CN" w:bidi="ar-SA"/>
                    </w:rPr>
                    <w:t>型号</w:t>
                  </w:r>
                </w:p>
              </w:tc>
              <w:tc>
                <w:tcPr>
                  <w:tcW w:w="489" w:type="pct"/>
                  <w:shd w:val="clear" w:color="auto" w:fill="auto"/>
                  <w:vAlign w:val="center"/>
                </w:tcPr>
                <w:p w14:paraId="4AE91692">
                  <w:pPr>
                    <w:pStyle w:val="42"/>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auto"/>
                      <w:spacing w:val="6"/>
                      <w:sz w:val="21"/>
                      <w:szCs w:val="21"/>
                      <w:highlight w:val="none"/>
                      <w:lang w:val="en-US" w:eastAsia="zh-CN"/>
                    </w:rPr>
                  </w:pPr>
                  <w:r>
                    <w:rPr>
                      <w:rFonts w:hint="default" w:ascii="Times New Roman" w:hAnsi="Times New Roman" w:eastAsia="宋体" w:cs="Times New Roman"/>
                      <w:b w:val="0"/>
                      <w:color w:val="auto"/>
                      <w:spacing w:val="6"/>
                      <w:sz w:val="21"/>
                      <w:szCs w:val="21"/>
                      <w:highlight w:val="none"/>
                      <w:lang w:val="en-US" w:eastAsia="zh-CN"/>
                    </w:rPr>
                    <w:t>数量</w:t>
                  </w:r>
                </w:p>
              </w:tc>
              <w:tc>
                <w:tcPr>
                  <w:tcW w:w="1416" w:type="pct"/>
                  <w:shd w:val="clear" w:color="auto" w:fill="auto"/>
                  <w:vAlign w:val="center"/>
                </w:tcPr>
                <w:p w14:paraId="75F9A867">
                  <w:pPr>
                    <w:pStyle w:val="42"/>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auto"/>
                      <w:sz w:val="21"/>
                      <w:szCs w:val="21"/>
                      <w:highlight w:val="none"/>
                      <w:lang w:val="en-US" w:eastAsia="en-US" w:bidi="ar-SA"/>
                    </w:rPr>
                  </w:pPr>
                  <w:r>
                    <w:rPr>
                      <w:rFonts w:hint="default" w:ascii="Times New Roman" w:hAnsi="Times New Roman" w:eastAsia="宋体" w:cs="Times New Roman"/>
                      <w:b w:val="0"/>
                      <w:color w:val="auto"/>
                      <w:spacing w:val="8"/>
                      <w:sz w:val="21"/>
                      <w:szCs w:val="21"/>
                      <w:highlight w:val="none"/>
                      <w:lang w:val="en-US" w:eastAsia="zh-CN"/>
                    </w:rPr>
                    <w:t>设备</w:t>
                  </w:r>
                  <w:r>
                    <w:rPr>
                      <w:rFonts w:hint="default" w:ascii="Times New Roman" w:hAnsi="Times New Roman" w:eastAsia="宋体" w:cs="Times New Roman"/>
                      <w:b w:val="0"/>
                      <w:color w:val="auto"/>
                      <w:spacing w:val="8"/>
                      <w:sz w:val="21"/>
                      <w:szCs w:val="21"/>
                      <w:highlight w:val="none"/>
                    </w:rPr>
                    <w:t>名称</w:t>
                  </w:r>
                </w:p>
              </w:tc>
              <w:tc>
                <w:tcPr>
                  <w:tcW w:w="534" w:type="pct"/>
                  <w:shd w:val="clear" w:color="auto" w:fill="auto"/>
                  <w:vAlign w:val="center"/>
                </w:tcPr>
                <w:p w14:paraId="408D326B">
                  <w:pPr>
                    <w:pStyle w:val="42"/>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auto"/>
                      <w:sz w:val="21"/>
                      <w:szCs w:val="21"/>
                      <w:highlight w:val="none"/>
                      <w:lang w:val="en-US" w:eastAsia="zh-CN" w:bidi="ar-SA"/>
                    </w:rPr>
                  </w:pPr>
                  <w:r>
                    <w:rPr>
                      <w:rFonts w:hint="default" w:ascii="Times New Roman" w:hAnsi="Times New Roman" w:eastAsia="宋体" w:cs="Times New Roman"/>
                      <w:b w:val="0"/>
                      <w:color w:val="auto"/>
                      <w:sz w:val="21"/>
                      <w:szCs w:val="21"/>
                      <w:highlight w:val="none"/>
                      <w:lang w:val="en-US" w:eastAsia="zh-CN" w:bidi="ar-SA"/>
                    </w:rPr>
                    <w:t>型号</w:t>
                  </w:r>
                </w:p>
              </w:tc>
              <w:tc>
                <w:tcPr>
                  <w:tcW w:w="535" w:type="pct"/>
                  <w:shd w:val="clear" w:color="auto" w:fill="auto"/>
                  <w:vAlign w:val="center"/>
                </w:tcPr>
                <w:p w14:paraId="1B034671">
                  <w:pPr>
                    <w:pStyle w:val="42"/>
                    <w:keepNext w:val="0"/>
                    <w:keepLines w:val="0"/>
                    <w:pageBreakBefore w:val="0"/>
                    <w:widowControl w:val="0"/>
                    <w:kinsoku/>
                    <w:wordWrap/>
                    <w:overflowPunct w:val="0"/>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color w:val="auto"/>
                      <w:spacing w:val="6"/>
                      <w:sz w:val="21"/>
                      <w:szCs w:val="21"/>
                      <w:highlight w:val="none"/>
                      <w:lang w:val="en-US" w:eastAsia="zh-CN"/>
                    </w:rPr>
                  </w:pPr>
                  <w:r>
                    <w:rPr>
                      <w:rFonts w:hint="default" w:ascii="Times New Roman" w:hAnsi="Times New Roman" w:eastAsia="宋体" w:cs="Times New Roman"/>
                      <w:b w:val="0"/>
                      <w:color w:val="auto"/>
                      <w:spacing w:val="6"/>
                      <w:sz w:val="21"/>
                      <w:szCs w:val="21"/>
                      <w:highlight w:val="none"/>
                      <w:lang w:val="en-US" w:eastAsia="zh-CN"/>
                    </w:rPr>
                    <w:t>数量</w:t>
                  </w:r>
                </w:p>
              </w:tc>
            </w:tr>
            <w:tr w14:paraId="1B9B57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rPr>
              <w:tc>
                <w:tcPr>
                  <w:tcW w:w="1401" w:type="pct"/>
                  <w:shd w:val="clear" w:color="auto" w:fill="auto"/>
                  <w:vAlign w:val="center"/>
                </w:tcPr>
                <w:p w14:paraId="258CBF05">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color w:val="auto"/>
                      <w:kern w:val="0"/>
                      <w:sz w:val="21"/>
                      <w:szCs w:val="21"/>
                      <w:lang w:val="en-US" w:eastAsia="zh-CN"/>
                    </w:rPr>
                    <w:t>翻抛</w:t>
                  </w:r>
                  <w:r>
                    <w:rPr>
                      <w:rFonts w:hint="default" w:ascii="Times New Roman" w:hAnsi="Times New Roman" w:eastAsia="宋体" w:cs="Times New Roman"/>
                      <w:color w:val="auto"/>
                      <w:kern w:val="0"/>
                      <w:sz w:val="21"/>
                      <w:szCs w:val="21"/>
                    </w:rPr>
                    <w:t>机</w:t>
                  </w:r>
                </w:p>
              </w:tc>
              <w:tc>
                <w:tcPr>
                  <w:tcW w:w="623" w:type="pct"/>
                  <w:shd w:val="clear" w:color="auto" w:fill="auto"/>
                  <w:vAlign w:val="center"/>
                </w:tcPr>
                <w:p w14:paraId="2AB81C84">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w w:val="100"/>
                      <w:sz w:val="21"/>
                      <w:szCs w:val="21"/>
                      <w:shd w:val="clear" w:color="auto" w:fill="auto"/>
                      <w:lang w:val="en-US" w:eastAsia="zh-CN" w:bidi="ar-SA"/>
                    </w:rPr>
                    <w:t>RY-YLFP-24</w:t>
                  </w:r>
                </w:p>
              </w:tc>
              <w:tc>
                <w:tcPr>
                  <w:tcW w:w="489" w:type="pct"/>
                  <w:shd w:val="clear" w:color="auto" w:fill="auto"/>
                  <w:vAlign w:val="center"/>
                </w:tcPr>
                <w:p w14:paraId="41CE3F1F">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1</w:t>
                  </w:r>
                </w:p>
              </w:tc>
              <w:tc>
                <w:tcPr>
                  <w:tcW w:w="1416" w:type="pct"/>
                  <w:shd w:val="clear" w:color="auto" w:fill="auto"/>
                  <w:vAlign w:val="center"/>
                </w:tcPr>
                <w:p w14:paraId="29622196">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en-US" w:bidi="ar-SA"/>
                    </w:rPr>
                  </w:pPr>
                  <w:r>
                    <w:rPr>
                      <w:rFonts w:hint="default" w:ascii="Times New Roman" w:hAnsi="Times New Roman" w:eastAsia="宋体" w:cs="Times New Roman"/>
                      <w:color w:val="auto"/>
                      <w:kern w:val="0"/>
                      <w:sz w:val="21"/>
                      <w:szCs w:val="21"/>
                      <w:lang w:val="en-US" w:eastAsia="zh-CN"/>
                    </w:rPr>
                    <w:t>翻抛</w:t>
                  </w:r>
                  <w:r>
                    <w:rPr>
                      <w:rFonts w:hint="default" w:ascii="Times New Roman" w:hAnsi="Times New Roman" w:eastAsia="宋体" w:cs="Times New Roman"/>
                      <w:color w:val="auto"/>
                      <w:kern w:val="0"/>
                      <w:sz w:val="21"/>
                      <w:szCs w:val="21"/>
                    </w:rPr>
                    <w:t>机</w:t>
                  </w:r>
                </w:p>
              </w:tc>
              <w:tc>
                <w:tcPr>
                  <w:tcW w:w="534" w:type="pct"/>
                  <w:shd w:val="clear" w:color="auto" w:fill="auto"/>
                  <w:vAlign w:val="center"/>
                </w:tcPr>
                <w:p w14:paraId="2A56EA63">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bidi="ar-SA"/>
                    </w:rPr>
                  </w:pPr>
                  <w:r>
                    <w:rPr>
                      <w:rFonts w:hint="default" w:ascii="Times New Roman" w:hAnsi="Times New Roman" w:eastAsia="宋体" w:cs="Times New Roman"/>
                      <w:b w:val="0"/>
                      <w:color w:val="auto"/>
                      <w:sz w:val="21"/>
                      <w:szCs w:val="21"/>
                      <w:highlight w:val="none"/>
                      <w:lang w:val="en-US" w:eastAsia="zh-CN" w:bidi="ar-SA"/>
                    </w:rPr>
                    <w:t>/</w:t>
                  </w:r>
                </w:p>
              </w:tc>
              <w:tc>
                <w:tcPr>
                  <w:tcW w:w="535" w:type="pct"/>
                  <w:shd w:val="clear" w:color="auto" w:fill="auto"/>
                  <w:vAlign w:val="center"/>
                </w:tcPr>
                <w:p w14:paraId="37BCD318">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0</w:t>
                  </w:r>
                </w:p>
              </w:tc>
            </w:tr>
            <w:tr w14:paraId="2F0E38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rPr>
              <w:tc>
                <w:tcPr>
                  <w:tcW w:w="1401" w:type="pct"/>
                  <w:shd w:val="clear" w:color="auto" w:fill="auto"/>
                  <w:vAlign w:val="center"/>
                </w:tcPr>
                <w:p w14:paraId="210859AF">
                  <w:pPr>
                    <w:widowControl/>
                    <w:snapToGrid w:val="0"/>
                    <w:contextualSpacing/>
                    <w:jc w:val="center"/>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color w:val="auto"/>
                      <w:kern w:val="0"/>
                      <w:sz w:val="21"/>
                      <w:szCs w:val="21"/>
                      <w:lang w:val="en-US" w:eastAsia="zh-CN"/>
                    </w:rPr>
                    <w:t>投料出料斗</w:t>
                  </w:r>
                </w:p>
              </w:tc>
              <w:tc>
                <w:tcPr>
                  <w:tcW w:w="623" w:type="pct"/>
                  <w:shd w:val="clear" w:color="auto" w:fill="auto"/>
                  <w:vAlign w:val="center"/>
                </w:tcPr>
                <w:p w14:paraId="225C5C2B">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w:t>
                  </w:r>
                </w:p>
              </w:tc>
              <w:tc>
                <w:tcPr>
                  <w:tcW w:w="489" w:type="pct"/>
                  <w:shd w:val="clear" w:color="auto" w:fill="auto"/>
                  <w:vAlign w:val="center"/>
                </w:tcPr>
                <w:p w14:paraId="0E71EE11">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1</w:t>
                  </w:r>
                </w:p>
              </w:tc>
              <w:tc>
                <w:tcPr>
                  <w:tcW w:w="1416" w:type="pct"/>
                  <w:shd w:val="clear" w:color="auto" w:fill="auto"/>
                  <w:vAlign w:val="center"/>
                </w:tcPr>
                <w:p w14:paraId="0DBA7106">
                  <w:pPr>
                    <w:widowControl/>
                    <w:snapToGrid w:val="0"/>
                    <w:contextualSpacing/>
                    <w:jc w:val="center"/>
                    <w:rPr>
                      <w:rFonts w:hint="default" w:ascii="Times New Roman" w:hAnsi="Times New Roman" w:eastAsia="宋体" w:cs="Times New Roman"/>
                      <w:b w:val="0"/>
                      <w:color w:val="auto"/>
                      <w:sz w:val="21"/>
                      <w:szCs w:val="21"/>
                      <w:highlight w:val="none"/>
                      <w:lang w:val="en-US" w:eastAsia="en-US" w:bidi="ar-SA"/>
                    </w:rPr>
                  </w:pPr>
                  <w:r>
                    <w:rPr>
                      <w:rFonts w:hint="default" w:ascii="Times New Roman" w:hAnsi="Times New Roman" w:eastAsia="宋体" w:cs="Times New Roman"/>
                      <w:color w:val="auto"/>
                      <w:kern w:val="0"/>
                      <w:sz w:val="21"/>
                      <w:szCs w:val="21"/>
                      <w:lang w:val="en-US" w:eastAsia="zh-CN"/>
                    </w:rPr>
                    <w:t>投料出料斗</w:t>
                  </w:r>
                </w:p>
              </w:tc>
              <w:tc>
                <w:tcPr>
                  <w:tcW w:w="534" w:type="pct"/>
                  <w:shd w:val="clear" w:color="auto" w:fill="auto"/>
                  <w:vAlign w:val="center"/>
                </w:tcPr>
                <w:p w14:paraId="06A834A9">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bidi="ar-SA"/>
                    </w:rPr>
                  </w:pPr>
                  <w:r>
                    <w:rPr>
                      <w:rFonts w:hint="default" w:ascii="Times New Roman" w:hAnsi="Times New Roman" w:eastAsia="宋体" w:cs="Times New Roman"/>
                      <w:b w:val="0"/>
                      <w:color w:val="auto"/>
                      <w:sz w:val="21"/>
                      <w:szCs w:val="21"/>
                      <w:highlight w:val="none"/>
                      <w:lang w:val="en-US" w:eastAsia="zh-CN" w:bidi="ar-SA"/>
                    </w:rPr>
                    <w:t>/</w:t>
                  </w:r>
                </w:p>
              </w:tc>
              <w:tc>
                <w:tcPr>
                  <w:tcW w:w="535" w:type="pct"/>
                  <w:shd w:val="clear" w:color="auto" w:fill="auto"/>
                  <w:vAlign w:val="center"/>
                </w:tcPr>
                <w:p w14:paraId="5C59E7F1">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1</w:t>
                  </w:r>
                </w:p>
              </w:tc>
            </w:tr>
            <w:tr w14:paraId="6A5B26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rPr>
              <w:tc>
                <w:tcPr>
                  <w:tcW w:w="1401" w:type="pct"/>
                  <w:shd w:val="clear" w:color="auto" w:fill="auto"/>
                  <w:vAlign w:val="center"/>
                </w:tcPr>
                <w:p w14:paraId="0C4A11E9">
                  <w:pPr>
                    <w:widowControl/>
                    <w:snapToGrid w:val="0"/>
                    <w:contextualSpacing/>
                    <w:jc w:val="center"/>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color w:val="auto"/>
                      <w:kern w:val="0"/>
                      <w:sz w:val="21"/>
                      <w:szCs w:val="21"/>
                      <w:lang w:val="en-US" w:eastAsia="zh-CN"/>
                    </w:rPr>
                    <w:t>投料皮带机</w:t>
                  </w:r>
                </w:p>
              </w:tc>
              <w:tc>
                <w:tcPr>
                  <w:tcW w:w="623" w:type="pct"/>
                  <w:shd w:val="clear" w:color="auto" w:fill="auto"/>
                  <w:vAlign w:val="center"/>
                </w:tcPr>
                <w:p w14:paraId="40D660CD">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w:t>
                  </w:r>
                </w:p>
              </w:tc>
              <w:tc>
                <w:tcPr>
                  <w:tcW w:w="489" w:type="pct"/>
                  <w:shd w:val="clear" w:color="auto" w:fill="auto"/>
                  <w:vAlign w:val="center"/>
                </w:tcPr>
                <w:p w14:paraId="153ACAE3">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1</w:t>
                  </w:r>
                </w:p>
              </w:tc>
              <w:tc>
                <w:tcPr>
                  <w:tcW w:w="1416" w:type="pct"/>
                  <w:shd w:val="clear" w:color="auto" w:fill="auto"/>
                  <w:vAlign w:val="center"/>
                </w:tcPr>
                <w:p w14:paraId="7505B237">
                  <w:pPr>
                    <w:widowControl/>
                    <w:snapToGrid w:val="0"/>
                    <w:contextualSpacing/>
                    <w:jc w:val="center"/>
                    <w:rPr>
                      <w:rFonts w:hint="default" w:ascii="Times New Roman" w:hAnsi="Times New Roman" w:eastAsia="宋体" w:cs="Times New Roman"/>
                      <w:b w:val="0"/>
                      <w:color w:val="auto"/>
                      <w:sz w:val="21"/>
                      <w:szCs w:val="21"/>
                      <w:highlight w:val="none"/>
                      <w:lang w:val="en-US" w:eastAsia="en-US" w:bidi="ar-SA"/>
                    </w:rPr>
                  </w:pPr>
                  <w:r>
                    <w:rPr>
                      <w:rFonts w:hint="default" w:ascii="Times New Roman" w:hAnsi="Times New Roman" w:eastAsia="宋体" w:cs="Times New Roman"/>
                      <w:color w:val="auto"/>
                      <w:kern w:val="0"/>
                      <w:sz w:val="21"/>
                      <w:szCs w:val="21"/>
                      <w:lang w:val="en-US" w:eastAsia="zh-CN"/>
                    </w:rPr>
                    <w:t>投料皮带机</w:t>
                  </w:r>
                </w:p>
              </w:tc>
              <w:tc>
                <w:tcPr>
                  <w:tcW w:w="534" w:type="pct"/>
                  <w:shd w:val="clear" w:color="auto" w:fill="auto"/>
                  <w:vAlign w:val="center"/>
                </w:tcPr>
                <w:p w14:paraId="29476595">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bidi="ar-SA"/>
                    </w:rPr>
                  </w:pPr>
                  <w:r>
                    <w:rPr>
                      <w:rFonts w:hint="default" w:ascii="Times New Roman" w:hAnsi="Times New Roman" w:eastAsia="宋体" w:cs="Times New Roman"/>
                      <w:b w:val="0"/>
                      <w:color w:val="auto"/>
                      <w:sz w:val="21"/>
                      <w:szCs w:val="21"/>
                      <w:highlight w:val="none"/>
                      <w:lang w:val="en-US" w:eastAsia="zh-CN" w:bidi="ar-SA"/>
                    </w:rPr>
                    <w:t>/</w:t>
                  </w:r>
                </w:p>
              </w:tc>
              <w:tc>
                <w:tcPr>
                  <w:tcW w:w="535" w:type="pct"/>
                  <w:shd w:val="clear" w:color="auto" w:fill="auto"/>
                  <w:vAlign w:val="center"/>
                </w:tcPr>
                <w:p w14:paraId="4CDB22AA">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1</w:t>
                  </w:r>
                </w:p>
              </w:tc>
            </w:tr>
            <w:tr w14:paraId="51683A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rPr>
              <w:tc>
                <w:tcPr>
                  <w:tcW w:w="1401" w:type="pct"/>
                  <w:shd w:val="clear" w:color="auto" w:fill="auto"/>
                  <w:vAlign w:val="center"/>
                </w:tcPr>
                <w:p w14:paraId="50BABB2E">
                  <w:pPr>
                    <w:widowControl/>
                    <w:snapToGrid w:val="0"/>
                    <w:contextualSpacing/>
                    <w:jc w:val="center"/>
                    <w:rPr>
                      <w:rFonts w:hint="default" w:ascii="Times New Roman" w:hAnsi="Times New Roman" w:eastAsia="宋体" w:cs="Times New Roman"/>
                      <w:b w:val="0"/>
                      <w:color w:val="auto"/>
                      <w:sz w:val="21"/>
                      <w:szCs w:val="21"/>
                      <w:highlight w:val="none"/>
                      <w:lang w:eastAsia="zh-CN"/>
                    </w:rPr>
                  </w:pPr>
                  <w:r>
                    <w:rPr>
                      <w:rFonts w:hint="default" w:ascii="Times New Roman" w:hAnsi="Times New Roman" w:eastAsia="宋体" w:cs="Times New Roman"/>
                      <w:color w:val="auto"/>
                      <w:kern w:val="0"/>
                      <w:sz w:val="21"/>
                      <w:szCs w:val="21"/>
                      <w:highlight w:val="none"/>
                      <w:lang w:val="en-US" w:eastAsia="zh-CN"/>
                    </w:rPr>
                    <w:t>粉碎机</w:t>
                  </w:r>
                </w:p>
              </w:tc>
              <w:tc>
                <w:tcPr>
                  <w:tcW w:w="623" w:type="pct"/>
                  <w:shd w:val="clear" w:color="auto" w:fill="auto"/>
                  <w:vAlign w:val="center"/>
                </w:tcPr>
                <w:p w14:paraId="754BE811">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w:t>
                  </w:r>
                </w:p>
              </w:tc>
              <w:tc>
                <w:tcPr>
                  <w:tcW w:w="489" w:type="pct"/>
                  <w:shd w:val="clear" w:color="auto" w:fill="auto"/>
                  <w:vAlign w:val="center"/>
                </w:tcPr>
                <w:p w14:paraId="6A2C0BC0">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1</w:t>
                  </w:r>
                </w:p>
              </w:tc>
              <w:tc>
                <w:tcPr>
                  <w:tcW w:w="1416" w:type="pct"/>
                  <w:shd w:val="clear" w:color="auto" w:fill="auto"/>
                  <w:vAlign w:val="center"/>
                </w:tcPr>
                <w:p w14:paraId="5F68FFEE">
                  <w:pPr>
                    <w:widowControl/>
                    <w:snapToGrid w:val="0"/>
                    <w:contextualSpacing/>
                    <w:jc w:val="center"/>
                    <w:rPr>
                      <w:rFonts w:hint="default" w:ascii="Times New Roman" w:hAnsi="Times New Roman" w:eastAsia="宋体" w:cs="Times New Roman"/>
                      <w:b w:val="0"/>
                      <w:color w:val="auto"/>
                      <w:spacing w:val="4"/>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粉碎机</w:t>
                  </w:r>
                </w:p>
              </w:tc>
              <w:tc>
                <w:tcPr>
                  <w:tcW w:w="534" w:type="pct"/>
                  <w:shd w:val="clear" w:color="auto" w:fill="auto"/>
                  <w:vAlign w:val="center"/>
                </w:tcPr>
                <w:p w14:paraId="0FAA6690">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bidi="ar-SA"/>
                    </w:rPr>
                  </w:pPr>
                  <w:r>
                    <w:rPr>
                      <w:rFonts w:hint="default" w:ascii="Times New Roman" w:hAnsi="Times New Roman" w:eastAsia="宋体" w:cs="Times New Roman"/>
                      <w:b w:val="0"/>
                      <w:color w:val="auto"/>
                      <w:sz w:val="21"/>
                      <w:szCs w:val="21"/>
                      <w:highlight w:val="none"/>
                      <w:lang w:val="en-US" w:eastAsia="zh-CN" w:bidi="ar-SA"/>
                    </w:rPr>
                    <w:t>/</w:t>
                  </w:r>
                </w:p>
              </w:tc>
              <w:tc>
                <w:tcPr>
                  <w:tcW w:w="535" w:type="pct"/>
                  <w:shd w:val="clear" w:color="auto" w:fill="auto"/>
                  <w:vAlign w:val="center"/>
                </w:tcPr>
                <w:p w14:paraId="2063FE66">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0</w:t>
                  </w:r>
                </w:p>
              </w:tc>
            </w:tr>
            <w:tr w14:paraId="288856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rPr>
              <w:tc>
                <w:tcPr>
                  <w:tcW w:w="1401" w:type="pct"/>
                  <w:shd w:val="clear" w:color="auto" w:fill="auto"/>
                  <w:vAlign w:val="center"/>
                </w:tcPr>
                <w:p w14:paraId="69A2544E">
                  <w:pPr>
                    <w:widowControl/>
                    <w:snapToGrid w:val="0"/>
                    <w:contextualSpacing/>
                    <w:jc w:val="center"/>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color w:val="auto"/>
                      <w:kern w:val="0"/>
                      <w:sz w:val="21"/>
                      <w:szCs w:val="21"/>
                      <w:lang w:val="en-US" w:eastAsia="zh-CN"/>
                    </w:rPr>
                    <w:t>筛分进料皮带机</w:t>
                  </w:r>
                </w:p>
              </w:tc>
              <w:tc>
                <w:tcPr>
                  <w:tcW w:w="623" w:type="pct"/>
                  <w:shd w:val="clear" w:color="auto" w:fill="auto"/>
                  <w:vAlign w:val="center"/>
                </w:tcPr>
                <w:p w14:paraId="187EB870">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w:t>
                  </w:r>
                </w:p>
              </w:tc>
              <w:tc>
                <w:tcPr>
                  <w:tcW w:w="489" w:type="pct"/>
                  <w:shd w:val="clear" w:color="auto" w:fill="auto"/>
                  <w:vAlign w:val="center"/>
                </w:tcPr>
                <w:p w14:paraId="579A9230">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1</w:t>
                  </w:r>
                </w:p>
              </w:tc>
              <w:tc>
                <w:tcPr>
                  <w:tcW w:w="1416" w:type="pct"/>
                  <w:shd w:val="clear" w:color="auto" w:fill="auto"/>
                  <w:vAlign w:val="center"/>
                </w:tcPr>
                <w:p w14:paraId="75DDE905">
                  <w:pPr>
                    <w:widowControl/>
                    <w:snapToGrid w:val="0"/>
                    <w:contextualSpacing/>
                    <w:jc w:val="center"/>
                    <w:rPr>
                      <w:rFonts w:hint="default" w:ascii="Times New Roman" w:hAnsi="Times New Roman" w:eastAsia="宋体" w:cs="Times New Roman"/>
                      <w:b w:val="0"/>
                      <w:color w:val="auto"/>
                      <w:sz w:val="21"/>
                      <w:szCs w:val="21"/>
                      <w:highlight w:val="none"/>
                      <w:lang w:val="en-US" w:eastAsia="en-US" w:bidi="ar-SA"/>
                    </w:rPr>
                  </w:pPr>
                  <w:r>
                    <w:rPr>
                      <w:rFonts w:hint="default" w:ascii="Times New Roman" w:hAnsi="Times New Roman" w:eastAsia="宋体" w:cs="Times New Roman"/>
                      <w:color w:val="auto"/>
                      <w:kern w:val="0"/>
                      <w:sz w:val="21"/>
                      <w:szCs w:val="21"/>
                      <w:lang w:val="en-US" w:eastAsia="zh-CN"/>
                    </w:rPr>
                    <w:t>筛分进料皮带机</w:t>
                  </w:r>
                </w:p>
              </w:tc>
              <w:tc>
                <w:tcPr>
                  <w:tcW w:w="534" w:type="pct"/>
                  <w:shd w:val="clear" w:color="auto" w:fill="auto"/>
                  <w:vAlign w:val="center"/>
                </w:tcPr>
                <w:p w14:paraId="65D3D500">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bidi="ar-SA"/>
                    </w:rPr>
                  </w:pPr>
                  <w:r>
                    <w:rPr>
                      <w:rFonts w:hint="default" w:ascii="Times New Roman" w:hAnsi="Times New Roman" w:eastAsia="宋体" w:cs="Times New Roman"/>
                      <w:b w:val="0"/>
                      <w:color w:val="auto"/>
                      <w:sz w:val="21"/>
                      <w:szCs w:val="21"/>
                      <w:highlight w:val="none"/>
                      <w:lang w:val="en-US" w:eastAsia="zh-CN" w:bidi="ar-SA"/>
                    </w:rPr>
                    <w:t>/</w:t>
                  </w:r>
                </w:p>
              </w:tc>
              <w:tc>
                <w:tcPr>
                  <w:tcW w:w="535" w:type="pct"/>
                  <w:shd w:val="clear" w:color="auto" w:fill="auto"/>
                  <w:vAlign w:val="center"/>
                </w:tcPr>
                <w:p w14:paraId="6628A3F5">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1</w:t>
                  </w:r>
                </w:p>
              </w:tc>
            </w:tr>
            <w:tr w14:paraId="7B1261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rPr>
              <w:tc>
                <w:tcPr>
                  <w:tcW w:w="1401" w:type="pct"/>
                  <w:shd w:val="clear" w:color="auto" w:fill="auto"/>
                  <w:vAlign w:val="center"/>
                </w:tcPr>
                <w:p w14:paraId="32CFF390">
                  <w:pPr>
                    <w:widowControl/>
                    <w:snapToGrid w:val="0"/>
                    <w:contextualSpacing/>
                    <w:jc w:val="center"/>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color w:val="auto"/>
                      <w:kern w:val="0"/>
                      <w:sz w:val="21"/>
                      <w:szCs w:val="21"/>
                      <w:lang w:val="en-US" w:eastAsia="zh-CN"/>
                    </w:rPr>
                    <w:t>全封闭滚动筛分机</w:t>
                  </w:r>
                </w:p>
              </w:tc>
              <w:tc>
                <w:tcPr>
                  <w:tcW w:w="623" w:type="pct"/>
                  <w:shd w:val="clear" w:color="auto" w:fill="auto"/>
                  <w:vAlign w:val="center"/>
                </w:tcPr>
                <w:p w14:paraId="0ED0F087">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w:t>
                  </w:r>
                </w:p>
              </w:tc>
              <w:tc>
                <w:tcPr>
                  <w:tcW w:w="489" w:type="pct"/>
                  <w:shd w:val="clear" w:color="auto" w:fill="auto"/>
                  <w:vAlign w:val="center"/>
                </w:tcPr>
                <w:p w14:paraId="2AD98061">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1</w:t>
                  </w:r>
                </w:p>
              </w:tc>
              <w:tc>
                <w:tcPr>
                  <w:tcW w:w="1416" w:type="pct"/>
                  <w:shd w:val="clear" w:color="auto" w:fill="auto"/>
                  <w:vAlign w:val="center"/>
                </w:tcPr>
                <w:p w14:paraId="68E57664">
                  <w:pPr>
                    <w:widowControl/>
                    <w:snapToGrid w:val="0"/>
                    <w:contextualSpacing/>
                    <w:jc w:val="center"/>
                    <w:rPr>
                      <w:rFonts w:hint="default" w:ascii="Times New Roman" w:hAnsi="Times New Roman" w:eastAsia="宋体" w:cs="Times New Roman"/>
                      <w:b w:val="0"/>
                      <w:color w:val="auto"/>
                      <w:sz w:val="21"/>
                      <w:szCs w:val="21"/>
                      <w:highlight w:val="none"/>
                      <w:lang w:val="en-US" w:eastAsia="en-US" w:bidi="ar-SA"/>
                    </w:rPr>
                  </w:pPr>
                  <w:r>
                    <w:rPr>
                      <w:rFonts w:hint="default" w:ascii="Times New Roman" w:hAnsi="Times New Roman" w:eastAsia="宋体" w:cs="Times New Roman"/>
                      <w:color w:val="auto"/>
                      <w:kern w:val="0"/>
                      <w:sz w:val="21"/>
                      <w:szCs w:val="21"/>
                      <w:lang w:val="en-US" w:eastAsia="zh-CN"/>
                    </w:rPr>
                    <w:t>全封闭滚动筛分机</w:t>
                  </w:r>
                </w:p>
              </w:tc>
              <w:tc>
                <w:tcPr>
                  <w:tcW w:w="534" w:type="pct"/>
                  <w:shd w:val="clear" w:color="auto" w:fill="auto"/>
                  <w:vAlign w:val="center"/>
                </w:tcPr>
                <w:p w14:paraId="7D537252">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bidi="ar-SA"/>
                    </w:rPr>
                  </w:pPr>
                  <w:r>
                    <w:rPr>
                      <w:rFonts w:hint="default" w:ascii="Times New Roman" w:hAnsi="Times New Roman" w:eastAsia="宋体" w:cs="Times New Roman"/>
                      <w:b w:val="0"/>
                      <w:color w:val="auto"/>
                      <w:sz w:val="21"/>
                      <w:szCs w:val="21"/>
                      <w:highlight w:val="none"/>
                      <w:lang w:val="en-US" w:eastAsia="zh-CN" w:bidi="ar-SA"/>
                    </w:rPr>
                    <w:t>/</w:t>
                  </w:r>
                </w:p>
              </w:tc>
              <w:tc>
                <w:tcPr>
                  <w:tcW w:w="535" w:type="pct"/>
                  <w:shd w:val="clear" w:color="auto" w:fill="auto"/>
                  <w:vAlign w:val="center"/>
                </w:tcPr>
                <w:p w14:paraId="02C190E9">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1</w:t>
                  </w:r>
                </w:p>
              </w:tc>
            </w:tr>
            <w:tr w14:paraId="7F0F1B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401" w:type="pct"/>
                  <w:shd w:val="clear" w:color="auto" w:fill="auto"/>
                  <w:vAlign w:val="center"/>
                </w:tcPr>
                <w:p w14:paraId="13E800F6">
                  <w:pPr>
                    <w:widowControl/>
                    <w:snapToGrid w:val="0"/>
                    <w:contextualSpacing/>
                    <w:jc w:val="center"/>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color w:val="auto"/>
                      <w:kern w:val="0"/>
                      <w:sz w:val="21"/>
                      <w:szCs w:val="21"/>
                      <w:lang w:val="en-US" w:eastAsia="zh-CN"/>
                    </w:rPr>
                    <w:t>筛分粉料出料皮带</w:t>
                  </w:r>
                </w:p>
              </w:tc>
              <w:tc>
                <w:tcPr>
                  <w:tcW w:w="623" w:type="pct"/>
                  <w:shd w:val="clear" w:color="auto" w:fill="auto"/>
                  <w:vAlign w:val="center"/>
                </w:tcPr>
                <w:p w14:paraId="462E7597">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w:t>
                  </w:r>
                </w:p>
              </w:tc>
              <w:tc>
                <w:tcPr>
                  <w:tcW w:w="489" w:type="pct"/>
                  <w:shd w:val="clear" w:color="auto" w:fill="auto"/>
                  <w:vAlign w:val="center"/>
                </w:tcPr>
                <w:p w14:paraId="6226E85B">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1</w:t>
                  </w:r>
                </w:p>
              </w:tc>
              <w:tc>
                <w:tcPr>
                  <w:tcW w:w="1416" w:type="pct"/>
                  <w:shd w:val="clear" w:color="auto" w:fill="auto"/>
                  <w:vAlign w:val="center"/>
                </w:tcPr>
                <w:p w14:paraId="56B5BB4A">
                  <w:pPr>
                    <w:widowControl/>
                    <w:snapToGrid w:val="0"/>
                    <w:contextualSpacing/>
                    <w:jc w:val="center"/>
                    <w:rPr>
                      <w:rFonts w:hint="default" w:ascii="Times New Roman" w:hAnsi="Times New Roman" w:eastAsia="宋体" w:cs="Times New Roman"/>
                      <w:b w:val="0"/>
                      <w:color w:val="auto"/>
                      <w:sz w:val="21"/>
                      <w:szCs w:val="21"/>
                      <w:highlight w:val="none"/>
                      <w:lang w:val="en-US" w:eastAsia="en-US" w:bidi="ar-SA"/>
                    </w:rPr>
                  </w:pPr>
                  <w:r>
                    <w:rPr>
                      <w:rFonts w:hint="default" w:ascii="Times New Roman" w:hAnsi="Times New Roman" w:eastAsia="宋体" w:cs="Times New Roman"/>
                      <w:color w:val="auto"/>
                      <w:kern w:val="0"/>
                      <w:sz w:val="21"/>
                      <w:szCs w:val="21"/>
                      <w:lang w:val="en-US" w:eastAsia="zh-CN"/>
                    </w:rPr>
                    <w:t>筛分粉料出料皮带</w:t>
                  </w:r>
                </w:p>
              </w:tc>
              <w:tc>
                <w:tcPr>
                  <w:tcW w:w="534" w:type="pct"/>
                  <w:shd w:val="clear" w:color="auto" w:fill="auto"/>
                  <w:vAlign w:val="center"/>
                </w:tcPr>
                <w:p w14:paraId="5BB26FF0">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bidi="ar-SA"/>
                    </w:rPr>
                  </w:pPr>
                  <w:r>
                    <w:rPr>
                      <w:rFonts w:hint="default" w:ascii="Times New Roman" w:hAnsi="Times New Roman" w:eastAsia="宋体" w:cs="Times New Roman"/>
                      <w:b w:val="0"/>
                      <w:color w:val="auto"/>
                      <w:sz w:val="21"/>
                      <w:szCs w:val="21"/>
                      <w:highlight w:val="none"/>
                      <w:lang w:val="en-US" w:eastAsia="zh-CN" w:bidi="ar-SA"/>
                    </w:rPr>
                    <w:t>/</w:t>
                  </w:r>
                </w:p>
              </w:tc>
              <w:tc>
                <w:tcPr>
                  <w:tcW w:w="535" w:type="pct"/>
                  <w:shd w:val="clear" w:color="auto" w:fill="auto"/>
                  <w:vAlign w:val="center"/>
                </w:tcPr>
                <w:p w14:paraId="61ED7D2F">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1</w:t>
                  </w:r>
                </w:p>
              </w:tc>
            </w:tr>
            <w:tr w14:paraId="72BA8C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rPr>
              <w:tc>
                <w:tcPr>
                  <w:tcW w:w="1401" w:type="pct"/>
                  <w:shd w:val="clear" w:color="auto" w:fill="auto"/>
                  <w:vAlign w:val="center"/>
                </w:tcPr>
                <w:p w14:paraId="70F7C05F">
                  <w:pPr>
                    <w:widowControl/>
                    <w:snapToGrid w:val="0"/>
                    <w:contextualSpacing/>
                    <w:jc w:val="center"/>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rPr>
                    <w:t>一体式包装机</w:t>
                  </w:r>
                </w:p>
              </w:tc>
              <w:tc>
                <w:tcPr>
                  <w:tcW w:w="623" w:type="pct"/>
                  <w:shd w:val="clear" w:color="auto" w:fill="auto"/>
                  <w:vAlign w:val="center"/>
                </w:tcPr>
                <w:p w14:paraId="3AE0718C">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w:t>
                  </w:r>
                </w:p>
              </w:tc>
              <w:tc>
                <w:tcPr>
                  <w:tcW w:w="489" w:type="pct"/>
                  <w:shd w:val="clear" w:color="auto" w:fill="auto"/>
                  <w:vAlign w:val="center"/>
                </w:tcPr>
                <w:p w14:paraId="508D7BA3">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1</w:t>
                  </w:r>
                </w:p>
              </w:tc>
              <w:tc>
                <w:tcPr>
                  <w:tcW w:w="1416" w:type="pct"/>
                  <w:shd w:val="clear" w:color="auto" w:fill="auto"/>
                  <w:vAlign w:val="center"/>
                </w:tcPr>
                <w:p w14:paraId="03C3BED2">
                  <w:pPr>
                    <w:widowControl/>
                    <w:snapToGrid w:val="0"/>
                    <w:contextualSpacing/>
                    <w:jc w:val="center"/>
                    <w:rPr>
                      <w:rFonts w:hint="default" w:ascii="Times New Roman" w:hAnsi="Times New Roman" w:eastAsia="宋体" w:cs="Times New Roman"/>
                      <w:b w:val="0"/>
                      <w:color w:val="auto"/>
                      <w:sz w:val="21"/>
                      <w:szCs w:val="21"/>
                      <w:highlight w:val="none"/>
                      <w:lang w:val="en-US" w:eastAsia="en-US" w:bidi="ar-SA"/>
                    </w:rPr>
                  </w:pPr>
                  <w:r>
                    <w:rPr>
                      <w:rFonts w:hint="default" w:ascii="Times New Roman" w:hAnsi="Times New Roman" w:eastAsia="宋体" w:cs="Times New Roman"/>
                      <w:color w:val="auto"/>
                      <w:kern w:val="0"/>
                      <w:sz w:val="21"/>
                      <w:szCs w:val="21"/>
                      <w:highlight w:val="none"/>
                      <w:lang w:val="en-US" w:eastAsia="zh-CN"/>
                    </w:rPr>
                    <w:t>一体式包装机</w:t>
                  </w:r>
                </w:p>
              </w:tc>
              <w:tc>
                <w:tcPr>
                  <w:tcW w:w="534" w:type="pct"/>
                  <w:shd w:val="clear" w:color="auto" w:fill="auto"/>
                  <w:vAlign w:val="center"/>
                </w:tcPr>
                <w:p w14:paraId="73129A5C">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bidi="ar-SA"/>
                    </w:rPr>
                  </w:pPr>
                  <w:r>
                    <w:rPr>
                      <w:rFonts w:hint="default" w:ascii="Times New Roman" w:hAnsi="Times New Roman" w:eastAsia="宋体" w:cs="Times New Roman"/>
                      <w:b w:val="0"/>
                      <w:color w:val="auto"/>
                      <w:sz w:val="21"/>
                      <w:szCs w:val="21"/>
                      <w:highlight w:val="none"/>
                      <w:lang w:val="en-US" w:eastAsia="zh-CN" w:bidi="ar-SA"/>
                    </w:rPr>
                    <w:t>/</w:t>
                  </w:r>
                </w:p>
              </w:tc>
              <w:tc>
                <w:tcPr>
                  <w:tcW w:w="535" w:type="pct"/>
                  <w:shd w:val="clear" w:color="auto" w:fill="auto"/>
                  <w:vAlign w:val="center"/>
                </w:tcPr>
                <w:p w14:paraId="45AC7B19">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1</w:t>
                  </w:r>
                </w:p>
              </w:tc>
            </w:tr>
            <w:tr w14:paraId="589511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rPr>
              <w:tc>
                <w:tcPr>
                  <w:tcW w:w="1401" w:type="pct"/>
                  <w:shd w:val="clear" w:color="auto" w:fill="auto"/>
                  <w:vAlign w:val="center"/>
                </w:tcPr>
                <w:p w14:paraId="5C9B20BA">
                  <w:pPr>
                    <w:widowControl/>
                    <w:snapToGrid w:val="0"/>
                    <w:contextualSpacing/>
                    <w:jc w:val="center"/>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color w:val="auto"/>
                      <w:kern w:val="0"/>
                      <w:sz w:val="21"/>
                      <w:szCs w:val="21"/>
                      <w:lang w:val="en-US" w:eastAsia="zh-CN"/>
                    </w:rPr>
                    <w:t>铲车</w:t>
                  </w:r>
                </w:p>
              </w:tc>
              <w:tc>
                <w:tcPr>
                  <w:tcW w:w="623" w:type="pct"/>
                  <w:shd w:val="clear" w:color="auto" w:fill="auto"/>
                  <w:vAlign w:val="center"/>
                </w:tcPr>
                <w:p w14:paraId="67D9ABFA">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color w:val="000000"/>
                      <w:sz w:val="21"/>
                      <w:szCs w:val="21"/>
                      <w:lang w:val="en-US" w:eastAsia="zh-CN"/>
                    </w:rPr>
                    <w:t>CT-50</w:t>
                  </w:r>
                </w:p>
              </w:tc>
              <w:tc>
                <w:tcPr>
                  <w:tcW w:w="489" w:type="pct"/>
                  <w:shd w:val="clear" w:color="auto" w:fill="auto"/>
                  <w:vAlign w:val="center"/>
                </w:tcPr>
                <w:p w14:paraId="6C5785D9">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1</w:t>
                  </w:r>
                </w:p>
              </w:tc>
              <w:tc>
                <w:tcPr>
                  <w:tcW w:w="1416" w:type="pct"/>
                  <w:shd w:val="clear" w:color="auto" w:fill="auto"/>
                  <w:vAlign w:val="center"/>
                </w:tcPr>
                <w:p w14:paraId="361D83C2">
                  <w:pPr>
                    <w:widowControl/>
                    <w:snapToGrid w:val="0"/>
                    <w:contextualSpacing/>
                    <w:jc w:val="center"/>
                    <w:rPr>
                      <w:rFonts w:hint="default" w:ascii="Times New Roman" w:hAnsi="Times New Roman" w:eastAsia="宋体" w:cs="Times New Roman"/>
                      <w:b w:val="0"/>
                      <w:color w:val="auto"/>
                      <w:sz w:val="21"/>
                      <w:szCs w:val="21"/>
                      <w:highlight w:val="none"/>
                      <w:lang w:val="en-US" w:eastAsia="en-US" w:bidi="ar-SA"/>
                    </w:rPr>
                  </w:pPr>
                  <w:r>
                    <w:rPr>
                      <w:rFonts w:hint="default" w:ascii="Times New Roman" w:hAnsi="Times New Roman" w:eastAsia="宋体" w:cs="Times New Roman"/>
                      <w:color w:val="auto"/>
                      <w:kern w:val="0"/>
                      <w:sz w:val="21"/>
                      <w:szCs w:val="21"/>
                      <w:lang w:val="en-US" w:eastAsia="zh-CN"/>
                    </w:rPr>
                    <w:t>铲车</w:t>
                  </w:r>
                </w:p>
              </w:tc>
              <w:tc>
                <w:tcPr>
                  <w:tcW w:w="534" w:type="pct"/>
                  <w:shd w:val="clear" w:color="auto" w:fill="auto"/>
                  <w:vAlign w:val="center"/>
                </w:tcPr>
                <w:p w14:paraId="0940A03D">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bidi="ar-SA"/>
                    </w:rPr>
                  </w:pPr>
                  <w:r>
                    <w:rPr>
                      <w:rFonts w:hint="default" w:ascii="Times New Roman" w:hAnsi="Times New Roman" w:eastAsia="宋体" w:cs="Times New Roman"/>
                      <w:color w:val="000000"/>
                      <w:sz w:val="21"/>
                      <w:szCs w:val="21"/>
                      <w:lang w:val="en-US" w:eastAsia="zh-CN"/>
                    </w:rPr>
                    <w:t>CT-50</w:t>
                  </w:r>
                </w:p>
              </w:tc>
              <w:tc>
                <w:tcPr>
                  <w:tcW w:w="535" w:type="pct"/>
                  <w:shd w:val="clear" w:color="auto" w:fill="auto"/>
                  <w:vAlign w:val="center"/>
                </w:tcPr>
                <w:p w14:paraId="7BDE60AE">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1</w:t>
                  </w:r>
                </w:p>
              </w:tc>
            </w:tr>
            <w:tr w14:paraId="1DB4DC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rPr>
              <w:tc>
                <w:tcPr>
                  <w:tcW w:w="1401" w:type="pct"/>
                  <w:vMerge w:val="restart"/>
                  <w:shd w:val="clear" w:color="auto" w:fill="auto"/>
                  <w:vAlign w:val="center"/>
                </w:tcPr>
                <w:p w14:paraId="1C0AE48D">
                  <w:pPr>
                    <w:widowControl/>
                    <w:snapToGrid w:val="0"/>
                    <w:contextualSpacing/>
                    <w:jc w:val="center"/>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rPr>
                    <w:t>风机</w:t>
                  </w:r>
                </w:p>
              </w:tc>
              <w:tc>
                <w:tcPr>
                  <w:tcW w:w="623" w:type="pct"/>
                  <w:vMerge w:val="restart"/>
                  <w:shd w:val="clear" w:color="auto" w:fill="auto"/>
                  <w:vAlign w:val="center"/>
                </w:tcPr>
                <w:p w14:paraId="5842FDFB">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w:t>
                  </w:r>
                </w:p>
              </w:tc>
              <w:tc>
                <w:tcPr>
                  <w:tcW w:w="489" w:type="pct"/>
                  <w:vMerge w:val="restart"/>
                  <w:shd w:val="clear" w:color="auto" w:fill="auto"/>
                  <w:vAlign w:val="center"/>
                </w:tcPr>
                <w:p w14:paraId="4035D01F">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2</w:t>
                  </w:r>
                </w:p>
              </w:tc>
              <w:tc>
                <w:tcPr>
                  <w:tcW w:w="1416" w:type="pct"/>
                  <w:shd w:val="clear" w:color="auto" w:fill="auto"/>
                  <w:vAlign w:val="center"/>
                </w:tcPr>
                <w:p w14:paraId="73F3E777">
                  <w:pPr>
                    <w:widowControl/>
                    <w:snapToGrid w:val="0"/>
                    <w:contextualSpacing/>
                    <w:jc w:val="center"/>
                    <w:rPr>
                      <w:rFonts w:hint="default" w:ascii="Times New Roman" w:hAnsi="Times New Roman" w:eastAsia="宋体" w:cs="Times New Roman"/>
                      <w:b w:val="0"/>
                      <w:color w:val="auto"/>
                      <w:sz w:val="21"/>
                      <w:szCs w:val="21"/>
                      <w:highlight w:val="none"/>
                      <w:lang w:val="en-US" w:eastAsia="en-US" w:bidi="ar-SA"/>
                    </w:rPr>
                  </w:pPr>
                  <w:r>
                    <w:rPr>
                      <w:rFonts w:hint="default" w:ascii="Times New Roman" w:hAnsi="Times New Roman" w:eastAsia="宋体" w:cs="Times New Roman"/>
                      <w:color w:val="auto"/>
                      <w:kern w:val="0"/>
                      <w:sz w:val="21"/>
                      <w:szCs w:val="21"/>
                      <w:highlight w:val="none"/>
                      <w:lang w:val="en-US" w:eastAsia="zh-CN"/>
                    </w:rPr>
                    <w:t>风机</w:t>
                  </w:r>
                </w:p>
              </w:tc>
              <w:tc>
                <w:tcPr>
                  <w:tcW w:w="534" w:type="pct"/>
                  <w:shd w:val="clear" w:color="auto" w:fill="auto"/>
                  <w:vAlign w:val="center"/>
                </w:tcPr>
                <w:p w14:paraId="7366B2D1">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bidi="ar-SA"/>
                    </w:rPr>
                  </w:pPr>
                  <w:r>
                    <w:rPr>
                      <w:rFonts w:hint="default" w:ascii="Times New Roman" w:hAnsi="Times New Roman" w:eastAsia="宋体" w:cs="Times New Roman"/>
                      <w:b w:val="0"/>
                      <w:color w:val="auto"/>
                      <w:sz w:val="21"/>
                      <w:szCs w:val="21"/>
                      <w:highlight w:val="none"/>
                      <w:lang w:val="en-US" w:eastAsia="zh-CN" w:bidi="ar-SA"/>
                    </w:rPr>
                    <w:t>5000m</w:t>
                  </w:r>
                  <w:r>
                    <w:rPr>
                      <w:rFonts w:hint="default" w:ascii="Times New Roman" w:hAnsi="Times New Roman" w:eastAsia="宋体" w:cs="Times New Roman"/>
                      <w:b w:val="0"/>
                      <w:color w:val="auto"/>
                      <w:sz w:val="21"/>
                      <w:szCs w:val="21"/>
                      <w:highlight w:val="none"/>
                      <w:vertAlign w:val="superscript"/>
                      <w:lang w:val="en-US" w:eastAsia="zh-CN" w:bidi="ar-SA"/>
                    </w:rPr>
                    <w:t>3</w:t>
                  </w:r>
                  <w:r>
                    <w:rPr>
                      <w:rFonts w:hint="default" w:ascii="Times New Roman" w:hAnsi="Times New Roman" w:eastAsia="宋体" w:cs="Times New Roman"/>
                      <w:b w:val="0"/>
                      <w:color w:val="auto"/>
                      <w:sz w:val="21"/>
                      <w:szCs w:val="21"/>
                      <w:highlight w:val="none"/>
                      <w:lang w:val="en-US" w:eastAsia="zh-CN" w:bidi="ar-SA"/>
                    </w:rPr>
                    <w:t>/h</w:t>
                  </w:r>
                </w:p>
              </w:tc>
              <w:tc>
                <w:tcPr>
                  <w:tcW w:w="535" w:type="pct"/>
                  <w:shd w:val="clear" w:color="auto" w:fill="auto"/>
                  <w:vAlign w:val="center"/>
                </w:tcPr>
                <w:p w14:paraId="2EEBD1F7">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1</w:t>
                  </w:r>
                </w:p>
              </w:tc>
            </w:tr>
            <w:tr w14:paraId="687A7D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rPr>
              <w:tc>
                <w:tcPr>
                  <w:tcW w:w="1401" w:type="pct"/>
                  <w:vMerge w:val="continue"/>
                  <w:shd w:val="clear" w:color="auto" w:fill="auto"/>
                  <w:vAlign w:val="center"/>
                </w:tcPr>
                <w:p w14:paraId="1169EFA0">
                  <w:pPr>
                    <w:widowControl/>
                    <w:snapToGrid w:val="0"/>
                    <w:contextualSpacing/>
                    <w:jc w:val="center"/>
                    <w:rPr>
                      <w:rFonts w:hint="default" w:ascii="Times New Roman" w:hAnsi="Times New Roman" w:eastAsia="宋体" w:cs="Times New Roman"/>
                      <w:color w:val="auto"/>
                      <w:kern w:val="0"/>
                      <w:sz w:val="21"/>
                      <w:szCs w:val="21"/>
                      <w:highlight w:val="none"/>
                      <w:lang w:val="en-US" w:eastAsia="zh-CN"/>
                    </w:rPr>
                  </w:pPr>
                </w:p>
              </w:tc>
              <w:tc>
                <w:tcPr>
                  <w:tcW w:w="623" w:type="pct"/>
                  <w:vMerge w:val="continue"/>
                  <w:shd w:val="clear" w:color="auto" w:fill="auto"/>
                  <w:vAlign w:val="center"/>
                </w:tcPr>
                <w:p w14:paraId="2CAFFCF9">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p>
              </w:tc>
              <w:tc>
                <w:tcPr>
                  <w:tcW w:w="489" w:type="pct"/>
                  <w:vMerge w:val="continue"/>
                  <w:shd w:val="clear" w:color="auto" w:fill="auto"/>
                  <w:vAlign w:val="center"/>
                </w:tcPr>
                <w:p w14:paraId="77D102D8">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p>
              </w:tc>
              <w:tc>
                <w:tcPr>
                  <w:tcW w:w="1416" w:type="pct"/>
                  <w:shd w:val="clear" w:color="auto" w:fill="auto"/>
                  <w:vAlign w:val="center"/>
                </w:tcPr>
                <w:p w14:paraId="7B089A62">
                  <w:pPr>
                    <w:widowControl/>
                    <w:snapToGrid w:val="0"/>
                    <w:contextualSpacing/>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风机</w:t>
                  </w:r>
                </w:p>
              </w:tc>
              <w:tc>
                <w:tcPr>
                  <w:tcW w:w="534" w:type="pct"/>
                  <w:shd w:val="clear" w:color="auto" w:fill="auto"/>
                  <w:vAlign w:val="center"/>
                </w:tcPr>
                <w:p w14:paraId="53DE15A0">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bidi="ar-SA"/>
                    </w:rPr>
                  </w:pPr>
                  <w:r>
                    <w:rPr>
                      <w:rFonts w:hint="default" w:ascii="Times New Roman" w:hAnsi="Times New Roman" w:eastAsia="宋体" w:cs="Times New Roman"/>
                      <w:b w:val="0"/>
                      <w:color w:val="auto"/>
                      <w:sz w:val="21"/>
                      <w:szCs w:val="21"/>
                      <w:highlight w:val="none"/>
                      <w:lang w:val="en-US" w:eastAsia="zh-CN" w:bidi="ar-SA"/>
                    </w:rPr>
                    <w:t>2500m</w:t>
                  </w:r>
                  <w:r>
                    <w:rPr>
                      <w:rFonts w:hint="default" w:ascii="Times New Roman" w:hAnsi="Times New Roman" w:eastAsia="宋体" w:cs="Times New Roman"/>
                      <w:b w:val="0"/>
                      <w:color w:val="auto"/>
                      <w:sz w:val="21"/>
                      <w:szCs w:val="21"/>
                      <w:highlight w:val="none"/>
                      <w:vertAlign w:val="superscript"/>
                      <w:lang w:val="en-US" w:eastAsia="zh-CN" w:bidi="ar-SA"/>
                    </w:rPr>
                    <w:t>3</w:t>
                  </w:r>
                  <w:r>
                    <w:rPr>
                      <w:rFonts w:hint="default" w:ascii="Times New Roman" w:hAnsi="Times New Roman" w:eastAsia="宋体" w:cs="Times New Roman"/>
                      <w:b w:val="0"/>
                      <w:color w:val="auto"/>
                      <w:sz w:val="21"/>
                      <w:szCs w:val="21"/>
                      <w:highlight w:val="none"/>
                      <w:lang w:val="en-US" w:eastAsia="zh-CN" w:bidi="ar-SA"/>
                    </w:rPr>
                    <w:t>/h</w:t>
                  </w:r>
                </w:p>
              </w:tc>
              <w:tc>
                <w:tcPr>
                  <w:tcW w:w="535" w:type="pct"/>
                  <w:shd w:val="clear" w:color="auto" w:fill="auto"/>
                  <w:vAlign w:val="center"/>
                </w:tcPr>
                <w:p w14:paraId="1AF1B231">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1</w:t>
                  </w:r>
                </w:p>
              </w:tc>
            </w:tr>
            <w:tr w14:paraId="0C5EA9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401" w:type="pct"/>
                  <w:shd w:val="clear" w:color="auto" w:fill="auto"/>
                  <w:vAlign w:val="center"/>
                </w:tcPr>
                <w:p w14:paraId="52603066">
                  <w:pPr>
                    <w:widowControl/>
                    <w:snapToGrid w:val="0"/>
                    <w:contextualSpacing/>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过滤离心机</w:t>
                  </w:r>
                </w:p>
              </w:tc>
              <w:tc>
                <w:tcPr>
                  <w:tcW w:w="623" w:type="pct"/>
                  <w:shd w:val="clear" w:color="auto" w:fill="auto"/>
                  <w:vAlign w:val="center"/>
                </w:tcPr>
                <w:p w14:paraId="1E613D20">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color w:val="000000"/>
                      <w:sz w:val="21"/>
                      <w:szCs w:val="21"/>
                      <w:lang w:val="en-US" w:eastAsia="zh-CN"/>
                    </w:rPr>
                    <w:t>LX-950</w:t>
                  </w:r>
                </w:p>
              </w:tc>
              <w:tc>
                <w:tcPr>
                  <w:tcW w:w="489" w:type="pct"/>
                  <w:shd w:val="clear" w:color="auto" w:fill="auto"/>
                  <w:vAlign w:val="center"/>
                </w:tcPr>
                <w:p w14:paraId="753205C9">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2</w:t>
                  </w:r>
                </w:p>
              </w:tc>
              <w:tc>
                <w:tcPr>
                  <w:tcW w:w="1416" w:type="pct"/>
                  <w:shd w:val="clear" w:color="auto" w:fill="auto"/>
                  <w:vAlign w:val="center"/>
                </w:tcPr>
                <w:p w14:paraId="5B6273A0">
                  <w:pPr>
                    <w:widowControl/>
                    <w:snapToGrid w:val="0"/>
                    <w:contextualSpacing/>
                    <w:jc w:val="center"/>
                    <w:rPr>
                      <w:rFonts w:hint="default" w:ascii="Times New Roman" w:hAnsi="Times New Roman" w:eastAsia="宋体" w:cs="Times New Roman"/>
                      <w:b w:val="0"/>
                      <w:color w:val="auto"/>
                      <w:sz w:val="21"/>
                      <w:szCs w:val="21"/>
                      <w:highlight w:val="none"/>
                      <w:lang w:val="en-US" w:eastAsia="en-US" w:bidi="ar-SA"/>
                    </w:rPr>
                  </w:pPr>
                  <w:r>
                    <w:rPr>
                      <w:rFonts w:hint="default" w:ascii="Times New Roman" w:hAnsi="Times New Roman" w:eastAsia="宋体" w:cs="Times New Roman"/>
                      <w:color w:val="auto"/>
                      <w:kern w:val="0"/>
                      <w:sz w:val="21"/>
                      <w:szCs w:val="21"/>
                      <w:highlight w:val="none"/>
                      <w:lang w:val="en-US" w:eastAsia="zh-CN"/>
                    </w:rPr>
                    <w:t>过滤离心机</w:t>
                  </w:r>
                </w:p>
              </w:tc>
              <w:tc>
                <w:tcPr>
                  <w:tcW w:w="534" w:type="pct"/>
                  <w:shd w:val="clear" w:color="auto" w:fill="auto"/>
                  <w:vAlign w:val="center"/>
                </w:tcPr>
                <w:p w14:paraId="1053A822">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bidi="ar-SA"/>
                    </w:rPr>
                  </w:pPr>
                  <w:r>
                    <w:rPr>
                      <w:rFonts w:hint="default" w:ascii="Times New Roman" w:hAnsi="Times New Roman" w:eastAsia="宋体" w:cs="Times New Roman"/>
                      <w:b w:val="0"/>
                      <w:color w:val="auto"/>
                      <w:sz w:val="21"/>
                      <w:szCs w:val="21"/>
                      <w:highlight w:val="none"/>
                      <w:lang w:val="en-US" w:eastAsia="zh-CN" w:bidi="ar-SA"/>
                    </w:rPr>
                    <w:t>/</w:t>
                  </w:r>
                </w:p>
              </w:tc>
              <w:tc>
                <w:tcPr>
                  <w:tcW w:w="535" w:type="pct"/>
                  <w:shd w:val="clear" w:color="auto" w:fill="auto"/>
                  <w:vAlign w:val="center"/>
                </w:tcPr>
                <w:p w14:paraId="7D9FA4AD">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0</w:t>
                  </w:r>
                </w:p>
              </w:tc>
            </w:tr>
            <w:tr w14:paraId="77A56B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rPr>
              <w:tc>
                <w:tcPr>
                  <w:tcW w:w="1401" w:type="pct"/>
                  <w:shd w:val="clear" w:color="auto" w:fill="auto"/>
                  <w:vAlign w:val="center"/>
                </w:tcPr>
                <w:p w14:paraId="31F550EE">
                  <w:pPr>
                    <w:widowControl/>
                    <w:snapToGrid w:val="0"/>
                    <w:contextualSpacing/>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固体肥料发酵罐</w:t>
                  </w:r>
                </w:p>
              </w:tc>
              <w:tc>
                <w:tcPr>
                  <w:tcW w:w="623" w:type="pct"/>
                  <w:shd w:val="clear" w:color="auto" w:fill="auto"/>
                  <w:vAlign w:val="center"/>
                </w:tcPr>
                <w:p w14:paraId="308B7DFD">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w:t>
                  </w:r>
                </w:p>
              </w:tc>
              <w:tc>
                <w:tcPr>
                  <w:tcW w:w="489" w:type="pct"/>
                  <w:shd w:val="clear" w:color="auto" w:fill="auto"/>
                  <w:vAlign w:val="center"/>
                </w:tcPr>
                <w:p w14:paraId="0116D5CA">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0</w:t>
                  </w:r>
                </w:p>
              </w:tc>
              <w:tc>
                <w:tcPr>
                  <w:tcW w:w="1416" w:type="pct"/>
                  <w:shd w:val="clear" w:color="auto" w:fill="auto"/>
                  <w:vAlign w:val="center"/>
                </w:tcPr>
                <w:p w14:paraId="21B344EE">
                  <w:pPr>
                    <w:widowControl/>
                    <w:snapToGrid w:val="0"/>
                    <w:contextualSpacing/>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固体肥料发酵罐（内含搅拌、烘干设备）</w:t>
                  </w:r>
                </w:p>
              </w:tc>
              <w:tc>
                <w:tcPr>
                  <w:tcW w:w="534" w:type="pct"/>
                  <w:shd w:val="clear" w:color="auto" w:fill="auto"/>
                  <w:vAlign w:val="center"/>
                </w:tcPr>
                <w:p w14:paraId="1E989A9D">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15mm厚度/热镀锌防腐材质/内置搅拌机/φ32散热管</w:t>
                  </w:r>
                </w:p>
              </w:tc>
              <w:tc>
                <w:tcPr>
                  <w:tcW w:w="535" w:type="pct"/>
                  <w:shd w:val="clear" w:color="auto" w:fill="auto"/>
                  <w:vAlign w:val="center"/>
                </w:tcPr>
                <w:p w14:paraId="004646C3">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11</w:t>
                  </w:r>
                </w:p>
              </w:tc>
            </w:tr>
            <w:tr w14:paraId="4D52E8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rPr>
              <w:tc>
                <w:tcPr>
                  <w:tcW w:w="1401" w:type="pct"/>
                  <w:shd w:val="clear" w:color="auto" w:fill="auto"/>
                  <w:vAlign w:val="center"/>
                </w:tcPr>
                <w:p w14:paraId="0FEF825C">
                  <w:pPr>
                    <w:widowControl/>
                    <w:snapToGrid w:val="0"/>
                    <w:contextualSpacing/>
                    <w:jc w:val="center"/>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color w:val="auto"/>
                      <w:kern w:val="0"/>
                      <w:sz w:val="21"/>
                      <w:szCs w:val="21"/>
                      <w:lang w:val="en-US" w:eastAsia="zh-CN"/>
                    </w:rPr>
                    <w:t>生物除臭（发酵罐区）</w:t>
                  </w:r>
                </w:p>
              </w:tc>
              <w:tc>
                <w:tcPr>
                  <w:tcW w:w="623" w:type="pct"/>
                  <w:shd w:val="clear" w:color="auto" w:fill="auto"/>
                  <w:vAlign w:val="center"/>
                </w:tcPr>
                <w:p w14:paraId="7853810B">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w:t>
                  </w:r>
                </w:p>
              </w:tc>
              <w:tc>
                <w:tcPr>
                  <w:tcW w:w="489" w:type="pct"/>
                  <w:shd w:val="clear" w:color="auto" w:fill="auto"/>
                  <w:vAlign w:val="center"/>
                </w:tcPr>
                <w:p w14:paraId="24C200D0">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1</w:t>
                  </w:r>
                </w:p>
              </w:tc>
              <w:tc>
                <w:tcPr>
                  <w:tcW w:w="1416" w:type="pct"/>
                  <w:shd w:val="clear" w:color="auto" w:fill="auto"/>
                  <w:vAlign w:val="center"/>
                </w:tcPr>
                <w:p w14:paraId="7B7E3D5F">
                  <w:pPr>
                    <w:widowControl/>
                    <w:snapToGrid w:val="0"/>
                    <w:contextualSpacing/>
                    <w:jc w:val="center"/>
                    <w:rPr>
                      <w:rFonts w:hint="default" w:ascii="Times New Roman" w:hAnsi="Times New Roman" w:eastAsia="宋体" w:cs="Times New Roman"/>
                      <w:b w:val="0"/>
                      <w:color w:val="auto"/>
                      <w:sz w:val="21"/>
                      <w:szCs w:val="21"/>
                      <w:highlight w:val="none"/>
                      <w:lang w:val="en-US" w:eastAsia="en-US" w:bidi="ar-SA"/>
                    </w:rPr>
                  </w:pPr>
                  <w:r>
                    <w:rPr>
                      <w:rFonts w:hint="default" w:ascii="Times New Roman" w:hAnsi="Times New Roman" w:eastAsia="宋体" w:cs="Times New Roman"/>
                      <w:color w:val="auto"/>
                      <w:kern w:val="0"/>
                      <w:sz w:val="21"/>
                      <w:szCs w:val="21"/>
                      <w:lang w:val="en-US" w:eastAsia="zh-CN"/>
                    </w:rPr>
                    <w:t>生物滴滤除臭（发酵罐区）</w:t>
                  </w:r>
                </w:p>
              </w:tc>
              <w:tc>
                <w:tcPr>
                  <w:tcW w:w="534" w:type="pct"/>
                  <w:shd w:val="clear" w:color="auto" w:fill="auto"/>
                  <w:vAlign w:val="center"/>
                </w:tcPr>
                <w:p w14:paraId="6016EB49">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bidi="ar-SA"/>
                    </w:rPr>
                  </w:pPr>
                  <w:r>
                    <w:rPr>
                      <w:rFonts w:hint="default" w:ascii="Times New Roman" w:hAnsi="Times New Roman" w:eastAsia="宋体" w:cs="Times New Roman"/>
                      <w:b w:val="0"/>
                      <w:color w:val="auto"/>
                      <w:sz w:val="21"/>
                      <w:szCs w:val="21"/>
                      <w:highlight w:val="none"/>
                      <w:lang w:val="en-US" w:eastAsia="zh-CN" w:bidi="ar-SA"/>
                    </w:rPr>
                    <w:t>5.5KW，90cm直径/双层喷淋/双层过滤</w:t>
                  </w:r>
                </w:p>
              </w:tc>
              <w:tc>
                <w:tcPr>
                  <w:tcW w:w="535" w:type="pct"/>
                  <w:shd w:val="clear" w:color="auto" w:fill="auto"/>
                  <w:vAlign w:val="center"/>
                </w:tcPr>
                <w:p w14:paraId="6BCC9EB2">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1</w:t>
                  </w:r>
                </w:p>
              </w:tc>
            </w:tr>
            <w:tr w14:paraId="7A8DAF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rPr>
              <w:tc>
                <w:tcPr>
                  <w:tcW w:w="1401" w:type="pct"/>
                  <w:shd w:val="clear" w:color="auto" w:fill="auto"/>
                  <w:vAlign w:val="center"/>
                </w:tcPr>
                <w:p w14:paraId="17B9D588">
                  <w:pPr>
                    <w:widowControl/>
                    <w:snapToGrid w:val="0"/>
                    <w:contextualSpacing/>
                    <w:jc w:val="center"/>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rPr>
                    <w:t>袋式除尘系统（生产车间）</w:t>
                  </w:r>
                </w:p>
              </w:tc>
              <w:tc>
                <w:tcPr>
                  <w:tcW w:w="623" w:type="pct"/>
                  <w:shd w:val="clear" w:color="auto" w:fill="auto"/>
                  <w:vAlign w:val="center"/>
                </w:tcPr>
                <w:p w14:paraId="3FEBCC9E">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w:t>
                  </w:r>
                </w:p>
              </w:tc>
              <w:tc>
                <w:tcPr>
                  <w:tcW w:w="489" w:type="pct"/>
                  <w:shd w:val="clear" w:color="auto" w:fill="auto"/>
                  <w:vAlign w:val="center"/>
                </w:tcPr>
                <w:p w14:paraId="31693795">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1</w:t>
                  </w:r>
                </w:p>
              </w:tc>
              <w:tc>
                <w:tcPr>
                  <w:tcW w:w="1416" w:type="pct"/>
                  <w:shd w:val="clear" w:color="auto" w:fill="auto"/>
                  <w:vAlign w:val="center"/>
                </w:tcPr>
                <w:p w14:paraId="0FE6FE3C">
                  <w:pPr>
                    <w:widowControl/>
                    <w:snapToGrid w:val="0"/>
                    <w:contextualSpacing/>
                    <w:jc w:val="center"/>
                    <w:rPr>
                      <w:rFonts w:hint="default" w:ascii="Times New Roman" w:hAnsi="Times New Roman" w:eastAsia="宋体" w:cs="Times New Roman"/>
                      <w:b w:val="0"/>
                      <w:color w:val="auto"/>
                      <w:sz w:val="21"/>
                      <w:szCs w:val="21"/>
                      <w:highlight w:val="none"/>
                      <w:lang w:val="en-US" w:eastAsia="en-US" w:bidi="ar-SA"/>
                    </w:rPr>
                  </w:pPr>
                  <w:r>
                    <w:rPr>
                      <w:rFonts w:hint="default" w:ascii="Times New Roman" w:hAnsi="Times New Roman" w:eastAsia="宋体" w:cs="Times New Roman"/>
                      <w:color w:val="auto"/>
                      <w:kern w:val="0"/>
                      <w:sz w:val="21"/>
                      <w:szCs w:val="21"/>
                      <w:highlight w:val="none"/>
                      <w:lang w:val="en-US" w:eastAsia="zh-CN"/>
                    </w:rPr>
                    <w:t>袋式除尘系统（生产车间）</w:t>
                  </w:r>
                </w:p>
              </w:tc>
              <w:tc>
                <w:tcPr>
                  <w:tcW w:w="534" w:type="pct"/>
                  <w:shd w:val="clear" w:color="auto" w:fill="auto"/>
                  <w:vAlign w:val="center"/>
                </w:tcPr>
                <w:p w14:paraId="2A76ECF2">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b w:val="0"/>
                      <w:color w:val="auto"/>
                      <w:sz w:val="21"/>
                      <w:szCs w:val="21"/>
                      <w:highlight w:val="none"/>
                      <w:lang w:val="en-US" w:eastAsia="zh-CN" w:bidi="ar-SA"/>
                    </w:rPr>
                  </w:pPr>
                  <w:r>
                    <w:rPr>
                      <w:rFonts w:hint="eastAsia" w:cs="Times New Roman"/>
                      <w:b w:val="0"/>
                      <w:color w:val="auto"/>
                      <w:sz w:val="21"/>
                      <w:szCs w:val="21"/>
                      <w:highlight w:val="none"/>
                      <w:lang w:val="en-US" w:eastAsia="zh-CN" w:bidi="ar-SA"/>
                    </w:rPr>
                    <w:t>/</w:t>
                  </w:r>
                </w:p>
              </w:tc>
              <w:tc>
                <w:tcPr>
                  <w:tcW w:w="535" w:type="pct"/>
                  <w:shd w:val="clear" w:color="auto" w:fill="auto"/>
                  <w:vAlign w:val="center"/>
                </w:tcPr>
                <w:p w14:paraId="5C630A6A">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1</w:t>
                  </w:r>
                </w:p>
              </w:tc>
            </w:tr>
            <w:tr w14:paraId="0FF726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rPr>
              <w:tc>
                <w:tcPr>
                  <w:tcW w:w="1401" w:type="pct"/>
                  <w:shd w:val="clear" w:color="auto" w:fill="auto"/>
                  <w:vAlign w:val="center"/>
                </w:tcPr>
                <w:p w14:paraId="7A36C596">
                  <w:pPr>
                    <w:widowControl/>
                    <w:snapToGrid w:val="0"/>
                    <w:contextualSpacing/>
                    <w:jc w:val="center"/>
                    <w:rPr>
                      <w:rFonts w:hint="default" w:ascii="Times New Roman" w:hAnsi="Times New Roman" w:eastAsia="宋体" w:cs="Times New Roman"/>
                      <w:b w:val="0"/>
                      <w:color w:val="auto"/>
                      <w:sz w:val="21"/>
                      <w:szCs w:val="21"/>
                      <w:highlight w:val="none"/>
                      <w:lang w:eastAsia="zh-CN"/>
                    </w:rPr>
                  </w:pPr>
                  <w:r>
                    <w:rPr>
                      <w:rFonts w:hint="default" w:ascii="Times New Roman" w:hAnsi="Times New Roman" w:eastAsia="宋体" w:cs="Times New Roman"/>
                      <w:color w:val="auto"/>
                      <w:kern w:val="0"/>
                      <w:sz w:val="21"/>
                      <w:szCs w:val="21"/>
                      <w:lang w:val="en-US" w:eastAsia="zh-CN"/>
                    </w:rPr>
                    <w:t>15m排气筒</w:t>
                  </w:r>
                </w:p>
              </w:tc>
              <w:tc>
                <w:tcPr>
                  <w:tcW w:w="623" w:type="pct"/>
                  <w:shd w:val="clear" w:color="auto" w:fill="auto"/>
                  <w:vAlign w:val="center"/>
                </w:tcPr>
                <w:p w14:paraId="0FD03FA4">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w:t>
                  </w:r>
                </w:p>
              </w:tc>
              <w:tc>
                <w:tcPr>
                  <w:tcW w:w="489" w:type="pct"/>
                  <w:shd w:val="clear" w:color="auto" w:fill="auto"/>
                  <w:vAlign w:val="center"/>
                </w:tcPr>
                <w:p w14:paraId="4F662853">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2</w:t>
                  </w:r>
                </w:p>
              </w:tc>
              <w:tc>
                <w:tcPr>
                  <w:tcW w:w="1416" w:type="pct"/>
                  <w:shd w:val="clear" w:color="auto" w:fill="auto"/>
                  <w:vAlign w:val="center"/>
                </w:tcPr>
                <w:p w14:paraId="24293D43">
                  <w:pPr>
                    <w:widowControl/>
                    <w:snapToGrid w:val="0"/>
                    <w:contextualSpacing/>
                    <w:jc w:val="center"/>
                    <w:rPr>
                      <w:rFonts w:hint="default" w:ascii="Times New Roman" w:hAnsi="Times New Roman" w:eastAsia="宋体" w:cs="Times New Roman"/>
                      <w:b w:val="0"/>
                      <w:color w:val="auto"/>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rPr>
                    <w:t>15m排气筒</w:t>
                  </w:r>
                </w:p>
              </w:tc>
              <w:tc>
                <w:tcPr>
                  <w:tcW w:w="534" w:type="pct"/>
                  <w:shd w:val="clear" w:color="auto" w:fill="auto"/>
                  <w:vAlign w:val="center"/>
                </w:tcPr>
                <w:p w14:paraId="213B8AF3">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bidi="ar-SA"/>
                    </w:rPr>
                  </w:pPr>
                  <w:r>
                    <w:rPr>
                      <w:rFonts w:hint="eastAsia" w:cs="Times New Roman"/>
                      <w:b w:val="0"/>
                      <w:color w:val="auto"/>
                      <w:sz w:val="21"/>
                      <w:szCs w:val="21"/>
                      <w:highlight w:val="none"/>
                      <w:lang w:val="en-US" w:eastAsia="zh-CN" w:bidi="ar-SA"/>
                    </w:rPr>
                    <w:t>/</w:t>
                  </w:r>
                </w:p>
              </w:tc>
              <w:tc>
                <w:tcPr>
                  <w:tcW w:w="535" w:type="pct"/>
                  <w:shd w:val="clear" w:color="auto" w:fill="auto"/>
                  <w:vAlign w:val="center"/>
                </w:tcPr>
                <w:p w14:paraId="49130DCC">
                  <w:pPr>
                    <w:keepNext w:val="0"/>
                    <w:keepLines w:val="0"/>
                    <w:pageBreakBefore w:val="0"/>
                    <w:widowControl w:val="0"/>
                    <w:kinsoku/>
                    <w:wordWrap/>
                    <w:overflowPunct w:val="0"/>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2</w:t>
                  </w:r>
                </w:p>
              </w:tc>
            </w:tr>
          </w:tbl>
          <w:p w14:paraId="3187BF32">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right="0"/>
              <w:jc w:val="left"/>
              <w:textAlignment w:val="auto"/>
              <w:outlineLvl w:val="1"/>
              <w:rPr>
                <w:rFonts w:hint="default" w:ascii="Times New Roman" w:hAnsi="Times New Roman" w:eastAsia="宋体" w:cs="Times New Roman"/>
                <w:color w:val="auto"/>
                <w:sz w:val="22"/>
                <w:szCs w:val="21"/>
                <w:lang w:val="en-US" w:eastAsia="zh-CN"/>
              </w:rPr>
            </w:pPr>
            <w:r>
              <w:rPr>
                <w:rFonts w:hint="eastAsia" w:cs="Times New Roman"/>
                <w:b/>
                <w:color w:val="auto"/>
                <w:sz w:val="24"/>
                <w:szCs w:val="28"/>
                <w:lang w:val="en-US" w:eastAsia="zh-CN" w:bidi="ar-SA"/>
              </w:rPr>
              <w:t>5、</w:t>
            </w:r>
            <w:r>
              <w:rPr>
                <w:rFonts w:hint="default" w:ascii="Times New Roman" w:hAnsi="Times New Roman" w:eastAsia="宋体" w:cs="Times New Roman"/>
                <w:b/>
                <w:color w:val="auto"/>
                <w:sz w:val="24"/>
                <w:szCs w:val="28"/>
                <w:lang w:val="en-US" w:eastAsia="zh-CN" w:bidi="ar-SA"/>
              </w:rPr>
              <w:t>公用及辅助工程</w:t>
            </w:r>
          </w:p>
          <w:p w14:paraId="1A483CD5">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right="0" w:firstLine="480" w:firstLineChars="200"/>
              <w:jc w:val="left"/>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（1）供水</w:t>
            </w:r>
          </w:p>
          <w:p w14:paraId="2F705EF3">
            <w:pPr>
              <w:widowControl w:val="0"/>
              <w:overflowPunct/>
              <w:autoSpaceDE/>
              <w:autoSpaceDN/>
              <w:adjustRightInd/>
              <w:snapToGrid/>
              <w:spacing w:before="0" w:after="0" w:line="360" w:lineRule="auto"/>
              <w:ind w:left="0" w:right="0" w:firstLine="480" w:firstLineChars="200"/>
              <w:jc w:val="both"/>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由于鸡粪、秸秆均为新鲜原料，含水率高，变更后菌剂直接与鸡粪、秸秆翻抛，不另行加水混掺，且项目区不设置生活区，不涉及生活用水。</w:t>
            </w:r>
          </w:p>
          <w:p w14:paraId="200B1EDD">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right="0" w:firstLine="480" w:firstLineChars="200"/>
              <w:jc w:val="left"/>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（2）供电</w:t>
            </w:r>
          </w:p>
          <w:p w14:paraId="1B73BE92">
            <w:pPr>
              <w:overflowPunct/>
              <w:autoSpaceDE/>
              <w:autoSpaceDN/>
              <w:adjustRightInd/>
              <w:snapToGrid/>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val="en-US" w:eastAsia="zh-CN"/>
              </w:rPr>
            </w:pPr>
            <w:r>
              <w:rPr>
                <w:rFonts w:hint="default" w:ascii="Times New Roman" w:hAnsi="Times New Roman" w:eastAsia="宋体" w:cs="Times New Roman"/>
                <w:color w:val="auto"/>
                <w:kern w:val="2"/>
                <w:sz w:val="24"/>
                <w:szCs w:val="24"/>
                <w:lang w:val="en-US" w:eastAsia="zh-CN" w:bidi="ar-SA"/>
              </w:rPr>
              <w:t>项目用电由市政供电网接入，可满足项目用电。</w:t>
            </w:r>
          </w:p>
          <w:p w14:paraId="19AC7E86">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right="0" w:firstLine="480" w:firstLineChars="200"/>
              <w:jc w:val="left"/>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（3）供热</w:t>
            </w:r>
          </w:p>
          <w:p w14:paraId="3A010E76">
            <w:pPr>
              <w:widowControl w:val="0"/>
              <w:overflowPunct w:val="0"/>
              <w:autoSpaceDE w:val="0"/>
              <w:autoSpaceDN w:val="0"/>
              <w:adjustRightInd w:val="0"/>
              <w:snapToGrid w:val="0"/>
              <w:spacing w:before="0" w:after="0" w:line="360" w:lineRule="auto"/>
              <w:ind w:right="0" w:firstLine="480" w:firstLineChars="200"/>
              <w:jc w:val="both"/>
              <w:rPr>
                <w:rFonts w:hint="default" w:ascii="Times New Roman" w:hAnsi="Times New Roman" w:eastAsia="宋体" w:cs="Times New Roman"/>
                <w:color w:val="auto"/>
                <w:kern w:val="2"/>
                <w:sz w:val="24"/>
                <w:szCs w:val="28"/>
                <w:lang w:val="en-US" w:eastAsia="zh-CN" w:bidi="ar-SA"/>
              </w:rPr>
            </w:pPr>
            <w:r>
              <w:rPr>
                <w:rFonts w:hint="default" w:ascii="Times New Roman" w:hAnsi="Times New Roman" w:eastAsia="宋体" w:cs="Times New Roman"/>
                <w:color w:val="auto"/>
                <w:kern w:val="2"/>
                <w:sz w:val="24"/>
                <w:szCs w:val="28"/>
                <w:lang w:val="en-US" w:eastAsia="zh-CN" w:bidi="ar-SA"/>
              </w:rPr>
              <w:t>本项目冬季生产采用电加热。</w:t>
            </w:r>
          </w:p>
          <w:p w14:paraId="59757DE4">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right="0"/>
              <w:jc w:val="left"/>
              <w:textAlignment w:val="auto"/>
              <w:outlineLvl w:val="1"/>
              <w:rPr>
                <w:rFonts w:hint="default" w:ascii="Times New Roman" w:hAnsi="Times New Roman" w:eastAsia="宋体" w:cs="Times New Roman"/>
                <w:b/>
                <w:color w:val="auto"/>
                <w:sz w:val="24"/>
                <w:szCs w:val="28"/>
                <w:lang w:val="en-US" w:eastAsia="zh-CN" w:bidi="ar-SA"/>
              </w:rPr>
            </w:pPr>
            <w:r>
              <w:rPr>
                <w:rFonts w:hint="eastAsia" w:cs="Times New Roman"/>
                <w:b/>
                <w:color w:val="auto"/>
                <w:sz w:val="24"/>
                <w:szCs w:val="28"/>
                <w:lang w:val="en-US" w:eastAsia="zh-CN" w:bidi="ar-SA"/>
              </w:rPr>
              <w:t>6、</w:t>
            </w:r>
            <w:r>
              <w:rPr>
                <w:rFonts w:hint="default" w:ascii="Times New Roman" w:hAnsi="Times New Roman" w:eastAsia="宋体" w:cs="Times New Roman"/>
                <w:b/>
                <w:color w:val="auto"/>
                <w:sz w:val="24"/>
                <w:szCs w:val="28"/>
                <w:lang w:val="en-US" w:eastAsia="zh-CN" w:bidi="ar-SA"/>
              </w:rPr>
              <w:t>厂区平面布置</w:t>
            </w:r>
          </w:p>
          <w:p w14:paraId="4F430F62">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b w:val="0"/>
                <w:bCs w:val="0"/>
                <w:color w:val="auto"/>
                <w:highlight w:val="none"/>
                <w:lang w:val="en-US" w:eastAsia="zh-CN"/>
              </w:rPr>
            </w:pPr>
            <w:r>
              <w:rPr>
                <w:rFonts w:hint="default" w:ascii="Times New Roman" w:hAnsi="Times New Roman" w:eastAsia="宋体" w:cs="Times New Roman"/>
                <w:b w:val="0"/>
                <w:bCs w:val="0"/>
                <w:color w:val="auto"/>
                <w:sz w:val="24"/>
                <w:szCs w:val="24"/>
                <w:highlight w:val="none"/>
                <w:lang w:val="en-US" w:eastAsia="zh-CN" w:bidi="ar-SA"/>
              </w:rPr>
              <w:t>本项目建设内容均在厂区内均匀布设</w:t>
            </w:r>
            <w:r>
              <w:rPr>
                <w:rFonts w:hint="default" w:ascii="Times New Roman" w:hAnsi="Times New Roman" w:eastAsia="宋体" w:cs="Times New Roman"/>
                <w:b w:val="0"/>
                <w:bCs w:val="0"/>
                <w:color w:val="auto"/>
                <w:kern w:val="2"/>
                <w:sz w:val="24"/>
                <w:szCs w:val="24"/>
                <w:highlight w:val="none"/>
                <w:lang w:val="en-US" w:eastAsia="zh-CN" w:bidi="ar-SA"/>
              </w:rPr>
              <w:t>。本项目按照功能分区分为成品加工区和发酵处理区。</w:t>
            </w:r>
          </w:p>
          <w:p w14:paraId="46D51CA1">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本项目生产区内部按照生产工艺流程布设生产车间以及发酵区。车间设置东西南各一个出口</w:t>
            </w:r>
            <w:r>
              <w:rPr>
                <w:rFonts w:hint="default" w:ascii="Times New Roman" w:hAnsi="Times New Roman" w:eastAsia="宋体" w:cs="Times New Roman"/>
                <w:color w:val="auto"/>
              </w:rPr>
              <w:t>。整个建筑空间利用和布局合理，功能分区明确，组织协作良好。</w:t>
            </w:r>
            <w:r>
              <w:rPr>
                <w:rFonts w:hint="default" w:ascii="Times New Roman" w:hAnsi="Times New Roman" w:eastAsia="宋体" w:cs="Times New Roman"/>
                <w:b w:val="0"/>
                <w:bCs w:val="0"/>
                <w:color w:val="auto"/>
                <w:kern w:val="2"/>
                <w:sz w:val="24"/>
                <w:szCs w:val="24"/>
                <w:highlight w:val="none"/>
                <w:lang w:val="en-US" w:eastAsia="zh-CN" w:bidi="ar-SA"/>
              </w:rPr>
              <w:t>厂区内道路为混凝土地面，道路环状布置，可以满足消防车辆及其它车辆通行要求。</w:t>
            </w:r>
          </w:p>
          <w:p w14:paraId="4FE9C905">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0"/>
                <w:sz w:val="24"/>
                <w:szCs w:val="22"/>
                <w:lang w:val="en-US" w:eastAsia="zh-CN"/>
              </w:rPr>
            </w:pPr>
            <w:r>
              <w:rPr>
                <w:rFonts w:hint="default" w:ascii="Times New Roman" w:hAnsi="Times New Roman" w:eastAsia="宋体" w:cs="Times New Roman"/>
                <w:color w:val="auto"/>
                <w:kern w:val="0"/>
                <w:sz w:val="24"/>
                <w:szCs w:val="22"/>
                <w:lang w:val="en-US" w:eastAsia="zh-CN"/>
              </w:rPr>
              <w:t>厂区为硬化地面，以满足消防运输要求。同时装置区须为耐腐蚀的硬化地面，且表面无裂隙，进行防渗、防风、防雨、防晒措施。厂区布置满足《建筑设计防火规范》（GB50016-2014）的要求。</w:t>
            </w:r>
          </w:p>
          <w:p w14:paraId="2691F80D">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b w:val="0"/>
                <w:bCs w:val="0"/>
                <w:color w:val="auto"/>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bidi="ar-SA"/>
              </w:rPr>
              <w:t>项目所处位置地势平坦，根据本产品的工艺、运输、消防、安全的要求，结合地形等因素，按照国家有关标准和规定，对生产、运输、绿化进行了优化，并供有完善的供水、供电、排水等设施。</w:t>
            </w:r>
          </w:p>
          <w:p w14:paraId="2CFBDBAE">
            <w:pPr>
              <w:widowControl w:val="0"/>
              <w:overflowPunct w:val="0"/>
              <w:autoSpaceDE/>
              <w:autoSpaceDN/>
              <w:adjustRightInd/>
              <w:snapToGrid w:val="0"/>
              <w:spacing w:before="0" w:after="120" w:line="360" w:lineRule="auto"/>
              <w:ind w:left="0" w:leftChars="0" w:right="0" w:firstLine="480" w:firstLineChars="200"/>
              <w:jc w:val="both"/>
              <w:textAlignment w:val="auto"/>
              <w:rPr>
                <w:rFonts w:hint="default" w:ascii="Times New Roman" w:hAnsi="Times New Roman" w:eastAsia="宋体" w:cs="Times New Roman"/>
                <w:snapToGrid w:val="0"/>
                <w:color w:val="auto"/>
                <w:sz w:val="24"/>
                <w:szCs w:val="21"/>
                <w:lang w:val="en-US" w:eastAsia="zh-CN" w:bidi="ar-SA"/>
              </w:rPr>
            </w:pPr>
            <w:r>
              <w:rPr>
                <w:rFonts w:hint="default" w:ascii="Times New Roman" w:hAnsi="Times New Roman" w:eastAsia="宋体" w:cs="Times New Roman"/>
                <w:color w:val="auto"/>
                <w:kern w:val="0"/>
                <w:sz w:val="24"/>
                <w:szCs w:val="22"/>
                <w:lang w:val="en-US" w:eastAsia="zh-CN" w:bidi="ar-SA"/>
              </w:rPr>
              <w:t>因此，本项目布置功能布置明确，各单元由厂内道路衔接。平面布置按照企业生产要求，合理划分场内的功能区域，布置紧凑合理，生产线结构紧凑，工艺流程顺畅，交通运输安全方便。项目总平面布置图见</w:t>
            </w:r>
            <w:r>
              <w:rPr>
                <w:rFonts w:hint="eastAsia" w:cs="Times New Roman"/>
                <w:color w:val="auto"/>
                <w:kern w:val="0"/>
                <w:sz w:val="24"/>
                <w:szCs w:val="22"/>
                <w:lang w:val="en-US" w:eastAsia="zh-CN" w:bidi="ar-SA"/>
              </w:rPr>
              <w:t>附图4</w:t>
            </w:r>
            <w:r>
              <w:rPr>
                <w:rFonts w:hint="default" w:ascii="Times New Roman" w:hAnsi="Times New Roman" w:eastAsia="宋体" w:cs="Times New Roman"/>
                <w:color w:val="auto"/>
                <w:kern w:val="0"/>
                <w:sz w:val="24"/>
                <w:szCs w:val="22"/>
                <w:lang w:val="en-US" w:eastAsia="zh-CN" w:bidi="ar-SA"/>
              </w:rPr>
              <w:t>。</w:t>
            </w:r>
          </w:p>
        </w:tc>
      </w:tr>
    </w:tbl>
    <w:p w14:paraId="52D11C71">
      <w:pPr>
        <w:keepNext w:val="0"/>
        <w:keepLines w:val="0"/>
        <w:pageBreakBefore w:val="0"/>
        <w:widowControl w:val="0"/>
        <w:kinsoku/>
        <w:wordWrap/>
        <w:overflowPunct w:val="0"/>
        <w:topLinePunct w:val="0"/>
        <w:autoSpaceDE w:val="0"/>
        <w:autoSpaceDN w:val="0"/>
        <w:bidi w:val="0"/>
        <w:adjustRightInd w:val="0"/>
        <w:snapToGrid w:val="0"/>
        <w:textAlignment w:val="auto"/>
        <w:rPr>
          <w:rFonts w:hint="default" w:ascii="Times New Roman" w:hAnsi="Times New Roman" w:eastAsia="宋体" w:cs="Times New Roman"/>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
        <w:gridCol w:w="8675"/>
      </w:tblGrid>
      <w:tr w14:paraId="1D2A0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0" w:hRule="atLeast"/>
          <w:jc w:val="center"/>
        </w:trPr>
        <w:tc>
          <w:tcPr>
            <w:tcW w:w="396" w:type="dxa"/>
            <w:vAlign w:val="center"/>
          </w:tcPr>
          <w:p w14:paraId="18B4FE6C">
            <w:pPr>
              <w:overflowPunct w:val="0"/>
              <w:autoSpaceDE w:val="0"/>
              <w:autoSpaceDN w:val="0"/>
              <w:bidi w:val="0"/>
              <w:adjustRightInd w:val="0"/>
              <w:snapToGrid w:val="0"/>
              <w:spacing w:before="0" w:after="0" w:line="500" w:lineRule="exact"/>
              <w:ind w:left="0" w:leftChars="0" w:right="0"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Hans"/>
              </w:rPr>
              <w:t>工</w:t>
            </w:r>
            <w:r>
              <w:rPr>
                <w:rFonts w:hint="default" w:ascii="Times New Roman" w:hAnsi="Times New Roman" w:eastAsia="宋体" w:cs="Times New Roman"/>
                <w:color w:val="auto"/>
              </w:rPr>
              <w:t>艺流程和产排污环节</w:t>
            </w:r>
          </w:p>
          <w:p w14:paraId="57A575E5">
            <w:pPr>
              <w:keepNext/>
              <w:keepLines/>
              <w:widowControl w:val="0"/>
              <w:overflowPunct w:val="0"/>
              <w:autoSpaceDE w:val="0"/>
              <w:autoSpaceDN w:val="0"/>
              <w:adjustRightInd w:val="0"/>
              <w:snapToGrid w:val="0"/>
              <w:spacing w:before="0" w:beforeLines="0" w:beforeAutospacing="0" w:after="0" w:afterLines="0" w:afterAutospacing="0" w:line="560" w:lineRule="atLeast"/>
              <w:ind w:left="0" w:right="0" w:firstLine="562" w:firstLineChars="200"/>
              <w:jc w:val="center"/>
              <w:outlineLvl w:val="9"/>
              <w:rPr>
                <w:rFonts w:hint="default" w:ascii="Times New Roman" w:hAnsi="Times New Roman" w:eastAsia="宋体" w:cs="Times New Roman"/>
                <w:b/>
                <w:color w:val="auto"/>
                <w:sz w:val="28"/>
                <w:szCs w:val="22"/>
                <w:lang w:val="en-US" w:eastAsia="zh-CN" w:bidi="ar-SA"/>
              </w:rPr>
            </w:pPr>
          </w:p>
          <w:p w14:paraId="71CD5B3D">
            <w:pPr>
              <w:overflowPunct w:val="0"/>
              <w:autoSpaceDE w:val="0"/>
              <w:autoSpaceDN w:val="0"/>
              <w:adjustRightInd w:val="0"/>
              <w:snapToGrid w:val="0"/>
              <w:spacing w:before="0" w:after="0" w:line="500" w:lineRule="exact"/>
              <w:ind w:left="0" w:right="0" w:firstLine="480" w:firstLineChars="200"/>
              <w:jc w:val="center"/>
              <w:rPr>
                <w:rFonts w:hint="default" w:ascii="Times New Roman" w:hAnsi="Times New Roman" w:eastAsia="宋体" w:cs="Times New Roman"/>
                <w:color w:val="auto"/>
              </w:rPr>
            </w:pPr>
          </w:p>
          <w:p w14:paraId="570B0099">
            <w:pPr>
              <w:keepNext/>
              <w:keepLines/>
              <w:widowControl w:val="0"/>
              <w:overflowPunct w:val="0"/>
              <w:autoSpaceDE w:val="0"/>
              <w:autoSpaceDN w:val="0"/>
              <w:adjustRightInd w:val="0"/>
              <w:snapToGrid w:val="0"/>
              <w:spacing w:before="0" w:beforeLines="0" w:beforeAutospacing="0" w:after="0" w:afterLines="0" w:afterAutospacing="0" w:line="560" w:lineRule="atLeast"/>
              <w:ind w:left="0" w:right="0" w:firstLine="562" w:firstLineChars="200"/>
              <w:jc w:val="center"/>
              <w:outlineLvl w:val="9"/>
              <w:rPr>
                <w:rFonts w:hint="default" w:ascii="Times New Roman" w:hAnsi="Times New Roman" w:eastAsia="宋体" w:cs="Times New Roman"/>
                <w:b/>
                <w:color w:val="auto"/>
                <w:sz w:val="28"/>
                <w:szCs w:val="22"/>
                <w:lang w:val="en-US" w:eastAsia="zh-CN" w:bidi="ar-SA"/>
              </w:rPr>
            </w:pPr>
          </w:p>
          <w:p w14:paraId="39A2325E">
            <w:pPr>
              <w:overflowPunct w:val="0"/>
              <w:autoSpaceDE w:val="0"/>
              <w:autoSpaceDN w:val="0"/>
              <w:adjustRightInd w:val="0"/>
              <w:snapToGrid w:val="0"/>
              <w:spacing w:before="0" w:after="0" w:line="500" w:lineRule="exact"/>
              <w:ind w:left="0" w:right="0" w:firstLine="480" w:firstLineChars="200"/>
              <w:jc w:val="center"/>
              <w:rPr>
                <w:rFonts w:hint="default" w:ascii="Times New Roman" w:hAnsi="Times New Roman" w:eastAsia="宋体" w:cs="Times New Roman"/>
                <w:color w:val="auto"/>
              </w:rPr>
            </w:pPr>
          </w:p>
          <w:p w14:paraId="09025B31">
            <w:pPr>
              <w:keepNext/>
              <w:keepLines/>
              <w:widowControl w:val="0"/>
              <w:overflowPunct w:val="0"/>
              <w:autoSpaceDE w:val="0"/>
              <w:autoSpaceDN w:val="0"/>
              <w:adjustRightInd w:val="0"/>
              <w:snapToGrid w:val="0"/>
              <w:spacing w:before="0" w:beforeLines="0" w:beforeAutospacing="0" w:after="0" w:afterLines="0" w:afterAutospacing="0" w:line="560" w:lineRule="atLeast"/>
              <w:ind w:left="0" w:right="0" w:firstLine="562" w:firstLineChars="200"/>
              <w:jc w:val="center"/>
              <w:outlineLvl w:val="9"/>
              <w:rPr>
                <w:rFonts w:hint="default" w:ascii="Times New Roman" w:hAnsi="Times New Roman" w:eastAsia="宋体" w:cs="Times New Roman"/>
                <w:b/>
                <w:color w:val="auto"/>
                <w:sz w:val="28"/>
                <w:szCs w:val="22"/>
                <w:lang w:val="en-US" w:eastAsia="zh-CN" w:bidi="ar-SA"/>
              </w:rPr>
            </w:pPr>
          </w:p>
          <w:p w14:paraId="1D103DFA">
            <w:pPr>
              <w:overflowPunct w:val="0"/>
              <w:autoSpaceDE w:val="0"/>
              <w:autoSpaceDN w:val="0"/>
              <w:adjustRightInd w:val="0"/>
              <w:snapToGrid w:val="0"/>
              <w:spacing w:before="0" w:after="0" w:line="500" w:lineRule="exact"/>
              <w:ind w:left="0" w:right="0" w:firstLine="480" w:firstLineChars="200"/>
              <w:jc w:val="center"/>
              <w:rPr>
                <w:rFonts w:hint="default" w:ascii="Times New Roman" w:hAnsi="Times New Roman" w:eastAsia="宋体" w:cs="Times New Roman"/>
                <w:color w:val="auto"/>
              </w:rPr>
            </w:pPr>
          </w:p>
          <w:p w14:paraId="4F93D958">
            <w:pPr>
              <w:keepNext/>
              <w:keepLines/>
              <w:widowControl w:val="0"/>
              <w:overflowPunct w:val="0"/>
              <w:autoSpaceDE w:val="0"/>
              <w:autoSpaceDN w:val="0"/>
              <w:adjustRightInd w:val="0"/>
              <w:snapToGrid w:val="0"/>
              <w:spacing w:before="0" w:beforeLines="0" w:beforeAutospacing="0" w:after="0" w:afterLines="0" w:afterAutospacing="0" w:line="560" w:lineRule="atLeast"/>
              <w:ind w:left="0" w:right="0" w:firstLine="562" w:firstLineChars="200"/>
              <w:jc w:val="center"/>
              <w:outlineLvl w:val="9"/>
              <w:rPr>
                <w:rFonts w:hint="default" w:ascii="Times New Roman" w:hAnsi="Times New Roman" w:eastAsia="宋体" w:cs="Times New Roman"/>
                <w:b/>
                <w:color w:val="auto"/>
                <w:sz w:val="28"/>
                <w:szCs w:val="22"/>
                <w:lang w:val="en-US" w:eastAsia="zh-CN" w:bidi="ar-SA"/>
              </w:rPr>
            </w:pPr>
          </w:p>
          <w:p w14:paraId="254251C5">
            <w:pPr>
              <w:overflowPunct w:val="0"/>
              <w:autoSpaceDE w:val="0"/>
              <w:autoSpaceDN w:val="0"/>
              <w:adjustRightInd w:val="0"/>
              <w:snapToGrid w:val="0"/>
              <w:spacing w:before="0" w:after="0" w:line="500" w:lineRule="exact"/>
              <w:ind w:left="0" w:right="0" w:firstLine="480" w:firstLineChars="200"/>
              <w:jc w:val="center"/>
              <w:rPr>
                <w:rFonts w:hint="default" w:ascii="Times New Roman" w:hAnsi="Times New Roman" w:eastAsia="宋体" w:cs="Times New Roman"/>
                <w:color w:val="auto"/>
              </w:rPr>
            </w:pPr>
          </w:p>
          <w:p w14:paraId="4DBC4803">
            <w:pPr>
              <w:keepNext/>
              <w:keepLines/>
              <w:widowControl w:val="0"/>
              <w:overflowPunct w:val="0"/>
              <w:autoSpaceDE w:val="0"/>
              <w:autoSpaceDN w:val="0"/>
              <w:adjustRightInd w:val="0"/>
              <w:snapToGrid w:val="0"/>
              <w:spacing w:before="0" w:beforeLines="0" w:beforeAutospacing="0" w:after="0" w:afterLines="0" w:afterAutospacing="0" w:line="560" w:lineRule="atLeast"/>
              <w:ind w:left="0" w:right="0" w:firstLine="562" w:firstLineChars="200"/>
              <w:jc w:val="center"/>
              <w:outlineLvl w:val="9"/>
              <w:rPr>
                <w:rFonts w:hint="default" w:ascii="Times New Roman" w:hAnsi="Times New Roman" w:eastAsia="宋体" w:cs="Times New Roman"/>
                <w:b/>
                <w:color w:val="auto"/>
                <w:sz w:val="28"/>
                <w:szCs w:val="22"/>
                <w:lang w:val="en-US" w:eastAsia="zh-CN" w:bidi="ar-SA"/>
              </w:rPr>
            </w:pPr>
          </w:p>
          <w:p w14:paraId="16781C13">
            <w:pPr>
              <w:overflowPunct w:val="0"/>
              <w:autoSpaceDE w:val="0"/>
              <w:autoSpaceDN w:val="0"/>
              <w:adjustRightInd w:val="0"/>
              <w:snapToGrid w:val="0"/>
              <w:spacing w:before="0" w:after="0" w:line="500" w:lineRule="exact"/>
              <w:ind w:left="0" w:right="0" w:firstLine="480" w:firstLineChars="200"/>
              <w:jc w:val="center"/>
              <w:rPr>
                <w:rFonts w:hint="default" w:ascii="Times New Roman" w:hAnsi="Times New Roman" w:eastAsia="宋体" w:cs="Times New Roman"/>
                <w:color w:val="auto"/>
              </w:rPr>
            </w:pPr>
          </w:p>
          <w:p w14:paraId="351E4763">
            <w:pPr>
              <w:keepNext/>
              <w:keepLines/>
              <w:widowControl w:val="0"/>
              <w:overflowPunct w:val="0"/>
              <w:autoSpaceDE w:val="0"/>
              <w:autoSpaceDN w:val="0"/>
              <w:adjustRightInd w:val="0"/>
              <w:snapToGrid w:val="0"/>
              <w:spacing w:before="0" w:beforeLines="0" w:beforeAutospacing="0" w:after="0" w:afterLines="0" w:afterAutospacing="0" w:line="560" w:lineRule="atLeast"/>
              <w:ind w:left="0" w:right="0" w:firstLine="562" w:firstLineChars="200"/>
              <w:jc w:val="center"/>
              <w:outlineLvl w:val="9"/>
              <w:rPr>
                <w:rFonts w:hint="default" w:ascii="Times New Roman" w:hAnsi="Times New Roman" w:eastAsia="宋体" w:cs="Times New Roman"/>
                <w:b/>
                <w:color w:val="auto"/>
                <w:sz w:val="28"/>
                <w:szCs w:val="22"/>
                <w:lang w:val="en-US" w:eastAsia="zh-CN" w:bidi="ar-SA"/>
              </w:rPr>
            </w:pPr>
          </w:p>
          <w:p w14:paraId="757DD9DD">
            <w:pPr>
              <w:overflowPunct w:val="0"/>
              <w:autoSpaceDE w:val="0"/>
              <w:autoSpaceDN w:val="0"/>
              <w:adjustRightInd w:val="0"/>
              <w:snapToGrid w:val="0"/>
              <w:spacing w:before="0" w:after="0" w:line="500" w:lineRule="exact"/>
              <w:ind w:left="0" w:right="0" w:firstLine="480" w:firstLineChars="200"/>
              <w:jc w:val="center"/>
              <w:rPr>
                <w:rFonts w:hint="default" w:ascii="Times New Roman" w:hAnsi="Times New Roman" w:eastAsia="宋体" w:cs="Times New Roman"/>
                <w:color w:val="auto"/>
              </w:rPr>
            </w:pPr>
          </w:p>
          <w:p w14:paraId="5CAB6DFE">
            <w:pPr>
              <w:keepNext/>
              <w:keepLines/>
              <w:widowControl w:val="0"/>
              <w:overflowPunct w:val="0"/>
              <w:autoSpaceDE w:val="0"/>
              <w:autoSpaceDN w:val="0"/>
              <w:adjustRightInd w:val="0"/>
              <w:snapToGrid w:val="0"/>
              <w:spacing w:before="0" w:beforeLines="0" w:beforeAutospacing="0" w:after="0" w:afterLines="0" w:afterAutospacing="0" w:line="560" w:lineRule="atLeast"/>
              <w:ind w:left="0" w:leftChars="0" w:right="0" w:rightChars="0" w:firstLine="0" w:firstLineChars="0"/>
              <w:jc w:val="center"/>
              <w:outlineLvl w:val="9"/>
              <w:rPr>
                <w:rFonts w:hint="default" w:ascii="Times New Roman" w:hAnsi="Times New Roman" w:eastAsia="宋体" w:cs="Times New Roman"/>
                <w:b/>
                <w:color w:val="auto"/>
                <w:sz w:val="28"/>
                <w:szCs w:val="22"/>
                <w:vertAlign w:val="baseline"/>
                <w:lang w:val="en-US" w:eastAsia="zh-CN" w:bidi="ar-SA"/>
              </w:rPr>
            </w:pPr>
          </w:p>
        </w:tc>
        <w:tc>
          <w:tcPr>
            <w:tcW w:w="8675" w:type="dxa"/>
            <w:vAlign w:val="top"/>
          </w:tcPr>
          <w:p w14:paraId="59E6DA46">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right="0"/>
              <w:jc w:val="left"/>
              <w:textAlignment w:val="auto"/>
              <w:outlineLvl w:val="1"/>
              <w:rPr>
                <w:rFonts w:hint="default" w:ascii="Times New Roman" w:hAnsi="Times New Roman" w:eastAsia="宋体" w:cs="Times New Roman"/>
                <w:b/>
                <w:color w:val="auto"/>
                <w:sz w:val="24"/>
                <w:szCs w:val="28"/>
                <w:lang w:val="en-US" w:eastAsia="zh-CN" w:bidi="ar-SA"/>
              </w:rPr>
            </w:pPr>
            <w:r>
              <w:rPr>
                <w:rFonts w:hint="eastAsia" w:cs="Times New Roman"/>
                <w:b/>
                <w:color w:val="auto"/>
                <w:sz w:val="24"/>
                <w:szCs w:val="28"/>
                <w:lang w:val="en-US" w:eastAsia="zh-CN" w:bidi="ar-SA"/>
              </w:rPr>
              <w:t>7、</w:t>
            </w:r>
            <w:r>
              <w:rPr>
                <w:rFonts w:hint="default" w:ascii="Times New Roman" w:hAnsi="Times New Roman" w:eastAsia="宋体" w:cs="Times New Roman"/>
                <w:b/>
                <w:color w:val="auto"/>
                <w:sz w:val="24"/>
                <w:szCs w:val="28"/>
                <w:lang w:val="en-US" w:eastAsia="zh-CN" w:bidi="ar-SA"/>
              </w:rPr>
              <w:t>施工期工艺流程及产污环节</w:t>
            </w:r>
          </w:p>
          <w:p w14:paraId="5B2AAA7E">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right="0" w:firstLine="480" w:firstLineChars="200"/>
              <w:jc w:val="left"/>
              <w:textAlignment w:val="auto"/>
              <w:outlineLvl w:val="1"/>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drawing>
                <wp:anchor distT="0" distB="0" distL="114300" distR="114300" simplePos="0" relativeHeight="251663360" behindDoc="1" locked="0" layoutInCell="1" allowOverlap="1">
                  <wp:simplePos x="0" y="0"/>
                  <wp:positionH relativeFrom="column">
                    <wp:posOffset>131445</wp:posOffset>
                  </wp:positionH>
                  <wp:positionV relativeFrom="paragraph">
                    <wp:posOffset>581660</wp:posOffset>
                  </wp:positionV>
                  <wp:extent cx="4705350" cy="2190750"/>
                  <wp:effectExtent l="0" t="0" r="0" b="0"/>
                  <wp:wrapNone/>
                  <wp:docPr id="20" name="图片 20" descr="1722513707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1722513707443"/>
                          <pic:cNvPicPr>
                            <a:picLocks noChangeAspect="1"/>
                          </pic:cNvPicPr>
                        </pic:nvPicPr>
                        <pic:blipFill>
                          <a:blip r:embed="rId23"/>
                          <a:stretch>
                            <a:fillRect/>
                          </a:stretch>
                        </pic:blipFill>
                        <pic:spPr>
                          <a:xfrm>
                            <a:off x="0" y="0"/>
                            <a:ext cx="4705350" cy="2190750"/>
                          </a:xfrm>
                          <a:prstGeom prst="rect">
                            <a:avLst/>
                          </a:prstGeom>
                        </pic:spPr>
                      </pic:pic>
                    </a:graphicData>
                  </a:graphic>
                </wp:anchor>
              </w:drawing>
            </w:r>
            <w:r>
              <w:rPr>
                <w:rFonts w:hint="default" w:ascii="Times New Roman" w:hAnsi="Times New Roman" w:eastAsia="宋体" w:cs="Times New Roman"/>
                <w:color w:val="auto"/>
              </w:rPr>
              <w:t>本项目</w:t>
            </w:r>
            <w:r>
              <w:rPr>
                <w:rFonts w:hint="default" w:ascii="Times New Roman" w:hAnsi="Times New Roman" w:eastAsia="宋体" w:cs="Times New Roman"/>
                <w:color w:val="auto"/>
                <w:lang w:val="en-US" w:eastAsia="zh-CN"/>
              </w:rPr>
              <w:t>厂房等构筑物均已建设完成</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经现场踏勘，</w:t>
            </w:r>
            <w:r>
              <w:rPr>
                <w:rFonts w:hint="default" w:ascii="Times New Roman" w:hAnsi="Times New Roman" w:eastAsia="宋体" w:cs="Times New Roman"/>
                <w:color w:val="auto"/>
              </w:rPr>
              <w:t>本项目</w:t>
            </w:r>
            <w:r>
              <w:rPr>
                <w:rFonts w:hint="default" w:ascii="Times New Roman" w:hAnsi="Times New Roman" w:eastAsia="宋体" w:cs="Times New Roman"/>
                <w:color w:val="auto"/>
                <w:lang w:val="en-US" w:eastAsia="zh-CN"/>
              </w:rPr>
              <w:t>需进行发酵罐区装饰工程、环保措施的建设。</w:t>
            </w:r>
            <w:r>
              <w:rPr>
                <w:rFonts w:hint="default" w:ascii="Times New Roman" w:hAnsi="Times New Roman" w:eastAsia="宋体" w:cs="Times New Roman"/>
                <w:color w:val="auto"/>
              </w:rPr>
              <w:t>期间产生施工扬尘、装修废气，噪声、</w:t>
            </w:r>
            <w:r>
              <w:rPr>
                <w:rFonts w:hint="default" w:ascii="Times New Roman" w:hAnsi="Times New Roman" w:eastAsia="宋体" w:cs="Times New Roman"/>
                <w:color w:val="auto"/>
                <w:lang w:val="en-US" w:eastAsia="zh-CN"/>
              </w:rPr>
              <w:t>少量施工</w:t>
            </w:r>
            <w:r>
              <w:rPr>
                <w:rFonts w:hint="default" w:ascii="Times New Roman" w:hAnsi="Times New Roman" w:eastAsia="宋体" w:cs="Times New Roman"/>
                <w:color w:val="auto"/>
              </w:rPr>
              <w:t>垃圾等，其生产工艺流程及产污节点见图</w:t>
            </w:r>
            <w:r>
              <w:rPr>
                <w:rFonts w:hint="default" w:ascii="Times New Roman" w:hAnsi="Times New Roman" w:eastAsia="宋体" w:cs="Times New Roman"/>
                <w:color w:val="auto"/>
                <w:lang w:val="en-US" w:eastAsia="zh-CN"/>
              </w:rPr>
              <w:t>2.7-1。</w:t>
            </w:r>
          </w:p>
          <w:p w14:paraId="2EDA7AAB">
            <w:pPr>
              <w:overflowPunct w:val="0"/>
              <w:autoSpaceDE w:val="0"/>
              <w:autoSpaceDN w:val="0"/>
              <w:adjustRightInd w:val="0"/>
              <w:snapToGrid w:val="0"/>
              <w:spacing w:before="0" w:after="0" w:line="500" w:lineRule="exact"/>
              <w:ind w:left="0" w:right="0" w:firstLine="480" w:firstLineChars="200"/>
              <w:jc w:val="left"/>
              <w:rPr>
                <w:rFonts w:hint="default" w:ascii="Times New Roman" w:hAnsi="Times New Roman" w:eastAsia="宋体" w:cs="Times New Roman"/>
                <w:color w:val="auto"/>
                <w:lang w:val="en-US" w:eastAsia="zh-CN"/>
              </w:rPr>
            </w:pPr>
          </w:p>
          <w:p w14:paraId="748418B4">
            <w:pPr>
              <w:overflowPunct w:val="0"/>
              <w:autoSpaceDE w:val="0"/>
              <w:autoSpaceDN w:val="0"/>
              <w:bidi w:val="0"/>
              <w:adjustRightInd w:val="0"/>
              <w:snapToGrid w:val="0"/>
              <w:spacing w:before="0" w:after="0" w:line="500" w:lineRule="exact"/>
              <w:ind w:left="0" w:right="0" w:firstLine="480" w:firstLineChars="200"/>
              <w:jc w:val="left"/>
              <w:rPr>
                <w:rFonts w:hint="default" w:ascii="Times New Roman" w:hAnsi="Times New Roman" w:eastAsia="宋体" w:cs="Times New Roman"/>
                <w:color w:val="auto"/>
              </w:rPr>
            </w:pPr>
          </w:p>
          <w:p w14:paraId="1770338D">
            <w:pPr>
              <w:overflowPunct w:val="0"/>
              <w:autoSpaceDE w:val="0"/>
              <w:autoSpaceDN w:val="0"/>
              <w:bidi w:val="0"/>
              <w:adjustRightInd w:val="0"/>
              <w:snapToGrid w:val="0"/>
              <w:spacing w:before="0" w:after="0" w:line="500" w:lineRule="exact"/>
              <w:ind w:left="0" w:right="0" w:firstLine="480" w:firstLineChars="200"/>
              <w:jc w:val="left"/>
              <w:rPr>
                <w:rFonts w:hint="default" w:ascii="Times New Roman" w:hAnsi="Times New Roman" w:eastAsia="宋体" w:cs="Times New Roman"/>
                <w:color w:val="auto"/>
              </w:rPr>
            </w:pPr>
          </w:p>
          <w:p w14:paraId="231E2E68">
            <w:pPr>
              <w:overflowPunct w:val="0"/>
              <w:autoSpaceDE w:val="0"/>
              <w:autoSpaceDN w:val="0"/>
              <w:bidi w:val="0"/>
              <w:adjustRightInd w:val="0"/>
              <w:snapToGrid w:val="0"/>
              <w:spacing w:before="0" w:after="0" w:line="500" w:lineRule="exact"/>
              <w:ind w:left="0" w:right="0" w:firstLine="480" w:firstLineChars="200"/>
              <w:jc w:val="left"/>
              <w:rPr>
                <w:rFonts w:hint="default" w:ascii="Times New Roman" w:hAnsi="Times New Roman" w:eastAsia="宋体" w:cs="Times New Roman"/>
                <w:color w:val="auto"/>
              </w:rPr>
            </w:pPr>
          </w:p>
          <w:p w14:paraId="4110436C">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Times New Roman"/>
                <w:color w:val="auto"/>
                <w:lang w:val="en-US" w:eastAsia="zh-CN"/>
              </w:rPr>
            </w:pPr>
          </w:p>
          <w:p w14:paraId="7B354908">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Times New Roman"/>
                <w:color w:val="auto"/>
                <w:lang w:val="en-US" w:eastAsia="zh-CN"/>
              </w:rPr>
            </w:pPr>
          </w:p>
          <w:p w14:paraId="6AEA98F8">
            <w:pPr>
              <w:widowControl w:val="0"/>
              <w:overflowPunct w:val="0"/>
              <w:autoSpaceDE w:val="0"/>
              <w:autoSpaceDN w:val="0"/>
              <w:bidi w:val="0"/>
              <w:adjustRightInd w:val="0"/>
              <w:snapToGrid w:val="0"/>
              <w:spacing w:before="0" w:after="0" w:line="360" w:lineRule="auto"/>
              <w:ind w:left="0" w:right="0" w:firstLine="0" w:firstLineChars="0"/>
              <w:jc w:val="center"/>
              <w:rPr>
                <w:rFonts w:hint="default" w:ascii="Times New Roman" w:hAnsi="Times New Roman" w:eastAsia="宋体" w:cs="Times New Roman"/>
                <w:b/>
                <w:bCs/>
                <w:color w:val="auto"/>
                <w:sz w:val="21"/>
                <w:szCs w:val="20"/>
                <w:lang w:val="en-US" w:eastAsia="zh-CN"/>
              </w:rPr>
            </w:pPr>
            <w:r>
              <w:rPr>
                <w:rFonts w:hint="default" w:ascii="Times New Roman" w:hAnsi="Times New Roman" w:eastAsia="宋体" w:cs="Times New Roman"/>
                <w:b/>
                <w:bCs/>
                <w:color w:val="auto"/>
                <w:sz w:val="21"/>
                <w:szCs w:val="20"/>
                <w:lang w:val="en-US" w:eastAsia="zh-CN"/>
              </w:rPr>
              <w:t>图2.7-1  施工期工艺流程及产污节点图</w:t>
            </w:r>
          </w:p>
          <w:p w14:paraId="4916676C">
            <w:pPr>
              <w:overflowPunct w:val="0"/>
              <w:autoSpaceDE w:val="0"/>
              <w:autoSpaceDN w:val="0"/>
              <w:bidi w:val="0"/>
              <w:adjustRightInd w:val="0"/>
              <w:snapToGrid w:val="0"/>
              <w:spacing w:before="0" w:after="0" w:line="360" w:lineRule="auto"/>
              <w:ind w:left="0" w:right="0" w:firstLine="480" w:firstLineChars="200"/>
              <w:jc w:val="left"/>
              <w:rPr>
                <w:rFonts w:hint="default" w:ascii="Times New Roman" w:hAnsi="Times New Roman" w:eastAsia="宋体" w:cs="Times New Roman"/>
                <w:color w:val="auto"/>
              </w:rPr>
            </w:pPr>
            <w:r>
              <w:rPr>
                <w:rFonts w:hint="default" w:ascii="Times New Roman" w:hAnsi="Times New Roman" w:eastAsia="宋体" w:cs="Times New Roman"/>
                <w:color w:val="auto"/>
              </w:rPr>
              <w:t>废气：运输过程产生的扬尘、装修废气及施工设备和运输设备产生的废气。</w:t>
            </w:r>
          </w:p>
          <w:p w14:paraId="222399BE">
            <w:pPr>
              <w:overflowPunct w:val="0"/>
              <w:autoSpaceDE w:val="0"/>
              <w:autoSpaceDN w:val="0"/>
              <w:bidi w:val="0"/>
              <w:adjustRightInd w:val="0"/>
              <w:snapToGrid w:val="0"/>
              <w:spacing w:before="0" w:after="0" w:line="360" w:lineRule="auto"/>
              <w:ind w:left="0" w:right="0" w:firstLine="480" w:firstLineChars="200"/>
              <w:jc w:val="left"/>
              <w:rPr>
                <w:rFonts w:hint="default" w:ascii="Times New Roman" w:hAnsi="Times New Roman" w:eastAsia="宋体" w:cs="Times New Roman"/>
                <w:color w:val="auto"/>
              </w:rPr>
            </w:pPr>
            <w:r>
              <w:rPr>
                <w:rFonts w:hint="default" w:ascii="Times New Roman" w:hAnsi="Times New Roman" w:eastAsia="宋体" w:cs="Times New Roman"/>
                <w:color w:val="auto"/>
              </w:rPr>
              <w:t>废水：主要为</w:t>
            </w:r>
            <w:r>
              <w:rPr>
                <w:rFonts w:hint="default" w:ascii="Times New Roman" w:hAnsi="Times New Roman" w:eastAsia="宋体" w:cs="Times New Roman"/>
                <w:color w:val="auto"/>
                <w:lang w:val="en-US" w:eastAsia="zh-CN"/>
              </w:rPr>
              <w:t>生活污水</w:t>
            </w:r>
            <w:r>
              <w:rPr>
                <w:rFonts w:hint="default" w:ascii="Times New Roman" w:hAnsi="Times New Roman" w:eastAsia="宋体" w:cs="Times New Roman"/>
                <w:color w:val="auto"/>
              </w:rPr>
              <w:t>。</w:t>
            </w:r>
          </w:p>
          <w:p w14:paraId="71DAA4DF">
            <w:pPr>
              <w:overflowPunct w:val="0"/>
              <w:autoSpaceDE w:val="0"/>
              <w:autoSpaceDN w:val="0"/>
              <w:bidi w:val="0"/>
              <w:adjustRightInd w:val="0"/>
              <w:snapToGrid w:val="0"/>
              <w:spacing w:before="0" w:after="0" w:line="360" w:lineRule="auto"/>
              <w:ind w:left="0" w:right="0" w:firstLine="480" w:firstLineChars="200"/>
              <w:jc w:val="left"/>
              <w:rPr>
                <w:rFonts w:hint="default" w:ascii="Times New Roman" w:hAnsi="Times New Roman" w:eastAsia="宋体" w:cs="Times New Roman"/>
                <w:color w:val="auto"/>
              </w:rPr>
            </w:pPr>
            <w:r>
              <w:rPr>
                <w:rFonts w:hint="default" w:ascii="Times New Roman" w:hAnsi="Times New Roman" w:eastAsia="宋体" w:cs="Times New Roman"/>
                <w:color w:val="auto"/>
              </w:rPr>
              <w:t>噪声：</w:t>
            </w:r>
            <w:r>
              <w:rPr>
                <w:rFonts w:hint="default" w:ascii="Times New Roman" w:hAnsi="Times New Roman" w:eastAsia="宋体" w:cs="Times New Roman"/>
                <w:color w:val="auto"/>
                <w:lang w:val="en-US" w:eastAsia="zh-CN"/>
              </w:rPr>
              <w:t>设备安装阶段使用</w:t>
            </w:r>
            <w:r>
              <w:rPr>
                <w:rFonts w:hint="default" w:ascii="Times New Roman" w:hAnsi="Times New Roman" w:eastAsia="宋体" w:cs="Times New Roman"/>
                <w:color w:val="auto"/>
              </w:rPr>
              <w:t>的电焊机、空压机等，运输车辆产生的噪声、设备安装过程中产生的噪声。</w:t>
            </w:r>
          </w:p>
          <w:p w14:paraId="4E7AA48F">
            <w:pPr>
              <w:overflowPunct w:val="0"/>
              <w:autoSpaceDE w:val="0"/>
              <w:autoSpaceDN w:val="0"/>
              <w:bidi w:val="0"/>
              <w:adjustRightInd w:val="0"/>
              <w:snapToGrid w:val="0"/>
              <w:spacing w:before="0" w:after="0" w:line="360" w:lineRule="auto"/>
              <w:ind w:left="0" w:right="0" w:firstLine="480" w:firstLineChars="200"/>
              <w:jc w:val="left"/>
              <w:rPr>
                <w:rFonts w:hint="default" w:ascii="Times New Roman" w:hAnsi="Times New Roman" w:eastAsia="宋体" w:cs="Times New Roman"/>
                <w:color w:val="auto"/>
              </w:rPr>
            </w:pPr>
            <w:r>
              <w:rPr>
                <w:rFonts w:hint="default" w:ascii="Times New Roman" w:hAnsi="Times New Roman" w:eastAsia="宋体" w:cs="Times New Roman"/>
                <w:color w:val="auto"/>
              </w:rPr>
              <w:t>废渣：主要来源于</w:t>
            </w:r>
            <w:r>
              <w:rPr>
                <w:rFonts w:hint="default" w:ascii="Times New Roman" w:hAnsi="Times New Roman" w:eastAsia="宋体" w:cs="Times New Roman"/>
                <w:color w:val="auto"/>
                <w:lang w:val="en-US" w:eastAsia="zh-CN"/>
              </w:rPr>
              <w:t>废弃包装材料</w:t>
            </w:r>
            <w:r>
              <w:rPr>
                <w:rFonts w:hint="default" w:ascii="Times New Roman" w:hAnsi="Times New Roman" w:eastAsia="宋体" w:cs="Times New Roman"/>
                <w:color w:val="auto"/>
              </w:rPr>
              <w:t>及施工人员产生的生活垃圾。</w:t>
            </w:r>
          </w:p>
          <w:p w14:paraId="44BB8C78">
            <w:pPr>
              <w:overflowPunct w:val="0"/>
              <w:autoSpaceDE w:val="0"/>
              <w:autoSpaceDN w:val="0"/>
              <w:bidi w:val="0"/>
              <w:adjustRightInd w:val="0"/>
              <w:snapToGrid w:val="0"/>
              <w:spacing w:before="0" w:after="0" w:line="360" w:lineRule="auto"/>
              <w:ind w:left="0" w:right="0" w:firstLine="480" w:firstLineChars="200"/>
              <w:jc w:val="left"/>
              <w:rPr>
                <w:rFonts w:hint="default" w:ascii="Times New Roman" w:hAnsi="Times New Roman" w:eastAsia="宋体" w:cs="Times New Roman"/>
                <w:color w:val="auto"/>
              </w:rPr>
            </w:pPr>
            <w:r>
              <w:rPr>
                <w:rFonts w:hint="default" w:ascii="Times New Roman" w:hAnsi="Times New Roman" w:eastAsia="宋体" w:cs="Times New Roman"/>
                <w:color w:val="auto"/>
              </w:rPr>
              <w:t>项目施工期主要污染源分析如表</w:t>
            </w:r>
            <w:r>
              <w:rPr>
                <w:rFonts w:hint="default" w:ascii="Times New Roman" w:hAnsi="Times New Roman" w:eastAsia="宋体" w:cs="Times New Roman"/>
                <w:color w:val="auto"/>
                <w:lang w:val="en-US" w:eastAsia="zh-CN"/>
              </w:rPr>
              <w:t>2.</w:t>
            </w:r>
            <w:r>
              <w:rPr>
                <w:rFonts w:hint="eastAsia" w:cs="Times New Roman"/>
                <w:color w:val="auto"/>
                <w:lang w:val="en-US" w:eastAsia="zh-CN"/>
              </w:rPr>
              <w:t>7</w:t>
            </w:r>
            <w:r>
              <w:rPr>
                <w:rFonts w:hint="default" w:ascii="Times New Roman" w:hAnsi="Times New Roman" w:eastAsia="宋体" w:cs="Times New Roman"/>
                <w:color w:val="auto"/>
                <w:lang w:val="en-US" w:eastAsia="zh-CN"/>
              </w:rPr>
              <w:t>-1</w:t>
            </w:r>
            <w:r>
              <w:rPr>
                <w:rFonts w:hint="default" w:ascii="Times New Roman" w:hAnsi="Times New Roman" w:eastAsia="宋体" w:cs="Times New Roman"/>
                <w:color w:val="auto"/>
              </w:rPr>
              <w:t>。</w:t>
            </w:r>
          </w:p>
          <w:p w14:paraId="27BE8A98">
            <w:pPr>
              <w:widowControl w:val="0"/>
              <w:overflowPunct w:val="0"/>
              <w:autoSpaceDE w:val="0"/>
              <w:autoSpaceDN w:val="0"/>
              <w:bidi w:val="0"/>
              <w:adjustRightInd w:val="0"/>
              <w:snapToGrid w:val="0"/>
              <w:spacing w:before="0" w:after="0" w:line="240" w:lineRule="auto"/>
              <w:ind w:left="0" w:right="0" w:firstLine="0" w:firstLineChars="0"/>
              <w:jc w:val="center"/>
              <w:rPr>
                <w:rFonts w:hint="default" w:ascii="Times New Roman" w:hAnsi="Times New Roman" w:eastAsia="宋体" w:cs="Times New Roman"/>
                <w:b/>
                <w:bCs/>
                <w:color w:val="auto"/>
                <w:sz w:val="21"/>
                <w:szCs w:val="20"/>
                <w:lang w:val="en-US" w:eastAsia="zh-CN"/>
              </w:rPr>
            </w:pPr>
            <w:r>
              <w:rPr>
                <w:rFonts w:hint="default" w:ascii="Times New Roman" w:hAnsi="Times New Roman" w:eastAsia="宋体" w:cs="Times New Roman"/>
                <w:b/>
                <w:bCs/>
                <w:color w:val="auto"/>
                <w:sz w:val="21"/>
                <w:szCs w:val="20"/>
                <w:lang w:val="en-US" w:eastAsia="zh-CN"/>
              </w:rPr>
              <w:t>表2.</w:t>
            </w:r>
            <w:r>
              <w:rPr>
                <w:rFonts w:hint="eastAsia" w:cs="Times New Roman"/>
                <w:b/>
                <w:bCs/>
                <w:color w:val="auto"/>
                <w:sz w:val="21"/>
                <w:szCs w:val="20"/>
                <w:lang w:val="en-US" w:eastAsia="zh-CN"/>
              </w:rPr>
              <w:t>7</w:t>
            </w:r>
            <w:r>
              <w:rPr>
                <w:rFonts w:hint="default" w:ascii="Times New Roman" w:hAnsi="Times New Roman" w:eastAsia="宋体" w:cs="Times New Roman"/>
                <w:b/>
                <w:bCs/>
                <w:color w:val="auto"/>
                <w:sz w:val="21"/>
                <w:szCs w:val="20"/>
                <w:lang w:val="en-US" w:eastAsia="zh-CN"/>
              </w:rPr>
              <w:t>-1施工期主要污染工序一览表</w:t>
            </w:r>
          </w:p>
          <w:tbl>
            <w:tblPr>
              <w:tblStyle w:val="23"/>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85"/>
              <w:gridCol w:w="2041"/>
              <w:gridCol w:w="2002"/>
              <w:gridCol w:w="3376"/>
            </w:tblGrid>
            <w:tr w14:paraId="3CC155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5" w:type="dxa"/>
                  <w:tcBorders>
                    <w:tl2br w:val="nil"/>
                    <w:tr2bl w:val="nil"/>
                  </w:tcBorders>
                  <w:vAlign w:val="center"/>
                </w:tcPr>
                <w:p w14:paraId="6C163C5D">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污染类别</w:t>
                  </w:r>
                </w:p>
              </w:tc>
              <w:tc>
                <w:tcPr>
                  <w:tcW w:w="2041" w:type="dxa"/>
                  <w:tcBorders>
                    <w:tl2br w:val="nil"/>
                    <w:tr2bl w:val="nil"/>
                  </w:tcBorders>
                  <w:vAlign w:val="center"/>
                </w:tcPr>
                <w:p w14:paraId="0D02E1F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污染源名称</w:t>
                  </w:r>
                </w:p>
              </w:tc>
              <w:tc>
                <w:tcPr>
                  <w:tcW w:w="2002" w:type="dxa"/>
                  <w:tcBorders>
                    <w:tl2br w:val="nil"/>
                    <w:tr2bl w:val="nil"/>
                  </w:tcBorders>
                  <w:vAlign w:val="center"/>
                </w:tcPr>
                <w:p w14:paraId="1909BA5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产生工序</w:t>
                  </w:r>
                </w:p>
              </w:tc>
              <w:tc>
                <w:tcPr>
                  <w:tcW w:w="3376" w:type="dxa"/>
                  <w:tcBorders>
                    <w:tl2br w:val="nil"/>
                    <w:tr2bl w:val="nil"/>
                  </w:tcBorders>
                  <w:vAlign w:val="center"/>
                </w:tcPr>
                <w:p w14:paraId="2B8F0ACF">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主要污染因子</w:t>
                  </w:r>
                </w:p>
              </w:tc>
            </w:tr>
            <w:tr w14:paraId="1D1975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5" w:type="dxa"/>
                  <w:vMerge w:val="restart"/>
                  <w:tcBorders>
                    <w:tl2br w:val="nil"/>
                    <w:tr2bl w:val="nil"/>
                  </w:tcBorders>
                  <w:vAlign w:val="center"/>
                </w:tcPr>
                <w:p w14:paraId="75AA300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废气</w:t>
                  </w:r>
                </w:p>
              </w:tc>
              <w:tc>
                <w:tcPr>
                  <w:tcW w:w="2041" w:type="dxa"/>
                  <w:tcBorders>
                    <w:tl2br w:val="nil"/>
                    <w:tr2bl w:val="nil"/>
                  </w:tcBorders>
                  <w:vAlign w:val="center"/>
                </w:tcPr>
                <w:p w14:paraId="3A475D2A">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施工场地</w:t>
                  </w:r>
                </w:p>
              </w:tc>
              <w:tc>
                <w:tcPr>
                  <w:tcW w:w="2002" w:type="dxa"/>
                  <w:tcBorders>
                    <w:tl2br w:val="nil"/>
                    <w:tr2bl w:val="nil"/>
                  </w:tcBorders>
                  <w:vAlign w:val="center"/>
                </w:tcPr>
                <w:p w14:paraId="0116211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施工过程</w:t>
                  </w:r>
                </w:p>
              </w:tc>
              <w:tc>
                <w:tcPr>
                  <w:tcW w:w="3376" w:type="dxa"/>
                  <w:tcBorders>
                    <w:tl2br w:val="nil"/>
                    <w:tr2bl w:val="nil"/>
                  </w:tcBorders>
                  <w:vAlign w:val="center"/>
                </w:tcPr>
                <w:p w14:paraId="3229D1D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扬尘</w:t>
                  </w:r>
                </w:p>
              </w:tc>
            </w:tr>
            <w:tr w14:paraId="034584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5" w:type="dxa"/>
                  <w:vMerge w:val="continue"/>
                  <w:tcBorders>
                    <w:tl2br w:val="nil"/>
                    <w:tr2bl w:val="nil"/>
                  </w:tcBorders>
                  <w:vAlign w:val="center"/>
                </w:tcPr>
                <w:p w14:paraId="6FD64D5D">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2041" w:type="dxa"/>
                  <w:tcBorders>
                    <w:tl2br w:val="nil"/>
                    <w:tr2bl w:val="nil"/>
                  </w:tcBorders>
                  <w:vAlign w:val="center"/>
                </w:tcPr>
                <w:p w14:paraId="7835EF22">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机械动力设备</w:t>
                  </w:r>
                </w:p>
              </w:tc>
              <w:tc>
                <w:tcPr>
                  <w:tcW w:w="2002" w:type="dxa"/>
                  <w:tcBorders>
                    <w:tl2br w:val="nil"/>
                    <w:tr2bl w:val="nil"/>
                  </w:tcBorders>
                  <w:vAlign w:val="center"/>
                </w:tcPr>
                <w:p w14:paraId="2041E09D">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机械设备运行</w:t>
                  </w:r>
                </w:p>
              </w:tc>
              <w:tc>
                <w:tcPr>
                  <w:tcW w:w="3376" w:type="dxa"/>
                  <w:tcBorders>
                    <w:tl2br w:val="nil"/>
                    <w:tr2bl w:val="nil"/>
                  </w:tcBorders>
                  <w:vAlign w:val="center"/>
                </w:tcPr>
                <w:p w14:paraId="241DFAE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尾气(SO</w:t>
                  </w:r>
                  <w:r>
                    <w:rPr>
                      <w:rFonts w:hint="default" w:ascii="Times New Roman" w:hAnsi="Times New Roman" w:eastAsia="宋体" w:cs="Times New Roman"/>
                      <w:color w:val="auto"/>
                      <w:sz w:val="21"/>
                      <w:szCs w:val="21"/>
                      <w:vertAlign w:val="subscript"/>
                      <w:lang w:val="en-US" w:eastAsia="zh-CN"/>
                    </w:rPr>
                    <w:t>2</w:t>
                  </w:r>
                  <w:r>
                    <w:rPr>
                      <w:rFonts w:hint="default" w:ascii="Times New Roman" w:hAnsi="Times New Roman" w:eastAsia="宋体" w:cs="Times New Roman"/>
                      <w:color w:val="auto"/>
                      <w:sz w:val="21"/>
                      <w:szCs w:val="21"/>
                      <w:lang w:val="en-US" w:eastAsia="zh-CN"/>
                    </w:rPr>
                    <w:t>、颗粒物、总烃、CO、NOx)</w:t>
                  </w:r>
                </w:p>
              </w:tc>
            </w:tr>
            <w:tr w14:paraId="6E6DF9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5" w:type="dxa"/>
                  <w:tcBorders>
                    <w:tl2br w:val="nil"/>
                    <w:tr2bl w:val="nil"/>
                  </w:tcBorders>
                  <w:vAlign w:val="center"/>
                </w:tcPr>
                <w:p w14:paraId="07FF0304">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废水</w:t>
                  </w:r>
                </w:p>
              </w:tc>
              <w:tc>
                <w:tcPr>
                  <w:tcW w:w="2041" w:type="dxa"/>
                  <w:tcBorders>
                    <w:tl2br w:val="nil"/>
                    <w:tr2bl w:val="nil"/>
                  </w:tcBorders>
                  <w:vAlign w:val="center"/>
                </w:tcPr>
                <w:p w14:paraId="784F2172">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生活污水</w:t>
                  </w:r>
                </w:p>
              </w:tc>
              <w:tc>
                <w:tcPr>
                  <w:tcW w:w="2002" w:type="dxa"/>
                  <w:tcBorders>
                    <w:tl2br w:val="nil"/>
                    <w:tr2bl w:val="nil"/>
                  </w:tcBorders>
                  <w:vAlign w:val="center"/>
                </w:tcPr>
                <w:p w14:paraId="1260218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人员施工、生活</w:t>
                  </w:r>
                </w:p>
              </w:tc>
              <w:tc>
                <w:tcPr>
                  <w:tcW w:w="3376" w:type="dxa"/>
                  <w:tcBorders>
                    <w:tl2br w:val="nil"/>
                    <w:tr2bl w:val="nil"/>
                  </w:tcBorders>
                  <w:vAlign w:val="center"/>
                </w:tcPr>
                <w:p w14:paraId="7096C67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pH、COD、BOD</w:t>
                  </w:r>
                  <w:r>
                    <w:rPr>
                      <w:rFonts w:hint="default" w:ascii="Times New Roman" w:hAnsi="Times New Roman" w:eastAsia="宋体" w:cs="Times New Roman"/>
                      <w:color w:val="auto"/>
                      <w:sz w:val="21"/>
                      <w:szCs w:val="21"/>
                      <w:vertAlign w:val="subscript"/>
                      <w:lang w:val="en-US" w:eastAsia="zh-CN"/>
                    </w:rPr>
                    <w:t>5</w:t>
                  </w:r>
                  <w:r>
                    <w:rPr>
                      <w:rFonts w:hint="default" w:ascii="Times New Roman" w:hAnsi="Times New Roman" w:eastAsia="宋体" w:cs="Times New Roman"/>
                      <w:color w:val="auto"/>
                      <w:sz w:val="21"/>
                      <w:szCs w:val="21"/>
                      <w:lang w:val="en-US" w:eastAsia="zh-CN"/>
                    </w:rPr>
                    <w:t>、SS、氨氮</w:t>
                  </w:r>
                </w:p>
              </w:tc>
            </w:tr>
            <w:tr w14:paraId="5302FC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5" w:type="dxa"/>
                  <w:vMerge w:val="restart"/>
                  <w:tcBorders>
                    <w:tl2br w:val="nil"/>
                    <w:tr2bl w:val="nil"/>
                  </w:tcBorders>
                  <w:vAlign w:val="center"/>
                </w:tcPr>
                <w:p w14:paraId="310842E2">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噪声</w:t>
                  </w:r>
                </w:p>
              </w:tc>
              <w:tc>
                <w:tcPr>
                  <w:tcW w:w="2041" w:type="dxa"/>
                  <w:tcBorders>
                    <w:tl2br w:val="nil"/>
                    <w:tr2bl w:val="nil"/>
                  </w:tcBorders>
                  <w:vAlign w:val="center"/>
                </w:tcPr>
                <w:p w14:paraId="4A4778E6">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施工设备</w:t>
                  </w:r>
                </w:p>
              </w:tc>
              <w:tc>
                <w:tcPr>
                  <w:tcW w:w="2002" w:type="dxa"/>
                  <w:tcBorders>
                    <w:tl2br w:val="nil"/>
                    <w:tr2bl w:val="nil"/>
                  </w:tcBorders>
                  <w:vAlign w:val="center"/>
                </w:tcPr>
                <w:p w14:paraId="6032CD9D">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施工设备运行</w:t>
                  </w:r>
                </w:p>
              </w:tc>
              <w:tc>
                <w:tcPr>
                  <w:tcW w:w="3376" w:type="dxa"/>
                  <w:tcBorders>
                    <w:tl2br w:val="nil"/>
                    <w:tr2bl w:val="nil"/>
                  </w:tcBorders>
                  <w:vAlign w:val="center"/>
                </w:tcPr>
                <w:p w14:paraId="1A0A6003">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机械噪声</w:t>
                  </w:r>
                </w:p>
              </w:tc>
            </w:tr>
            <w:tr w14:paraId="43EE9B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5" w:type="dxa"/>
                  <w:vMerge w:val="continue"/>
                  <w:tcBorders>
                    <w:tl2br w:val="nil"/>
                    <w:tr2bl w:val="nil"/>
                  </w:tcBorders>
                  <w:vAlign w:val="center"/>
                </w:tcPr>
                <w:p w14:paraId="134D25ED">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2041" w:type="dxa"/>
                  <w:tcBorders>
                    <w:tl2br w:val="nil"/>
                    <w:tr2bl w:val="nil"/>
                  </w:tcBorders>
                  <w:vAlign w:val="center"/>
                </w:tcPr>
                <w:p w14:paraId="4A89C46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运输车辆</w:t>
                  </w:r>
                </w:p>
              </w:tc>
              <w:tc>
                <w:tcPr>
                  <w:tcW w:w="2002" w:type="dxa"/>
                  <w:tcBorders>
                    <w:tl2br w:val="nil"/>
                    <w:tr2bl w:val="nil"/>
                  </w:tcBorders>
                  <w:vAlign w:val="center"/>
                </w:tcPr>
                <w:p w14:paraId="555CE59C">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运输车辆行驶</w:t>
                  </w:r>
                </w:p>
              </w:tc>
              <w:tc>
                <w:tcPr>
                  <w:tcW w:w="3376" w:type="dxa"/>
                  <w:tcBorders>
                    <w:tl2br w:val="nil"/>
                    <w:tr2bl w:val="nil"/>
                  </w:tcBorders>
                  <w:vAlign w:val="center"/>
                </w:tcPr>
                <w:p w14:paraId="481CEE3F">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交通噪声</w:t>
                  </w:r>
                </w:p>
              </w:tc>
            </w:tr>
            <w:tr w14:paraId="3315F4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5" w:type="dxa"/>
                  <w:vMerge w:val="continue"/>
                  <w:tcBorders>
                    <w:tl2br w:val="nil"/>
                    <w:tr2bl w:val="nil"/>
                  </w:tcBorders>
                  <w:vAlign w:val="center"/>
                </w:tcPr>
                <w:p w14:paraId="56770FA5">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2041" w:type="dxa"/>
                  <w:tcBorders>
                    <w:tl2br w:val="nil"/>
                    <w:tr2bl w:val="nil"/>
                  </w:tcBorders>
                  <w:vAlign w:val="center"/>
                </w:tcPr>
                <w:p w14:paraId="0FD0B24C">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施工人员</w:t>
                  </w:r>
                </w:p>
              </w:tc>
              <w:tc>
                <w:tcPr>
                  <w:tcW w:w="2002" w:type="dxa"/>
                  <w:tcBorders>
                    <w:tl2br w:val="nil"/>
                    <w:tr2bl w:val="nil"/>
                  </w:tcBorders>
                  <w:vAlign w:val="center"/>
                </w:tcPr>
                <w:p w14:paraId="6E45E2D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人员施工、生活</w:t>
                  </w:r>
                </w:p>
              </w:tc>
              <w:tc>
                <w:tcPr>
                  <w:tcW w:w="3376" w:type="dxa"/>
                  <w:tcBorders>
                    <w:tl2br w:val="nil"/>
                    <w:tr2bl w:val="nil"/>
                  </w:tcBorders>
                  <w:vAlign w:val="center"/>
                </w:tcPr>
                <w:p w14:paraId="03D29FB2">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生活噪声</w:t>
                  </w:r>
                </w:p>
              </w:tc>
            </w:tr>
            <w:tr w14:paraId="3B6F7D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5" w:type="dxa"/>
                  <w:vMerge w:val="restart"/>
                  <w:tcBorders>
                    <w:tl2br w:val="nil"/>
                    <w:tr2bl w:val="nil"/>
                  </w:tcBorders>
                  <w:vAlign w:val="center"/>
                </w:tcPr>
                <w:p w14:paraId="2068F3E4">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固体废物</w:t>
                  </w:r>
                </w:p>
              </w:tc>
              <w:tc>
                <w:tcPr>
                  <w:tcW w:w="2041" w:type="dxa"/>
                  <w:tcBorders>
                    <w:tl2br w:val="nil"/>
                    <w:tr2bl w:val="nil"/>
                  </w:tcBorders>
                  <w:vAlign w:val="center"/>
                </w:tcPr>
                <w:p w14:paraId="29CFE26A">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施工垃圾</w:t>
                  </w:r>
                </w:p>
              </w:tc>
              <w:tc>
                <w:tcPr>
                  <w:tcW w:w="2002" w:type="dxa"/>
                  <w:tcBorders>
                    <w:tl2br w:val="nil"/>
                    <w:tr2bl w:val="nil"/>
                  </w:tcBorders>
                  <w:vAlign w:val="center"/>
                </w:tcPr>
                <w:p w14:paraId="79B3E56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施工过程</w:t>
                  </w:r>
                </w:p>
              </w:tc>
              <w:tc>
                <w:tcPr>
                  <w:tcW w:w="3376" w:type="dxa"/>
                  <w:tcBorders>
                    <w:tl2br w:val="nil"/>
                    <w:tr2bl w:val="nil"/>
                  </w:tcBorders>
                  <w:vAlign w:val="center"/>
                </w:tcPr>
                <w:p w14:paraId="26F1CA4D">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废弃包装材料</w:t>
                  </w:r>
                </w:p>
              </w:tc>
            </w:tr>
            <w:tr w14:paraId="052A72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5" w:type="dxa"/>
                  <w:vMerge w:val="continue"/>
                  <w:tcBorders>
                    <w:tl2br w:val="nil"/>
                    <w:tr2bl w:val="nil"/>
                  </w:tcBorders>
                  <w:vAlign w:val="center"/>
                </w:tcPr>
                <w:p w14:paraId="47F4F39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2041" w:type="dxa"/>
                  <w:tcBorders>
                    <w:tl2br w:val="nil"/>
                    <w:tr2bl w:val="nil"/>
                  </w:tcBorders>
                  <w:vAlign w:val="center"/>
                </w:tcPr>
                <w:p w14:paraId="4471388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生活固废</w:t>
                  </w:r>
                </w:p>
              </w:tc>
              <w:tc>
                <w:tcPr>
                  <w:tcW w:w="2002" w:type="dxa"/>
                  <w:tcBorders>
                    <w:tl2br w:val="nil"/>
                    <w:tr2bl w:val="nil"/>
                  </w:tcBorders>
                  <w:vAlign w:val="center"/>
                </w:tcPr>
                <w:p w14:paraId="1FFEBA77">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施工人员生活</w:t>
                  </w:r>
                </w:p>
              </w:tc>
              <w:tc>
                <w:tcPr>
                  <w:tcW w:w="3376" w:type="dxa"/>
                  <w:tcBorders>
                    <w:tl2br w:val="nil"/>
                    <w:tr2bl w:val="nil"/>
                  </w:tcBorders>
                  <w:vAlign w:val="center"/>
                </w:tcPr>
                <w:p w14:paraId="773226A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生活垃圾</w:t>
                  </w:r>
                </w:p>
              </w:tc>
            </w:tr>
            <w:tr w14:paraId="3A14F3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5" w:type="dxa"/>
                  <w:tcBorders>
                    <w:tl2br w:val="nil"/>
                    <w:tr2bl w:val="nil"/>
                  </w:tcBorders>
                  <w:vAlign w:val="center"/>
                </w:tcPr>
                <w:p w14:paraId="324496A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生态</w:t>
                  </w:r>
                </w:p>
              </w:tc>
              <w:tc>
                <w:tcPr>
                  <w:tcW w:w="7419" w:type="dxa"/>
                  <w:gridSpan w:val="3"/>
                  <w:tcBorders>
                    <w:tl2br w:val="nil"/>
                    <w:tr2bl w:val="nil"/>
                  </w:tcBorders>
                  <w:vAlign w:val="center"/>
                </w:tcPr>
                <w:p w14:paraId="749CBE3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本项目场地已基本完成场地平整，生态现状植被覆盖率低，野生动物少</w:t>
                  </w:r>
                </w:p>
              </w:tc>
            </w:tr>
          </w:tbl>
          <w:p w14:paraId="7B77F225">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right="0" w:firstLine="562" w:firstLineChars="200"/>
              <w:jc w:val="left"/>
              <w:textAlignment w:val="auto"/>
              <w:outlineLvl w:val="1"/>
              <w:rPr>
                <w:rFonts w:hint="default" w:ascii="Times New Roman" w:hAnsi="Times New Roman" w:eastAsia="宋体" w:cs="Times New Roman"/>
                <w:b/>
                <w:color w:val="auto"/>
                <w:sz w:val="28"/>
                <w:szCs w:val="30"/>
                <w:highlight w:val="none"/>
                <w:lang w:val="en-US" w:eastAsia="zh-CN" w:bidi="ar-SA"/>
              </w:rPr>
            </w:pPr>
          </w:p>
          <w:p w14:paraId="3344309A">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right="0"/>
              <w:jc w:val="left"/>
              <w:textAlignment w:val="auto"/>
              <w:outlineLvl w:val="1"/>
              <w:rPr>
                <w:rFonts w:hint="default" w:ascii="Times New Roman" w:hAnsi="Times New Roman" w:eastAsia="宋体" w:cs="Times New Roman"/>
                <w:color w:val="auto"/>
                <w:kern w:val="2"/>
                <w:sz w:val="22"/>
                <w:szCs w:val="22"/>
                <w:lang w:val="en-US" w:eastAsia="zh-CN" w:bidi="ar-SA"/>
              </w:rPr>
            </w:pPr>
            <w:r>
              <w:rPr>
                <w:rFonts w:hint="eastAsia" w:cs="Times New Roman"/>
                <w:b/>
                <w:color w:val="auto"/>
                <w:sz w:val="24"/>
                <w:szCs w:val="28"/>
                <w:highlight w:val="none"/>
                <w:lang w:val="en-US" w:eastAsia="zh-CN" w:bidi="ar-SA"/>
              </w:rPr>
              <w:t>8、</w:t>
            </w:r>
            <w:r>
              <w:rPr>
                <w:rFonts w:hint="default" w:ascii="Times New Roman" w:hAnsi="Times New Roman" w:eastAsia="宋体" w:cs="Times New Roman"/>
                <w:b/>
                <w:color w:val="auto"/>
                <w:sz w:val="24"/>
                <w:szCs w:val="28"/>
                <w:highlight w:val="none"/>
                <w:lang w:val="en-US" w:eastAsia="zh-CN" w:bidi="ar-SA"/>
              </w:rPr>
              <w:t>运营期工艺流程简述</w:t>
            </w:r>
          </w:p>
          <w:p w14:paraId="4E8434FE">
            <w:pPr>
              <w:spacing w:line="360" w:lineRule="auto"/>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（1）</w:t>
            </w:r>
            <w:r>
              <w:rPr>
                <w:rFonts w:hint="default" w:ascii="Times New Roman" w:hAnsi="Times New Roman" w:eastAsia="宋体" w:cs="Times New Roman"/>
                <w:color w:val="auto"/>
                <w:lang w:val="en-US" w:eastAsia="zh-CN"/>
              </w:rPr>
              <w:t>原料装卸</w:t>
            </w:r>
          </w:p>
          <w:p w14:paraId="0CEE1EC6">
            <w:pPr>
              <w:spacing w:line="360" w:lineRule="auto"/>
              <w:ind w:firstLine="482"/>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鸡粪、菌剂、</w:t>
            </w:r>
            <w:r>
              <w:rPr>
                <w:rFonts w:hint="default" w:ascii="Times New Roman" w:hAnsi="Times New Roman" w:eastAsia="宋体" w:cs="Times New Roman"/>
                <w:color w:val="auto"/>
                <w:highlight w:val="none"/>
                <w:lang w:val="en-US" w:eastAsia="zh-CN"/>
              </w:rPr>
              <w:t>秸秆</w:t>
            </w:r>
            <w:r>
              <w:rPr>
                <w:rFonts w:hint="default" w:ascii="Times New Roman" w:hAnsi="Times New Roman" w:eastAsia="宋体" w:cs="Times New Roman"/>
                <w:color w:val="auto"/>
                <w:lang w:val="en-US" w:eastAsia="zh-CN"/>
              </w:rPr>
              <w:t>由汽车运输进厂后直接进行卸料，不在厂区内暂存，根据工艺要求，将鸡粪通过输送设备投入发酵罐内，菌剂为袋装包装，该过程仅会产生车辆进出场粉尘G1、秸秆卸料转运粉尘G2、菌剂、秸秆投料粉尘G3、卸料恶臭G4、废包装袋S1以及运输车辆噪声N1。</w:t>
            </w:r>
          </w:p>
          <w:p w14:paraId="323BD720">
            <w:pPr>
              <w:spacing w:line="360" w:lineRule="auto"/>
              <w:ind w:firstLine="482"/>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rPr>
              <w:t>（2）</w:t>
            </w:r>
            <w:r>
              <w:rPr>
                <w:rFonts w:hint="default" w:ascii="Times New Roman" w:hAnsi="Times New Roman" w:eastAsia="宋体" w:cs="Times New Roman"/>
                <w:color w:val="0000FF"/>
                <w:lang w:val="en-US" w:eastAsia="zh-CN"/>
              </w:rPr>
              <w:t>发酵、烘干</w:t>
            </w:r>
          </w:p>
          <w:p w14:paraId="76A82CCE">
            <w:pPr>
              <w:spacing w:line="360" w:lineRule="auto"/>
              <w:ind w:firstLine="482"/>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原料在发酵罐内进行混合匀质，发酵采用生物+静态好氧堆肥发酵工艺。</w:t>
            </w:r>
          </w:p>
          <w:p w14:paraId="6F361B2B">
            <w:pPr>
              <w:spacing w:line="360" w:lineRule="auto"/>
              <w:ind w:firstLine="482"/>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发酵菌剂由嗜热好氧微生物和嗜温好氧微生物菌群组成。嗜热好氧微生物对原料中的单糖、淀粉、蛋白质等易分解有机物可迅速分解并产生大量热，温度在24小时内可快速升至70°C以上，温度持续十天左右可有效灭菌杀虫、灭种，继续发酵，发酵后水分降至30%以下，复杂有机物（纤维素、半纤维素）开始分解，腐殖质开始形成，随着温度下降，嗜热好氧微生物大量死亡或休眠，嗜温好氧微生物重新开始繁殖，发酵物料形成腐殖酸，此过程会产生搅拌废气G5、发酵废气G6。</w:t>
            </w:r>
          </w:p>
          <w:p w14:paraId="7F992596">
            <w:pPr>
              <w:spacing w:line="360" w:lineRule="auto"/>
              <w:ind w:firstLine="482"/>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发酵周期满足后，罐内采用电加热烘干，加热至80~120°C，这个区间能比较快把水分降下来，又不至于把有机质、氮等养分烤坏。</w:t>
            </w:r>
          </w:p>
          <w:p w14:paraId="53008932">
            <w:pPr>
              <w:spacing w:line="360" w:lineRule="auto"/>
              <w:ind w:firstLine="482"/>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此过程会产生烘干废气G7以及风机噪声N2。搅拌废气、发酵废气、烘干废气通过集气罩收集废气，通过生物除臭塔（滴滤法）处置，处理后经一根15m排气筒排放（DA001），未收集部分通过喷洒除臭剂控制。</w:t>
            </w:r>
          </w:p>
          <w:p w14:paraId="3A883FD2">
            <w:pPr>
              <w:spacing w:line="360" w:lineRule="auto"/>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（3）成品加工（筛分、包装）</w:t>
            </w:r>
          </w:p>
          <w:p w14:paraId="532E608D">
            <w:pPr>
              <w:spacing w:line="360" w:lineRule="auto"/>
              <w:ind w:firstLine="482"/>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发酵后的肥料进入加工区暂存，此部分会产生装卸粉尘G8。经过筛分，将满足粒径大小要求的部分作为成品，不合格部分作为原料回用，筛分后堆垛进行陈化，陈化的主要目的是将大分子有肥物分解成易于植物吸收的小分子结构，增加肥效并提高有机肥的性价比，陈化周期约为15天，含水率控制在20-25%，陈化结束后进入包装机进行包装，作为产品外售。由于筛分机为封闭式滚筒筛，此部分主要产生筛分粉尘G9、筛分机噪声N3、包装机噪声N4、包装粉尘G10。包装机配套袋式除尘系统，处理后经一根15m排气筒排放（DA002），此部分会产生风机噪声N2，除尘灰S2。</w:t>
            </w:r>
          </w:p>
          <w:p w14:paraId="5C032013">
            <w:pPr>
              <w:spacing w:line="360" w:lineRule="auto"/>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工艺流程图详见图</w:t>
            </w:r>
            <w:r>
              <w:rPr>
                <w:rFonts w:hint="default" w:ascii="Times New Roman" w:hAnsi="Times New Roman" w:eastAsia="宋体" w:cs="Times New Roman"/>
                <w:color w:val="auto"/>
                <w:lang w:val="en-US" w:eastAsia="zh-CN"/>
              </w:rPr>
              <w:t>2.</w:t>
            </w:r>
            <w:r>
              <w:rPr>
                <w:rFonts w:hint="eastAsia" w:cs="Times New Roman"/>
                <w:color w:val="auto"/>
                <w:lang w:val="en-US" w:eastAsia="zh-CN"/>
              </w:rPr>
              <w:t>8</w:t>
            </w:r>
            <w:r>
              <w:rPr>
                <w:rFonts w:hint="default" w:ascii="Times New Roman" w:hAnsi="Times New Roman" w:eastAsia="宋体" w:cs="Times New Roman"/>
                <w:color w:val="auto"/>
                <w:lang w:val="en-US" w:eastAsia="zh-CN"/>
              </w:rPr>
              <w:t>-</w:t>
            </w:r>
            <w:r>
              <w:rPr>
                <w:rFonts w:hint="eastAsia" w:cs="Times New Roman"/>
                <w:color w:val="auto"/>
                <w:lang w:val="en-US" w:eastAsia="zh-CN"/>
              </w:rPr>
              <w:t>1</w:t>
            </w:r>
            <w:r>
              <w:rPr>
                <w:rFonts w:hint="default" w:ascii="Times New Roman" w:hAnsi="Times New Roman" w:eastAsia="宋体" w:cs="Times New Roman"/>
                <w:color w:val="auto"/>
              </w:rPr>
              <w:t>。</w:t>
            </w:r>
          </w:p>
          <w:p w14:paraId="1DC759C0">
            <w:pPr>
              <w:widowControl w:val="0"/>
              <w:overflowPunct w:val="0"/>
              <w:autoSpaceDE w:val="0"/>
              <w:autoSpaceDN w:val="0"/>
              <w:bidi w:val="0"/>
              <w:adjustRightInd w:val="0"/>
              <w:snapToGrid w:val="0"/>
              <w:spacing w:before="0" w:after="0" w:line="240" w:lineRule="auto"/>
              <w:ind w:left="0" w:right="0" w:firstLine="0" w:firstLineChars="0"/>
              <w:jc w:val="center"/>
              <w:rPr>
                <w:rFonts w:hint="default" w:ascii="Times New Roman" w:hAnsi="Times New Roman" w:eastAsia="宋体" w:cs="Times New Roman"/>
                <w:b/>
                <w:bCs/>
                <w:color w:val="auto"/>
                <w:sz w:val="21"/>
                <w:szCs w:val="20"/>
                <w:lang w:val="en-US" w:eastAsia="zh-CN"/>
              </w:rPr>
            </w:pPr>
          </w:p>
          <w:p w14:paraId="70E8DFC3">
            <w:pPr>
              <w:widowControl w:val="0"/>
              <w:overflowPunct w:val="0"/>
              <w:autoSpaceDE w:val="0"/>
              <w:autoSpaceDN w:val="0"/>
              <w:bidi w:val="0"/>
              <w:adjustRightInd w:val="0"/>
              <w:snapToGrid w:val="0"/>
              <w:spacing w:before="0" w:after="0" w:line="240" w:lineRule="auto"/>
              <w:ind w:left="0" w:right="0" w:firstLine="0" w:firstLineChars="0"/>
              <w:jc w:val="center"/>
              <w:rPr>
                <w:rFonts w:hint="default" w:ascii="Times New Roman" w:hAnsi="Times New Roman" w:eastAsia="宋体" w:cs="Times New Roman"/>
                <w:b/>
                <w:bCs/>
                <w:color w:val="auto"/>
                <w:sz w:val="21"/>
                <w:szCs w:val="20"/>
                <w:lang w:val="en-US" w:eastAsia="zh-CN"/>
              </w:rPr>
            </w:pPr>
            <w:r>
              <w:rPr>
                <w:rFonts w:hint="default" w:ascii="Times New Roman" w:hAnsi="Times New Roman" w:eastAsia="宋体" w:cs="Times New Roman"/>
                <w:b/>
                <w:bCs/>
                <w:color w:val="auto"/>
                <w:sz w:val="21"/>
                <w:szCs w:val="20"/>
                <w:lang w:val="en-US" w:eastAsia="zh-CN"/>
              </w:rPr>
              <w:t>表2.</w:t>
            </w:r>
            <w:r>
              <w:rPr>
                <w:rFonts w:hint="eastAsia" w:cs="Times New Roman"/>
                <w:b/>
                <w:bCs/>
                <w:color w:val="auto"/>
                <w:sz w:val="21"/>
                <w:szCs w:val="20"/>
                <w:lang w:val="en-US" w:eastAsia="zh-CN"/>
              </w:rPr>
              <w:t>8</w:t>
            </w:r>
            <w:r>
              <w:rPr>
                <w:rFonts w:hint="default" w:ascii="Times New Roman" w:hAnsi="Times New Roman" w:eastAsia="宋体" w:cs="Times New Roman"/>
                <w:b/>
                <w:bCs/>
                <w:color w:val="auto"/>
                <w:sz w:val="21"/>
                <w:szCs w:val="20"/>
                <w:lang w:val="en-US" w:eastAsia="zh-CN"/>
              </w:rPr>
              <w:t>-1运营期主要污染工序一览表</w:t>
            </w:r>
          </w:p>
          <w:tbl>
            <w:tblPr>
              <w:tblStyle w:val="23"/>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1760"/>
              <w:gridCol w:w="2519"/>
              <w:gridCol w:w="2987"/>
            </w:tblGrid>
            <w:tr w14:paraId="3A42A7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8" w:type="dxa"/>
                  <w:tcBorders>
                    <w:tl2br w:val="nil"/>
                    <w:tr2bl w:val="nil"/>
                  </w:tcBorders>
                  <w:vAlign w:val="center"/>
                </w:tcPr>
                <w:p w14:paraId="0EC5B2E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污染类别</w:t>
                  </w:r>
                </w:p>
              </w:tc>
              <w:tc>
                <w:tcPr>
                  <w:tcW w:w="1760" w:type="dxa"/>
                  <w:tcBorders>
                    <w:tl2br w:val="nil"/>
                    <w:tr2bl w:val="nil"/>
                  </w:tcBorders>
                  <w:vAlign w:val="center"/>
                </w:tcPr>
                <w:p w14:paraId="014E4DE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污染源名称</w:t>
                  </w:r>
                </w:p>
              </w:tc>
              <w:tc>
                <w:tcPr>
                  <w:tcW w:w="2519" w:type="dxa"/>
                  <w:tcBorders>
                    <w:tl2br w:val="nil"/>
                    <w:tr2bl w:val="nil"/>
                  </w:tcBorders>
                  <w:vAlign w:val="center"/>
                </w:tcPr>
                <w:p w14:paraId="6A4FB9DF">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产生工序</w:t>
                  </w:r>
                </w:p>
              </w:tc>
              <w:tc>
                <w:tcPr>
                  <w:tcW w:w="2987" w:type="dxa"/>
                  <w:tcBorders>
                    <w:tl2br w:val="nil"/>
                    <w:tr2bl w:val="nil"/>
                  </w:tcBorders>
                  <w:vAlign w:val="center"/>
                </w:tcPr>
                <w:p w14:paraId="6036AFC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主要污染因子</w:t>
                  </w:r>
                </w:p>
              </w:tc>
            </w:tr>
            <w:tr w14:paraId="438C96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8" w:type="dxa"/>
                  <w:vMerge w:val="restart"/>
                  <w:tcBorders>
                    <w:tl2br w:val="nil"/>
                    <w:tr2bl w:val="nil"/>
                  </w:tcBorders>
                  <w:vAlign w:val="center"/>
                </w:tcPr>
                <w:p w14:paraId="0103E5E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废气</w:t>
                  </w:r>
                </w:p>
              </w:tc>
              <w:tc>
                <w:tcPr>
                  <w:tcW w:w="1760" w:type="dxa"/>
                  <w:tcBorders>
                    <w:tl2br w:val="nil"/>
                    <w:tr2bl w:val="nil"/>
                  </w:tcBorders>
                  <w:vAlign w:val="center"/>
                </w:tcPr>
                <w:p w14:paraId="5C288508">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G1车辆进出粉尘</w:t>
                  </w:r>
                </w:p>
              </w:tc>
              <w:tc>
                <w:tcPr>
                  <w:tcW w:w="2519" w:type="dxa"/>
                  <w:tcBorders>
                    <w:tl2br w:val="nil"/>
                    <w:tr2bl w:val="nil"/>
                  </w:tcBorders>
                  <w:vAlign w:val="center"/>
                </w:tcPr>
                <w:p w14:paraId="473C3FFA">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道路</w:t>
                  </w:r>
                </w:p>
              </w:tc>
              <w:tc>
                <w:tcPr>
                  <w:tcW w:w="2987" w:type="dxa"/>
                  <w:tcBorders>
                    <w:tl2br w:val="nil"/>
                    <w:tr2bl w:val="nil"/>
                  </w:tcBorders>
                  <w:vAlign w:val="center"/>
                </w:tcPr>
                <w:p w14:paraId="192D9383">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颗粒物</w:t>
                  </w:r>
                </w:p>
              </w:tc>
            </w:tr>
            <w:tr w14:paraId="073175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8" w:type="dxa"/>
                  <w:vMerge w:val="continue"/>
                  <w:tcBorders>
                    <w:tl2br w:val="nil"/>
                    <w:tr2bl w:val="nil"/>
                  </w:tcBorders>
                  <w:vAlign w:val="center"/>
                </w:tcPr>
                <w:p w14:paraId="491AA10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1760" w:type="dxa"/>
                  <w:tcBorders>
                    <w:tl2br w:val="nil"/>
                    <w:tr2bl w:val="nil"/>
                  </w:tcBorders>
                  <w:vAlign w:val="center"/>
                </w:tcPr>
                <w:p w14:paraId="4A327E45">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G2秸秆卸料粉尘</w:t>
                  </w:r>
                </w:p>
              </w:tc>
              <w:tc>
                <w:tcPr>
                  <w:tcW w:w="2519" w:type="dxa"/>
                  <w:tcBorders>
                    <w:tl2br w:val="nil"/>
                    <w:tr2bl w:val="nil"/>
                  </w:tcBorders>
                  <w:vAlign w:val="center"/>
                </w:tcPr>
                <w:p w14:paraId="7EF29587">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卸料、转运</w:t>
                  </w:r>
                </w:p>
              </w:tc>
              <w:tc>
                <w:tcPr>
                  <w:tcW w:w="2987" w:type="dxa"/>
                  <w:tcBorders>
                    <w:tl2br w:val="nil"/>
                    <w:tr2bl w:val="nil"/>
                  </w:tcBorders>
                  <w:vAlign w:val="center"/>
                </w:tcPr>
                <w:p w14:paraId="49A9494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颗粒物</w:t>
                  </w:r>
                </w:p>
              </w:tc>
            </w:tr>
            <w:tr w14:paraId="202F0F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8" w:type="dxa"/>
                  <w:vMerge w:val="continue"/>
                  <w:tcBorders>
                    <w:tl2br w:val="nil"/>
                    <w:tr2bl w:val="nil"/>
                  </w:tcBorders>
                  <w:vAlign w:val="center"/>
                </w:tcPr>
                <w:p w14:paraId="7DD15F6C">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1760" w:type="dxa"/>
                  <w:tcBorders>
                    <w:tl2br w:val="nil"/>
                    <w:tr2bl w:val="nil"/>
                  </w:tcBorders>
                  <w:vAlign w:val="center"/>
                </w:tcPr>
                <w:p w14:paraId="313E25CF">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G3秸秆投料粉尘</w:t>
                  </w:r>
                </w:p>
              </w:tc>
              <w:tc>
                <w:tcPr>
                  <w:tcW w:w="2519" w:type="dxa"/>
                  <w:tcBorders>
                    <w:tl2br w:val="nil"/>
                    <w:tr2bl w:val="nil"/>
                  </w:tcBorders>
                  <w:vAlign w:val="center"/>
                </w:tcPr>
                <w:p w14:paraId="03C07C2A">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投料</w:t>
                  </w:r>
                </w:p>
              </w:tc>
              <w:tc>
                <w:tcPr>
                  <w:tcW w:w="2987" w:type="dxa"/>
                  <w:tcBorders>
                    <w:tl2br w:val="nil"/>
                    <w:tr2bl w:val="nil"/>
                  </w:tcBorders>
                  <w:vAlign w:val="center"/>
                </w:tcPr>
                <w:p w14:paraId="7A5D2875">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颗粒物</w:t>
                  </w:r>
                </w:p>
              </w:tc>
            </w:tr>
            <w:tr w14:paraId="7299DD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8" w:type="dxa"/>
                  <w:vMerge w:val="continue"/>
                  <w:tcBorders>
                    <w:tl2br w:val="nil"/>
                    <w:tr2bl w:val="nil"/>
                  </w:tcBorders>
                  <w:vAlign w:val="center"/>
                </w:tcPr>
                <w:p w14:paraId="0EBD7D5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1760" w:type="dxa"/>
                  <w:tcBorders>
                    <w:tl2br w:val="nil"/>
                    <w:tr2bl w:val="nil"/>
                  </w:tcBorders>
                  <w:vAlign w:val="center"/>
                </w:tcPr>
                <w:p w14:paraId="13EEC60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G4卸料恶臭</w:t>
                  </w:r>
                </w:p>
              </w:tc>
              <w:tc>
                <w:tcPr>
                  <w:tcW w:w="2519" w:type="dxa"/>
                  <w:tcBorders>
                    <w:tl2br w:val="nil"/>
                    <w:tr2bl w:val="nil"/>
                  </w:tcBorders>
                  <w:vAlign w:val="center"/>
                </w:tcPr>
                <w:p w14:paraId="7B4D651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卸料</w:t>
                  </w:r>
                </w:p>
              </w:tc>
              <w:tc>
                <w:tcPr>
                  <w:tcW w:w="2987" w:type="dxa"/>
                  <w:tcBorders>
                    <w:tl2br w:val="nil"/>
                    <w:tr2bl w:val="nil"/>
                  </w:tcBorders>
                  <w:vAlign w:val="center"/>
                </w:tcPr>
                <w:p w14:paraId="5FBD63B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臭气浓度、氨、硫化氢</w:t>
                  </w:r>
                </w:p>
              </w:tc>
            </w:tr>
            <w:tr w14:paraId="331E25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8" w:type="dxa"/>
                  <w:vMerge w:val="continue"/>
                  <w:tcBorders>
                    <w:tl2br w:val="nil"/>
                    <w:tr2bl w:val="nil"/>
                  </w:tcBorders>
                  <w:vAlign w:val="center"/>
                </w:tcPr>
                <w:p w14:paraId="6305029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1760" w:type="dxa"/>
                  <w:tcBorders>
                    <w:tl2br w:val="nil"/>
                    <w:tr2bl w:val="nil"/>
                  </w:tcBorders>
                  <w:vAlign w:val="center"/>
                </w:tcPr>
                <w:p w14:paraId="670A5E1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G5搅拌废气</w:t>
                  </w:r>
                </w:p>
              </w:tc>
              <w:tc>
                <w:tcPr>
                  <w:tcW w:w="2519" w:type="dxa"/>
                  <w:tcBorders>
                    <w:tl2br w:val="nil"/>
                    <w:tr2bl w:val="nil"/>
                  </w:tcBorders>
                  <w:vAlign w:val="center"/>
                </w:tcPr>
                <w:p w14:paraId="076AC995">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搅拌</w:t>
                  </w:r>
                </w:p>
              </w:tc>
              <w:tc>
                <w:tcPr>
                  <w:tcW w:w="2987" w:type="dxa"/>
                  <w:tcBorders>
                    <w:tl2br w:val="nil"/>
                    <w:tr2bl w:val="nil"/>
                  </w:tcBorders>
                  <w:vAlign w:val="center"/>
                </w:tcPr>
                <w:p w14:paraId="1354808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臭气浓度、氨、硫化氢</w:t>
                  </w:r>
                </w:p>
              </w:tc>
            </w:tr>
            <w:tr w14:paraId="1CF602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8" w:type="dxa"/>
                  <w:vMerge w:val="continue"/>
                  <w:tcBorders>
                    <w:tl2br w:val="nil"/>
                    <w:tr2bl w:val="nil"/>
                  </w:tcBorders>
                  <w:vAlign w:val="center"/>
                </w:tcPr>
                <w:p w14:paraId="132BB81F">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1760" w:type="dxa"/>
                  <w:tcBorders>
                    <w:tl2br w:val="nil"/>
                    <w:tr2bl w:val="nil"/>
                  </w:tcBorders>
                  <w:vAlign w:val="center"/>
                </w:tcPr>
                <w:p w14:paraId="15E9D8AC">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G6发酵废气</w:t>
                  </w:r>
                </w:p>
              </w:tc>
              <w:tc>
                <w:tcPr>
                  <w:tcW w:w="2519" w:type="dxa"/>
                  <w:tcBorders>
                    <w:tl2br w:val="nil"/>
                    <w:tr2bl w:val="nil"/>
                  </w:tcBorders>
                  <w:vAlign w:val="center"/>
                </w:tcPr>
                <w:p w14:paraId="4EEC67C8">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发酵</w:t>
                  </w:r>
                </w:p>
              </w:tc>
              <w:tc>
                <w:tcPr>
                  <w:tcW w:w="2987" w:type="dxa"/>
                  <w:tcBorders>
                    <w:tl2br w:val="nil"/>
                    <w:tr2bl w:val="nil"/>
                  </w:tcBorders>
                  <w:vAlign w:val="center"/>
                </w:tcPr>
                <w:p w14:paraId="68B390E2">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臭气浓度、氨、硫化氢</w:t>
                  </w:r>
                </w:p>
              </w:tc>
            </w:tr>
            <w:tr w14:paraId="348CE5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8" w:type="dxa"/>
                  <w:vMerge w:val="continue"/>
                  <w:tcBorders>
                    <w:tl2br w:val="nil"/>
                    <w:tr2bl w:val="nil"/>
                  </w:tcBorders>
                  <w:vAlign w:val="center"/>
                </w:tcPr>
                <w:p w14:paraId="7A615B9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1760" w:type="dxa"/>
                  <w:tcBorders>
                    <w:tl2br w:val="nil"/>
                    <w:tr2bl w:val="nil"/>
                  </w:tcBorders>
                  <w:vAlign w:val="center"/>
                </w:tcPr>
                <w:p w14:paraId="2FDB487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G7烘干废气</w:t>
                  </w:r>
                </w:p>
              </w:tc>
              <w:tc>
                <w:tcPr>
                  <w:tcW w:w="2519" w:type="dxa"/>
                  <w:tcBorders>
                    <w:tl2br w:val="nil"/>
                    <w:tr2bl w:val="nil"/>
                  </w:tcBorders>
                  <w:vAlign w:val="center"/>
                </w:tcPr>
                <w:p w14:paraId="6A4CADE7">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烘干</w:t>
                  </w:r>
                </w:p>
              </w:tc>
              <w:tc>
                <w:tcPr>
                  <w:tcW w:w="2987" w:type="dxa"/>
                  <w:tcBorders>
                    <w:tl2br w:val="nil"/>
                    <w:tr2bl w:val="nil"/>
                  </w:tcBorders>
                  <w:vAlign w:val="center"/>
                </w:tcPr>
                <w:p w14:paraId="6AD3712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臭气浓度、氨、硫化氢</w:t>
                  </w:r>
                </w:p>
              </w:tc>
            </w:tr>
            <w:tr w14:paraId="3135DA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8" w:type="dxa"/>
                  <w:vMerge w:val="continue"/>
                  <w:tcBorders>
                    <w:tl2br w:val="nil"/>
                    <w:tr2bl w:val="nil"/>
                  </w:tcBorders>
                  <w:vAlign w:val="center"/>
                </w:tcPr>
                <w:p w14:paraId="0844F01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1760" w:type="dxa"/>
                  <w:tcBorders>
                    <w:tl2br w:val="nil"/>
                    <w:tr2bl w:val="nil"/>
                  </w:tcBorders>
                  <w:vAlign w:val="center"/>
                </w:tcPr>
                <w:p w14:paraId="10DD72A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G8装卸粉尘</w:t>
                  </w:r>
                </w:p>
              </w:tc>
              <w:tc>
                <w:tcPr>
                  <w:tcW w:w="2519" w:type="dxa"/>
                  <w:tcBorders>
                    <w:tl2br w:val="nil"/>
                    <w:tr2bl w:val="nil"/>
                  </w:tcBorders>
                  <w:vAlign w:val="center"/>
                </w:tcPr>
                <w:p w14:paraId="6A48E637">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卸料</w:t>
                  </w:r>
                </w:p>
              </w:tc>
              <w:tc>
                <w:tcPr>
                  <w:tcW w:w="2987" w:type="dxa"/>
                  <w:tcBorders>
                    <w:tl2br w:val="nil"/>
                    <w:tr2bl w:val="nil"/>
                  </w:tcBorders>
                  <w:vAlign w:val="center"/>
                </w:tcPr>
                <w:p w14:paraId="21036A0A">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颗粒物</w:t>
                  </w:r>
                </w:p>
              </w:tc>
            </w:tr>
            <w:tr w14:paraId="730F15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8" w:type="dxa"/>
                  <w:vMerge w:val="continue"/>
                  <w:tcBorders>
                    <w:tl2br w:val="nil"/>
                    <w:tr2bl w:val="nil"/>
                  </w:tcBorders>
                  <w:vAlign w:val="center"/>
                </w:tcPr>
                <w:p w14:paraId="4FE51BF6">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1760" w:type="dxa"/>
                  <w:tcBorders>
                    <w:tl2br w:val="nil"/>
                    <w:tr2bl w:val="nil"/>
                  </w:tcBorders>
                  <w:vAlign w:val="center"/>
                </w:tcPr>
                <w:p w14:paraId="7250615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G9筛分粉尘</w:t>
                  </w:r>
                </w:p>
              </w:tc>
              <w:tc>
                <w:tcPr>
                  <w:tcW w:w="2519" w:type="dxa"/>
                  <w:tcBorders>
                    <w:tl2br w:val="nil"/>
                    <w:tr2bl w:val="nil"/>
                  </w:tcBorders>
                  <w:vAlign w:val="center"/>
                </w:tcPr>
                <w:p w14:paraId="6F2BFFEA">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筛分</w:t>
                  </w:r>
                </w:p>
              </w:tc>
              <w:tc>
                <w:tcPr>
                  <w:tcW w:w="2987" w:type="dxa"/>
                  <w:tcBorders>
                    <w:tl2br w:val="nil"/>
                    <w:tr2bl w:val="nil"/>
                  </w:tcBorders>
                  <w:vAlign w:val="center"/>
                </w:tcPr>
                <w:p w14:paraId="11201BC7">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颗粒物</w:t>
                  </w:r>
                </w:p>
              </w:tc>
            </w:tr>
            <w:tr w14:paraId="0CF7C2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8" w:type="dxa"/>
                  <w:vMerge w:val="continue"/>
                  <w:tcBorders>
                    <w:tl2br w:val="nil"/>
                    <w:tr2bl w:val="nil"/>
                  </w:tcBorders>
                  <w:vAlign w:val="center"/>
                </w:tcPr>
                <w:p w14:paraId="3500168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1760" w:type="dxa"/>
                  <w:tcBorders>
                    <w:tl2br w:val="nil"/>
                    <w:tr2bl w:val="nil"/>
                  </w:tcBorders>
                  <w:vAlign w:val="center"/>
                </w:tcPr>
                <w:p w14:paraId="75EF7357">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G10包装粉尘</w:t>
                  </w:r>
                </w:p>
              </w:tc>
              <w:tc>
                <w:tcPr>
                  <w:tcW w:w="2519" w:type="dxa"/>
                  <w:tcBorders>
                    <w:tl2br w:val="nil"/>
                    <w:tr2bl w:val="nil"/>
                  </w:tcBorders>
                  <w:vAlign w:val="center"/>
                </w:tcPr>
                <w:p w14:paraId="6583C39F">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包装</w:t>
                  </w:r>
                </w:p>
              </w:tc>
              <w:tc>
                <w:tcPr>
                  <w:tcW w:w="2987" w:type="dxa"/>
                  <w:tcBorders>
                    <w:tl2br w:val="nil"/>
                    <w:tr2bl w:val="nil"/>
                  </w:tcBorders>
                  <w:vAlign w:val="center"/>
                </w:tcPr>
                <w:p w14:paraId="2EB078F3">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颗粒物</w:t>
                  </w:r>
                </w:p>
              </w:tc>
            </w:tr>
            <w:tr w14:paraId="0BB783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8" w:type="dxa"/>
                  <w:vMerge w:val="restart"/>
                  <w:tcBorders>
                    <w:tl2br w:val="nil"/>
                    <w:tr2bl w:val="nil"/>
                  </w:tcBorders>
                  <w:vAlign w:val="center"/>
                </w:tcPr>
                <w:p w14:paraId="7A89DFB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噪声</w:t>
                  </w:r>
                </w:p>
              </w:tc>
              <w:tc>
                <w:tcPr>
                  <w:tcW w:w="1760" w:type="dxa"/>
                  <w:tcBorders>
                    <w:tl2br w:val="nil"/>
                    <w:tr2bl w:val="nil"/>
                  </w:tcBorders>
                  <w:vAlign w:val="center"/>
                </w:tcPr>
                <w:p w14:paraId="0767EFD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N1运输车辆噪声</w:t>
                  </w:r>
                </w:p>
              </w:tc>
              <w:tc>
                <w:tcPr>
                  <w:tcW w:w="2519" w:type="dxa"/>
                  <w:tcBorders>
                    <w:tl2br w:val="nil"/>
                    <w:tr2bl w:val="nil"/>
                  </w:tcBorders>
                  <w:vAlign w:val="center"/>
                </w:tcPr>
                <w:p w14:paraId="6225A31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车辆运输</w:t>
                  </w:r>
                </w:p>
              </w:tc>
              <w:tc>
                <w:tcPr>
                  <w:tcW w:w="2987" w:type="dxa"/>
                  <w:tcBorders>
                    <w:tl2br w:val="nil"/>
                    <w:tr2bl w:val="nil"/>
                  </w:tcBorders>
                  <w:vAlign w:val="center"/>
                </w:tcPr>
                <w:p w14:paraId="6EED8FB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机械噪声</w:t>
                  </w:r>
                </w:p>
              </w:tc>
            </w:tr>
            <w:tr w14:paraId="3207FC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8" w:type="dxa"/>
                  <w:vMerge w:val="continue"/>
                  <w:tcBorders>
                    <w:tl2br w:val="nil"/>
                    <w:tr2bl w:val="nil"/>
                  </w:tcBorders>
                  <w:vAlign w:val="center"/>
                </w:tcPr>
                <w:p w14:paraId="356BCDF4">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1760" w:type="dxa"/>
                  <w:tcBorders>
                    <w:tl2br w:val="nil"/>
                    <w:tr2bl w:val="nil"/>
                  </w:tcBorders>
                  <w:vAlign w:val="center"/>
                </w:tcPr>
                <w:p w14:paraId="1CD0456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N2风机噪声</w:t>
                  </w:r>
                </w:p>
              </w:tc>
              <w:tc>
                <w:tcPr>
                  <w:tcW w:w="2519" w:type="dxa"/>
                  <w:tcBorders>
                    <w:tl2br w:val="nil"/>
                    <w:tr2bl w:val="nil"/>
                  </w:tcBorders>
                  <w:vAlign w:val="center"/>
                </w:tcPr>
                <w:p w14:paraId="533BE01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设备运行</w:t>
                  </w:r>
                </w:p>
              </w:tc>
              <w:tc>
                <w:tcPr>
                  <w:tcW w:w="2987" w:type="dxa"/>
                  <w:tcBorders>
                    <w:tl2br w:val="nil"/>
                    <w:tr2bl w:val="nil"/>
                  </w:tcBorders>
                  <w:vAlign w:val="center"/>
                </w:tcPr>
                <w:p w14:paraId="1CAD5E3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机械噪声</w:t>
                  </w:r>
                </w:p>
              </w:tc>
            </w:tr>
            <w:tr w14:paraId="5E5597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8" w:type="dxa"/>
                  <w:vMerge w:val="continue"/>
                  <w:tcBorders>
                    <w:tl2br w:val="nil"/>
                    <w:tr2bl w:val="nil"/>
                  </w:tcBorders>
                  <w:vAlign w:val="center"/>
                </w:tcPr>
                <w:p w14:paraId="01B53C7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1760" w:type="dxa"/>
                  <w:tcBorders>
                    <w:tl2br w:val="nil"/>
                    <w:tr2bl w:val="nil"/>
                  </w:tcBorders>
                  <w:vAlign w:val="center"/>
                </w:tcPr>
                <w:p w14:paraId="61BAA3C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N3烘干机噪声</w:t>
                  </w:r>
                </w:p>
              </w:tc>
              <w:tc>
                <w:tcPr>
                  <w:tcW w:w="2519" w:type="dxa"/>
                  <w:tcBorders>
                    <w:tl2br w:val="nil"/>
                    <w:tr2bl w:val="nil"/>
                  </w:tcBorders>
                  <w:vAlign w:val="center"/>
                </w:tcPr>
                <w:p w14:paraId="23AEB936">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设备运行</w:t>
                  </w:r>
                </w:p>
              </w:tc>
              <w:tc>
                <w:tcPr>
                  <w:tcW w:w="2987" w:type="dxa"/>
                  <w:tcBorders>
                    <w:tl2br w:val="nil"/>
                    <w:tr2bl w:val="nil"/>
                  </w:tcBorders>
                  <w:vAlign w:val="center"/>
                </w:tcPr>
                <w:p w14:paraId="477B24B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机械噪声</w:t>
                  </w:r>
                </w:p>
              </w:tc>
            </w:tr>
            <w:tr w14:paraId="5D24BB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8" w:type="dxa"/>
                  <w:vMerge w:val="continue"/>
                  <w:tcBorders>
                    <w:tl2br w:val="nil"/>
                    <w:tr2bl w:val="nil"/>
                  </w:tcBorders>
                  <w:vAlign w:val="center"/>
                </w:tcPr>
                <w:p w14:paraId="0F43CBD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1760" w:type="dxa"/>
                  <w:tcBorders>
                    <w:tl2br w:val="nil"/>
                    <w:tr2bl w:val="nil"/>
                  </w:tcBorders>
                  <w:vAlign w:val="center"/>
                </w:tcPr>
                <w:p w14:paraId="746B1F7A">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N4筛分机噪声</w:t>
                  </w:r>
                </w:p>
              </w:tc>
              <w:tc>
                <w:tcPr>
                  <w:tcW w:w="2519" w:type="dxa"/>
                  <w:tcBorders>
                    <w:tl2br w:val="nil"/>
                    <w:tr2bl w:val="nil"/>
                  </w:tcBorders>
                  <w:vAlign w:val="center"/>
                </w:tcPr>
                <w:p w14:paraId="7303824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设备运行</w:t>
                  </w:r>
                </w:p>
              </w:tc>
              <w:tc>
                <w:tcPr>
                  <w:tcW w:w="2987" w:type="dxa"/>
                  <w:tcBorders>
                    <w:tl2br w:val="nil"/>
                    <w:tr2bl w:val="nil"/>
                  </w:tcBorders>
                  <w:vAlign w:val="center"/>
                </w:tcPr>
                <w:p w14:paraId="78185E5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机械噪声</w:t>
                  </w:r>
                </w:p>
              </w:tc>
            </w:tr>
            <w:tr w14:paraId="7E99B9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238" w:type="dxa"/>
                  <w:vMerge w:val="continue"/>
                  <w:tcBorders>
                    <w:tl2br w:val="nil"/>
                    <w:tr2bl w:val="nil"/>
                  </w:tcBorders>
                  <w:vAlign w:val="center"/>
                </w:tcPr>
                <w:p w14:paraId="2F31094F">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1760" w:type="dxa"/>
                  <w:tcBorders>
                    <w:tl2br w:val="nil"/>
                    <w:tr2bl w:val="nil"/>
                  </w:tcBorders>
                  <w:vAlign w:val="center"/>
                </w:tcPr>
                <w:p w14:paraId="05C4F43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N5包装机噪声</w:t>
                  </w:r>
                </w:p>
              </w:tc>
              <w:tc>
                <w:tcPr>
                  <w:tcW w:w="2519" w:type="dxa"/>
                  <w:tcBorders>
                    <w:tl2br w:val="nil"/>
                    <w:tr2bl w:val="nil"/>
                  </w:tcBorders>
                  <w:vAlign w:val="center"/>
                </w:tcPr>
                <w:p w14:paraId="74632EE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设备运行</w:t>
                  </w:r>
                </w:p>
              </w:tc>
              <w:tc>
                <w:tcPr>
                  <w:tcW w:w="2987" w:type="dxa"/>
                  <w:tcBorders>
                    <w:tl2br w:val="nil"/>
                    <w:tr2bl w:val="nil"/>
                  </w:tcBorders>
                  <w:vAlign w:val="center"/>
                </w:tcPr>
                <w:p w14:paraId="27DD8F4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机械噪声</w:t>
                  </w:r>
                </w:p>
              </w:tc>
            </w:tr>
            <w:tr w14:paraId="0309EF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38" w:type="dxa"/>
                  <w:vMerge w:val="restart"/>
                  <w:tcBorders>
                    <w:tl2br w:val="nil"/>
                    <w:tr2bl w:val="nil"/>
                  </w:tcBorders>
                  <w:vAlign w:val="center"/>
                </w:tcPr>
                <w:p w14:paraId="422140DA">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固体废物</w:t>
                  </w:r>
                </w:p>
              </w:tc>
              <w:tc>
                <w:tcPr>
                  <w:tcW w:w="1760" w:type="dxa"/>
                  <w:tcBorders>
                    <w:tl2br w:val="nil"/>
                    <w:tr2bl w:val="nil"/>
                  </w:tcBorders>
                  <w:vAlign w:val="center"/>
                </w:tcPr>
                <w:p w14:paraId="0DBA435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S1废包装袋</w:t>
                  </w:r>
                </w:p>
              </w:tc>
              <w:tc>
                <w:tcPr>
                  <w:tcW w:w="2519" w:type="dxa"/>
                  <w:tcBorders>
                    <w:tl2br w:val="nil"/>
                    <w:tr2bl w:val="nil"/>
                  </w:tcBorders>
                  <w:vAlign w:val="center"/>
                </w:tcPr>
                <w:p w14:paraId="5348E3B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运输</w:t>
                  </w:r>
                </w:p>
              </w:tc>
              <w:tc>
                <w:tcPr>
                  <w:tcW w:w="2987" w:type="dxa"/>
                  <w:tcBorders>
                    <w:tl2br w:val="nil"/>
                    <w:tr2bl w:val="nil"/>
                  </w:tcBorders>
                  <w:vAlign w:val="center"/>
                </w:tcPr>
                <w:p w14:paraId="46EC2AD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废包装袋</w:t>
                  </w:r>
                </w:p>
              </w:tc>
            </w:tr>
            <w:tr w14:paraId="100DE6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38" w:type="dxa"/>
                  <w:vMerge w:val="continue"/>
                  <w:tcBorders>
                    <w:tl2br w:val="nil"/>
                    <w:tr2bl w:val="nil"/>
                  </w:tcBorders>
                  <w:vAlign w:val="center"/>
                </w:tcPr>
                <w:p w14:paraId="591CE38C">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1760" w:type="dxa"/>
                  <w:tcBorders>
                    <w:tl2br w:val="nil"/>
                    <w:tr2bl w:val="nil"/>
                  </w:tcBorders>
                  <w:shd w:val="clear" w:color="auto" w:fill="auto"/>
                  <w:vAlign w:val="center"/>
                </w:tcPr>
                <w:p w14:paraId="2ABCCFF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bidi="ar-SA"/>
                    </w:rPr>
                  </w:pPr>
                  <w:r>
                    <w:rPr>
                      <w:rFonts w:hint="default" w:ascii="Times New Roman" w:hAnsi="Times New Roman" w:eastAsia="宋体" w:cs="Times New Roman"/>
                      <w:color w:val="0000FF"/>
                      <w:sz w:val="21"/>
                      <w:szCs w:val="21"/>
                      <w:lang w:val="en-US" w:eastAsia="zh-CN"/>
                    </w:rPr>
                    <w:t>S2废填料</w:t>
                  </w:r>
                </w:p>
              </w:tc>
              <w:tc>
                <w:tcPr>
                  <w:tcW w:w="2519" w:type="dxa"/>
                  <w:tcBorders>
                    <w:tl2br w:val="nil"/>
                    <w:tr2bl w:val="nil"/>
                  </w:tcBorders>
                  <w:shd w:val="clear" w:color="auto" w:fill="auto"/>
                  <w:vAlign w:val="center"/>
                </w:tcPr>
                <w:p w14:paraId="0A49B198">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bidi="ar-SA"/>
                    </w:rPr>
                  </w:pPr>
                  <w:r>
                    <w:rPr>
                      <w:rFonts w:hint="default" w:ascii="Times New Roman" w:hAnsi="Times New Roman" w:eastAsia="宋体" w:cs="Times New Roman"/>
                      <w:color w:val="0000FF"/>
                      <w:sz w:val="21"/>
                      <w:szCs w:val="21"/>
                      <w:lang w:val="en-US" w:eastAsia="zh-CN"/>
                    </w:rPr>
                    <w:t>生物除臭</w:t>
                  </w:r>
                </w:p>
              </w:tc>
              <w:tc>
                <w:tcPr>
                  <w:tcW w:w="2987" w:type="dxa"/>
                  <w:tcBorders>
                    <w:tl2br w:val="nil"/>
                    <w:tr2bl w:val="nil"/>
                  </w:tcBorders>
                  <w:shd w:val="clear" w:color="auto" w:fill="auto"/>
                  <w:vAlign w:val="center"/>
                </w:tcPr>
                <w:p w14:paraId="0E4D794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bidi="ar-SA"/>
                    </w:rPr>
                  </w:pPr>
                  <w:r>
                    <w:rPr>
                      <w:rFonts w:hint="default" w:ascii="Times New Roman" w:hAnsi="Times New Roman" w:eastAsia="宋体" w:cs="Times New Roman"/>
                      <w:color w:val="0000FF"/>
                      <w:sz w:val="21"/>
                      <w:szCs w:val="21"/>
                      <w:lang w:val="en-US" w:eastAsia="zh-CN"/>
                    </w:rPr>
                    <w:t>废填料</w:t>
                  </w:r>
                </w:p>
              </w:tc>
            </w:tr>
            <w:tr w14:paraId="5E76CB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238" w:type="dxa"/>
                  <w:vMerge w:val="continue"/>
                  <w:tcBorders>
                    <w:tl2br w:val="nil"/>
                    <w:tr2bl w:val="nil"/>
                  </w:tcBorders>
                  <w:vAlign w:val="center"/>
                </w:tcPr>
                <w:p w14:paraId="1D8DCAB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1760" w:type="dxa"/>
                  <w:tcBorders>
                    <w:tl2br w:val="nil"/>
                    <w:tr2bl w:val="nil"/>
                  </w:tcBorders>
                  <w:shd w:val="clear" w:color="auto" w:fill="auto"/>
                  <w:vAlign w:val="center"/>
                </w:tcPr>
                <w:p w14:paraId="388B7B7E">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S3筛分废料</w:t>
                  </w:r>
                </w:p>
              </w:tc>
              <w:tc>
                <w:tcPr>
                  <w:tcW w:w="2519" w:type="dxa"/>
                  <w:tcBorders>
                    <w:tl2br w:val="nil"/>
                    <w:tr2bl w:val="nil"/>
                  </w:tcBorders>
                  <w:shd w:val="clear" w:color="auto" w:fill="auto"/>
                  <w:vAlign w:val="center"/>
                </w:tcPr>
                <w:p w14:paraId="382624E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筛分</w:t>
                  </w:r>
                </w:p>
              </w:tc>
              <w:tc>
                <w:tcPr>
                  <w:tcW w:w="2987" w:type="dxa"/>
                  <w:tcBorders>
                    <w:tl2br w:val="nil"/>
                    <w:tr2bl w:val="nil"/>
                  </w:tcBorders>
                  <w:shd w:val="clear" w:color="auto" w:fill="auto"/>
                  <w:vAlign w:val="center"/>
                </w:tcPr>
                <w:p w14:paraId="2C86C11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不合格产品</w:t>
                  </w:r>
                </w:p>
              </w:tc>
            </w:tr>
            <w:tr w14:paraId="22BA72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238" w:type="dxa"/>
                  <w:vMerge w:val="continue"/>
                  <w:tcBorders>
                    <w:tl2br w:val="nil"/>
                    <w:tr2bl w:val="nil"/>
                  </w:tcBorders>
                  <w:vAlign w:val="center"/>
                </w:tcPr>
                <w:p w14:paraId="61906607">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1760" w:type="dxa"/>
                  <w:tcBorders>
                    <w:tl2br w:val="nil"/>
                    <w:tr2bl w:val="nil"/>
                  </w:tcBorders>
                  <w:shd w:val="clear" w:color="auto" w:fill="auto"/>
                  <w:vAlign w:val="center"/>
                </w:tcPr>
                <w:p w14:paraId="3C24AAFD">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bidi="ar-SA"/>
                    </w:rPr>
                  </w:pPr>
                  <w:r>
                    <w:rPr>
                      <w:rFonts w:hint="default" w:ascii="Times New Roman" w:hAnsi="Times New Roman" w:eastAsia="宋体" w:cs="Times New Roman"/>
                      <w:color w:val="0000FF"/>
                      <w:sz w:val="21"/>
                      <w:szCs w:val="21"/>
                      <w:lang w:val="en-US" w:eastAsia="zh-CN"/>
                    </w:rPr>
                    <w:t>S4除尘灰</w:t>
                  </w:r>
                </w:p>
              </w:tc>
              <w:tc>
                <w:tcPr>
                  <w:tcW w:w="2519" w:type="dxa"/>
                  <w:tcBorders>
                    <w:tl2br w:val="nil"/>
                    <w:tr2bl w:val="nil"/>
                  </w:tcBorders>
                  <w:shd w:val="clear" w:color="auto" w:fill="auto"/>
                  <w:vAlign w:val="center"/>
                </w:tcPr>
                <w:p w14:paraId="5037B26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bidi="ar-SA"/>
                    </w:rPr>
                  </w:pPr>
                  <w:r>
                    <w:rPr>
                      <w:rFonts w:hint="default" w:ascii="Times New Roman" w:hAnsi="Times New Roman" w:eastAsia="宋体" w:cs="Times New Roman"/>
                      <w:color w:val="0000FF"/>
                      <w:sz w:val="21"/>
                      <w:szCs w:val="21"/>
                      <w:lang w:val="en-US" w:eastAsia="zh-CN"/>
                    </w:rPr>
                    <w:t>袋式除尘</w:t>
                  </w:r>
                </w:p>
              </w:tc>
              <w:tc>
                <w:tcPr>
                  <w:tcW w:w="2987" w:type="dxa"/>
                  <w:tcBorders>
                    <w:tl2br w:val="nil"/>
                    <w:tr2bl w:val="nil"/>
                  </w:tcBorders>
                  <w:shd w:val="clear" w:color="auto" w:fill="auto"/>
                  <w:vAlign w:val="center"/>
                </w:tcPr>
                <w:p w14:paraId="4B8EE330">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bidi="ar-SA"/>
                    </w:rPr>
                  </w:pPr>
                  <w:r>
                    <w:rPr>
                      <w:rFonts w:hint="default" w:ascii="Times New Roman" w:hAnsi="Times New Roman" w:eastAsia="宋体" w:cs="Times New Roman"/>
                      <w:color w:val="0000FF"/>
                      <w:sz w:val="21"/>
                      <w:szCs w:val="21"/>
                      <w:lang w:val="en-US" w:eastAsia="zh-CN"/>
                    </w:rPr>
                    <w:t>除尘灰</w:t>
                  </w:r>
                </w:p>
              </w:tc>
            </w:tr>
            <w:tr w14:paraId="06AAC9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238" w:type="dxa"/>
                  <w:vMerge w:val="continue"/>
                  <w:tcBorders>
                    <w:tl2br w:val="nil"/>
                    <w:tr2bl w:val="nil"/>
                  </w:tcBorders>
                  <w:vAlign w:val="center"/>
                </w:tcPr>
                <w:p w14:paraId="4979416C">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p>
              </w:tc>
              <w:tc>
                <w:tcPr>
                  <w:tcW w:w="1760" w:type="dxa"/>
                  <w:tcBorders>
                    <w:tl2br w:val="nil"/>
                    <w:tr2bl w:val="nil"/>
                  </w:tcBorders>
                  <w:shd w:val="clear" w:color="auto" w:fill="auto"/>
                  <w:vAlign w:val="center"/>
                </w:tcPr>
                <w:p w14:paraId="50E29AE2">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eastAsia" w:cs="Times New Roman"/>
                      <w:color w:val="0000FF"/>
                      <w:sz w:val="21"/>
                      <w:szCs w:val="21"/>
                      <w:lang w:val="en-US" w:eastAsia="zh-CN"/>
                    </w:rPr>
                    <w:t>S5废布袋</w:t>
                  </w:r>
                </w:p>
              </w:tc>
              <w:tc>
                <w:tcPr>
                  <w:tcW w:w="2519" w:type="dxa"/>
                  <w:tcBorders>
                    <w:tl2br w:val="nil"/>
                    <w:tr2bl w:val="nil"/>
                  </w:tcBorders>
                  <w:shd w:val="clear" w:color="auto" w:fill="auto"/>
                  <w:vAlign w:val="center"/>
                </w:tcPr>
                <w:p w14:paraId="3559C1F9">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袋式除尘</w:t>
                  </w:r>
                </w:p>
              </w:tc>
              <w:tc>
                <w:tcPr>
                  <w:tcW w:w="2987" w:type="dxa"/>
                  <w:tcBorders>
                    <w:tl2br w:val="nil"/>
                    <w:tr2bl w:val="nil"/>
                  </w:tcBorders>
                  <w:shd w:val="clear" w:color="auto" w:fill="auto"/>
                  <w:vAlign w:val="center"/>
                </w:tcPr>
                <w:p w14:paraId="47C9EE26">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eastAsia" w:cs="Times New Roman"/>
                      <w:color w:val="0000FF"/>
                      <w:sz w:val="21"/>
                      <w:szCs w:val="21"/>
                      <w:lang w:val="en-US" w:eastAsia="zh-CN"/>
                    </w:rPr>
                    <w:t>废布袋</w:t>
                  </w:r>
                </w:p>
              </w:tc>
            </w:tr>
          </w:tbl>
          <w:p w14:paraId="3A68B409">
            <w:pPr>
              <w:pStyle w:val="27"/>
              <w:rPr>
                <w:rFonts w:hint="default" w:ascii="Times New Roman" w:hAnsi="Times New Roman" w:eastAsia="宋体" w:cs="Times New Roman"/>
                <w:color w:val="auto"/>
                <w:lang w:val="en-US" w:eastAsia="zh-CN"/>
              </w:rPr>
            </w:pPr>
          </w:p>
          <w:p w14:paraId="27C7AEF5">
            <w:pPr>
              <w:pStyle w:val="27"/>
              <w:rPr>
                <w:rFonts w:hint="default" w:ascii="Times New Roman" w:hAnsi="Times New Roman" w:eastAsia="宋体" w:cs="Times New Roman"/>
                <w:color w:val="auto"/>
                <w:lang w:val="en-US" w:eastAsia="zh-CN"/>
              </w:rPr>
            </w:pPr>
          </w:p>
          <w:p w14:paraId="3454BE45">
            <w:pPr>
              <w:pStyle w:val="27"/>
              <w:rPr>
                <w:rFonts w:hint="default" w:ascii="Times New Roman" w:hAnsi="Times New Roman" w:eastAsia="宋体" w:cs="Times New Roman"/>
                <w:color w:val="auto"/>
                <w:lang w:val="en-US" w:eastAsia="zh-CN"/>
              </w:rPr>
            </w:pPr>
          </w:p>
          <w:p w14:paraId="1CBD1B2A">
            <w:pPr>
              <w:pStyle w:val="27"/>
              <w:rPr>
                <w:rFonts w:hint="default" w:ascii="Times New Roman" w:hAnsi="Times New Roman" w:eastAsia="宋体" w:cs="Times New Roman"/>
                <w:color w:val="auto"/>
                <w:lang w:val="en-US" w:eastAsia="zh-CN"/>
              </w:rPr>
            </w:pPr>
          </w:p>
          <w:p w14:paraId="5EADE9C9">
            <w:pPr>
              <w:pStyle w:val="27"/>
              <w:rPr>
                <w:rFonts w:hint="default" w:ascii="Times New Roman" w:hAnsi="Times New Roman" w:eastAsia="宋体" w:cs="Times New Roman"/>
                <w:color w:val="auto"/>
                <w:lang w:val="en-US" w:eastAsia="zh-CN"/>
              </w:rPr>
            </w:pPr>
          </w:p>
          <w:p w14:paraId="197EDB97">
            <w:pPr>
              <w:pStyle w:val="27"/>
              <w:rPr>
                <w:rFonts w:hint="default" w:ascii="Times New Roman" w:hAnsi="Times New Roman" w:eastAsia="宋体" w:cs="Times New Roman"/>
                <w:color w:val="auto"/>
                <w:lang w:val="en-US" w:eastAsia="zh-CN"/>
              </w:rPr>
            </w:pPr>
          </w:p>
          <w:p w14:paraId="0C44A600">
            <w:pPr>
              <w:pStyle w:val="27"/>
              <w:rPr>
                <w:rFonts w:hint="default" w:ascii="Times New Roman" w:hAnsi="Times New Roman" w:eastAsia="宋体" w:cs="Times New Roman"/>
                <w:color w:val="auto"/>
                <w:lang w:val="en-US" w:eastAsia="zh-CN"/>
              </w:rPr>
            </w:pPr>
          </w:p>
          <w:p w14:paraId="0EDAF954">
            <w:pPr>
              <w:pStyle w:val="27"/>
              <w:rPr>
                <w:rFonts w:hint="default" w:ascii="Times New Roman" w:hAnsi="Times New Roman" w:eastAsia="宋体" w:cs="Times New Roman"/>
                <w:color w:val="auto"/>
                <w:lang w:val="en-US" w:eastAsia="zh-CN"/>
              </w:rPr>
            </w:pPr>
          </w:p>
          <w:p w14:paraId="376DC6C9">
            <w:pPr>
              <w:pStyle w:val="27"/>
              <w:rPr>
                <w:rFonts w:hint="default" w:ascii="Times New Roman" w:hAnsi="Times New Roman" w:eastAsia="宋体" w:cs="Times New Roman"/>
                <w:color w:val="auto"/>
                <w:lang w:val="en-US" w:eastAsia="zh-CN"/>
              </w:rPr>
            </w:pPr>
          </w:p>
          <w:p w14:paraId="0EBE0BFA">
            <w:pPr>
              <w:pStyle w:val="27"/>
              <w:rPr>
                <w:rFonts w:hint="default" w:ascii="Times New Roman" w:hAnsi="Times New Roman" w:eastAsia="宋体" w:cs="Times New Roman"/>
                <w:color w:val="auto"/>
                <w:lang w:val="en-US" w:eastAsia="zh-CN"/>
              </w:rPr>
            </w:pPr>
          </w:p>
          <w:p w14:paraId="62888838">
            <w:pPr>
              <w:widowControl w:val="0"/>
              <w:spacing w:line="360" w:lineRule="auto"/>
              <w:jc w:val="center"/>
              <w:rPr>
                <w:rFonts w:hint="default" w:ascii="Times New Roman" w:hAnsi="Times New Roman" w:eastAsia="宋体" w:cs="Times New Roman"/>
                <w:snapToGrid w:val="0"/>
                <w:color w:val="auto"/>
                <w:sz w:val="24"/>
                <w:szCs w:val="21"/>
                <w:vertAlign w:val="baseline"/>
                <w:lang w:val="en-US" w:eastAsia="zh-CN" w:bidi="ar-SA"/>
              </w:rPr>
            </w:pPr>
            <w:r>
              <w:drawing>
                <wp:inline distT="0" distB="0" distL="114300" distR="114300">
                  <wp:extent cx="5364480" cy="6339840"/>
                  <wp:effectExtent l="0" t="0" r="7620" b="381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4"/>
                          <a:stretch>
                            <a:fillRect/>
                          </a:stretch>
                        </pic:blipFill>
                        <pic:spPr>
                          <a:xfrm>
                            <a:off x="0" y="0"/>
                            <a:ext cx="5364480" cy="6339840"/>
                          </a:xfrm>
                          <a:prstGeom prst="rect">
                            <a:avLst/>
                          </a:prstGeom>
                          <a:noFill/>
                          <a:ln>
                            <a:noFill/>
                          </a:ln>
                        </pic:spPr>
                      </pic:pic>
                    </a:graphicData>
                  </a:graphic>
                </wp:inline>
              </w:drawing>
            </w:r>
            <w:r>
              <w:rPr>
                <w:rFonts w:hint="default" w:ascii="Times New Roman" w:hAnsi="Times New Roman" w:eastAsia="宋体" w:cs="Times New Roman"/>
                <w:b/>
                <w:bCs/>
                <w:snapToGrid w:val="0"/>
                <w:color w:val="auto"/>
                <w:sz w:val="21"/>
                <w:szCs w:val="18"/>
                <w:vertAlign w:val="baseline"/>
                <w:lang w:val="en-US" w:eastAsia="zh-CN" w:bidi="ar-SA"/>
              </w:rPr>
              <w:t>图2.</w:t>
            </w:r>
            <w:r>
              <w:rPr>
                <w:rFonts w:hint="eastAsia" w:cs="Times New Roman"/>
                <w:b/>
                <w:bCs/>
                <w:snapToGrid w:val="0"/>
                <w:color w:val="auto"/>
                <w:sz w:val="21"/>
                <w:szCs w:val="18"/>
                <w:vertAlign w:val="baseline"/>
                <w:lang w:val="en-US" w:eastAsia="zh-CN" w:bidi="ar-SA"/>
              </w:rPr>
              <w:t>8</w:t>
            </w:r>
            <w:r>
              <w:rPr>
                <w:rFonts w:hint="default" w:ascii="Times New Roman" w:hAnsi="Times New Roman" w:eastAsia="宋体" w:cs="Times New Roman"/>
                <w:b/>
                <w:bCs/>
                <w:snapToGrid w:val="0"/>
                <w:color w:val="auto"/>
                <w:sz w:val="21"/>
                <w:szCs w:val="18"/>
                <w:vertAlign w:val="baseline"/>
                <w:lang w:val="en-US" w:eastAsia="zh-CN" w:bidi="ar-SA"/>
              </w:rPr>
              <w:t>-1  工艺流程图</w:t>
            </w:r>
          </w:p>
        </w:tc>
      </w:tr>
    </w:tbl>
    <w:p w14:paraId="510B34D0">
      <w:pPr>
        <w:widowControl w:val="0"/>
        <w:overflowPunct w:val="0"/>
        <w:autoSpaceDE w:val="0"/>
        <w:autoSpaceDN w:val="0"/>
        <w:adjustRightInd w:val="0"/>
        <w:snapToGrid w:val="0"/>
        <w:spacing w:before="0" w:after="0" w:line="400" w:lineRule="exact"/>
        <w:ind w:left="0" w:leftChars="0" w:right="0" w:rightChars="0" w:firstLine="0" w:firstLineChars="0"/>
        <w:jc w:val="center"/>
        <w:rPr>
          <w:rFonts w:hint="default" w:ascii="Times New Roman" w:hAnsi="Times New Roman" w:eastAsia="宋体" w:cs="Times New Roman"/>
          <w:color w:val="auto"/>
          <w:sz w:val="24"/>
          <w:szCs w:val="22"/>
          <w:lang w:val="en-US" w:eastAsia="zh-CN" w:bidi="ar-SA"/>
        </w:rPr>
        <w:sectPr>
          <w:headerReference r:id="rId9" w:type="default"/>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
        <w:gridCol w:w="8675"/>
      </w:tblGrid>
      <w:tr w14:paraId="0B6A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4" w:hRule="atLeast"/>
          <w:jc w:val="center"/>
        </w:trPr>
        <w:tc>
          <w:tcPr>
            <w:tcW w:w="396" w:type="dxa"/>
            <w:vAlign w:val="center"/>
          </w:tcPr>
          <w:p w14:paraId="65459BC3">
            <w:pPr>
              <w:widowControl w:val="0"/>
              <w:overflowPunct w:val="0"/>
              <w:autoSpaceDE w:val="0"/>
              <w:autoSpaceDN w:val="0"/>
              <w:adjustRightInd w:val="0"/>
              <w:snapToGrid w:val="0"/>
              <w:spacing w:before="0" w:after="0" w:line="400" w:lineRule="exact"/>
              <w:ind w:left="0" w:leftChars="0" w:right="0" w:rightChars="0" w:firstLine="0" w:firstLineChars="0"/>
              <w:jc w:val="center"/>
              <w:rPr>
                <w:rFonts w:hint="default" w:ascii="Times New Roman" w:hAnsi="Times New Roman" w:eastAsia="宋体" w:cs="Times New Roman"/>
                <w:color w:val="auto"/>
                <w:sz w:val="24"/>
                <w:szCs w:val="24"/>
                <w:vertAlign w:val="baseline"/>
                <w:lang w:val="en-US" w:eastAsia="zh-CN" w:bidi="ar-SA"/>
              </w:rPr>
            </w:pPr>
            <w:r>
              <w:rPr>
                <w:rFonts w:hint="default" w:ascii="Times New Roman" w:hAnsi="Times New Roman" w:eastAsia="宋体" w:cs="Times New Roman"/>
                <w:color w:val="auto"/>
                <w:sz w:val="24"/>
                <w:szCs w:val="22"/>
                <w:lang w:val="en-US" w:eastAsia="zh-CN" w:bidi="ar-SA"/>
              </w:rPr>
              <w:t>项目有关的原有环境污染问题</w:t>
            </w:r>
          </w:p>
        </w:tc>
        <w:tc>
          <w:tcPr>
            <w:tcW w:w="8675" w:type="dxa"/>
            <w:vAlign w:val="top"/>
          </w:tcPr>
          <w:p w14:paraId="52B6EEFD">
            <w:pPr>
              <w:overflowPunct w:val="0"/>
              <w:autoSpaceDE w:val="0"/>
              <w:autoSpaceDN w:val="0"/>
              <w:bidi w:val="0"/>
              <w:adjustRightInd w:val="0"/>
              <w:snapToGrid w:val="0"/>
              <w:spacing w:before="0" w:after="0" w:line="500" w:lineRule="exact"/>
              <w:ind w:left="0" w:right="0" w:firstLine="480" w:firstLineChars="200"/>
              <w:jc w:val="left"/>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本项目为新建项目（重新报批），目前主体工程已建设完成。</w:t>
            </w:r>
          </w:p>
          <w:p w14:paraId="7C542A88">
            <w:pPr>
              <w:widowControl w:val="0"/>
              <w:overflowPunct w:val="0"/>
              <w:autoSpaceDE w:val="0"/>
              <w:autoSpaceDN w:val="0"/>
              <w:bidi w:val="0"/>
              <w:adjustRightInd w:val="0"/>
              <w:snapToGrid w:val="0"/>
              <w:spacing w:before="0" w:after="0" w:line="560" w:lineRule="exact"/>
              <w:ind w:right="0"/>
              <w:jc w:val="left"/>
              <w:outlineLvl w:val="1"/>
              <w:rPr>
                <w:rFonts w:hint="default" w:ascii="Times New Roman" w:hAnsi="Times New Roman" w:eastAsia="宋体" w:cs="Times New Roman"/>
                <w:b/>
                <w:color w:val="auto"/>
                <w:sz w:val="24"/>
                <w:szCs w:val="28"/>
                <w:lang w:val="en-US" w:eastAsia="zh-CN" w:bidi="ar-SA"/>
              </w:rPr>
            </w:pPr>
            <w:r>
              <w:rPr>
                <w:rFonts w:hint="eastAsia" w:cs="Times New Roman"/>
                <w:b/>
                <w:color w:val="auto"/>
                <w:sz w:val="24"/>
                <w:szCs w:val="28"/>
                <w:lang w:val="en-US" w:eastAsia="zh-CN" w:bidi="ar-SA"/>
              </w:rPr>
              <w:t>9、</w:t>
            </w:r>
            <w:r>
              <w:rPr>
                <w:rFonts w:hint="default" w:ascii="Times New Roman" w:hAnsi="Times New Roman" w:eastAsia="宋体" w:cs="Times New Roman"/>
                <w:b/>
                <w:color w:val="auto"/>
                <w:sz w:val="24"/>
                <w:szCs w:val="28"/>
                <w:lang w:val="en-US" w:eastAsia="zh-CN" w:bidi="ar-SA"/>
              </w:rPr>
              <w:t>变更前项目回顾性评价</w:t>
            </w:r>
          </w:p>
          <w:p w14:paraId="2D57FDBC">
            <w:pPr>
              <w:widowControl w:val="0"/>
              <w:autoSpaceDE w:val="0"/>
              <w:autoSpaceDN w:val="0"/>
              <w:spacing w:line="360" w:lineRule="auto"/>
              <w:ind w:firstLine="480" w:firstLineChars="200"/>
              <w:jc w:val="both"/>
              <w:rPr>
                <w:rFonts w:hint="default" w:ascii="Times New Roman" w:hAnsi="Times New Roman" w:eastAsia="宋体" w:cs="Times New Roman"/>
                <w:color w:val="auto"/>
                <w:highlight w:val="yellow"/>
                <w:lang w:val="en-US" w:eastAsia="zh-CN"/>
              </w:rPr>
            </w:pPr>
            <w:r>
              <w:rPr>
                <w:rFonts w:hint="default" w:ascii="Times New Roman" w:hAnsi="Times New Roman" w:eastAsia="宋体" w:cs="Times New Roman"/>
                <w:color w:val="auto"/>
                <w:lang w:val="en-US" w:eastAsia="zh-CN"/>
              </w:rPr>
              <w:t>大禹升辉农业科技有限公司</w:t>
            </w:r>
            <w:r>
              <w:rPr>
                <w:rFonts w:hint="default" w:ascii="Times New Roman" w:hAnsi="Times New Roman" w:eastAsia="宋体" w:cs="Times New Roman"/>
                <w:bCs/>
                <w:color w:val="auto"/>
                <w:kern w:val="0"/>
                <w:sz w:val="24"/>
                <w:szCs w:val="24"/>
                <w:lang w:val="en-US" w:eastAsia="zh-CN" w:bidi="ar-SA"/>
              </w:rPr>
              <w:t>于2020年9月21日取得《关于&lt;</w:t>
            </w:r>
            <w:r>
              <w:rPr>
                <w:rFonts w:hint="default" w:ascii="Times New Roman" w:hAnsi="Times New Roman" w:eastAsia="宋体" w:cs="Times New Roman"/>
                <w:color w:val="auto"/>
                <w:lang w:val="en-US" w:eastAsia="zh-CN"/>
              </w:rPr>
              <w:t>玛纳斯县大禹升辉农业科技有限公司年产1</w:t>
            </w:r>
            <w:r>
              <w:rPr>
                <w:rFonts w:hint="default" w:ascii="Times New Roman" w:hAnsi="Times New Roman" w:eastAsia="宋体" w:cs="Times New Roman"/>
                <w:color w:val="auto"/>
                <w:highlight w:val="none"/>
                <w:lang w:val="en-US" w:eastAsia="zh-CN"/>
              </w:rPr>
              <w:t>万吨有机肥、1万吨液态肥建设项目&gt;的批复</w:t>
            </w:r>
            <w:r>
              <w:rPr>
                <w:rFonts w:hint="default" w:ascii="Times New Roman" w:hAnsi="Times New Roman" w:eastAsia="宋体" w:cs="Times New Roman"/>
                <w:bCs/>
                <w:color w:val="auto"/>
                <w:kern w:val="0"/>
                <w:sz w:val="24"/>
                <w:szCs w:val="24"/>
                <w:highlight w:val="none"/>
                <w:lang w:val="en-US" w:eastAsia="zh-CN" w:bidi="ar-SA"/>
              </w:rPr>
              <w:t>》（玛环审[2020]27号），该企业倒闭，后由新疆美康惠农科技发展有限公司接收并建设，2022年7月开工建设，2025年9月底建成。</w:t>
            </w:r>
          </w:p>
          <w:p w14:paraId="57CC7630">
            <w:pPr>
              <w:widowControl w:val="0"/>
              <w:autoSpaceDE w:val="0"/>
              <w:autoSpaceDN w:val="0"/>
              <w:spacing w:line="360" w:lineRule="auto"/>
              <w:ind w:firstLine="480" w:firstLineChars="200"/>
              <w:jc w:val="both"/>
              <w:rPr>
                <w:rFonts w:hint="default" w:ascii="Times New Roman" w:hAnsi="Times New Roman" w:eastAsia="宋体" w:cs="Times New Roman"/>
                <w:bCs/>
                <w:color w:val="auto"/>
                <w:kern w:val="0"/>
                <w:sz w:val="24"/>
                <w:szCs w:val="24"/>
                <w:lang w:val="en-US" w:eastAsia="zh-Hans" w:bidi="ar-SA"/>
              </w:rPr>
            </w:pPr>
            <w:r>
              <w:rPr>
                <w:rFonts w:hint="default" w:ascii="Times New Roman" w:hAnsi="Times New Roman" w:eastAsia="宋体" w:cs="Times New Roman"/>
                <w:bCs/>
                <w:color w:val="auto"/>
                <w:kern w:val="0"/>
                <w:sz w:val="24"/>
                <w:szCs w:val="24"/>
                <w:lang w:val="en-US" w:eastAsia="zh-CN" w:bidi="ar-SA"/>
              </w:rPr>
              <w:t xml:space="preserve">（1）变更前项目环评报告及批复工艺  </w:t>
            </w:r>
          </w:p>
          <w:p w14:paraId="5C9E44D4">
            <w:pPr>
              <w:widowControl w:val="0"/>
              <w:autoSpaceDE w:val="0"/>
              <w:autoSpaceDN w:val="0"/>
              <w:spacing w:line="360" w:lineRule="auto"/>
              <w:ind w:firstLine="480" w:firstLineChars="200"/>
              <w:jc w:val="both"/>
              <w:rPr>
                <w:rFonts w:hint="default" w:ascii="Times New Roman" w:hAnsi="Times New Roman" w:eastAsia="宋体" w:cs="Times New Roman"/>
                <w:bCs/>
                <w:color w:val="auto"/>
                <w:kern w:val="0"/>
                <w:sz w:val="24"/>
                <w:szCs w:val="24"/>
                <w:lang w:val="en-US" w:eastAsia="zh-CN" w:bidi="ar-SA"/>
              </w:rPr>
            </w:pPr>
            <w:r>
              <w:rPr>
                <w:rFonts w:hint="default" w:ascii="Times New Roman" w:hAnsi="Times New Roman" w:eastAsia="宋体" w:cs="Times New Roman"/>
                <w:color w:val="auto"/>
                <w:lang w:val="en-US" w:eastAsia="zh-CN"/>
              </w:rPr>
              <w:t>原料准备→混合搅拌→翻堆发酵→出发酵场→筛分→烘干</w:t>
            </w:r>
          </w:p>
          <w:p w14:paraId="37E3E3C5">
            <w:pPr>
              <w:widowControl w:val="0"/>
              <w:autoSpaceDE w:val="0"/>
              <w:autoSpaceDN w:val="0"/>
              <w:spacing w:line="360" w:lineRule="auto"/>
              <w:ind w:firstLine="480" w:firstLineChars="200"/>
              <w:jc w:val="both"/>
              <w:rPr>
                <w:rFonts w:hint="default" w:ascii="Times New Roman" w:hAnsi="Times New Roman" w:eastAsia="宋体" w:cs="Times New Roman"/>
                <w:bCs/>
                <w:color w:val="auto"/>
                <w:kern w:val="0"/>
                <w:sz w:val="24"/>
                <w:szCs w:val="24"/>
                <w:lang w:val="en-US" w:eastAsia="zh-CN" w:bidi="ar-SA"/>
              </w:rPr>
            </w:pPr>
            <w:r>
              <w:rPr>
                <w:rFonts w:hint="default" w:ascii="Times New Roman" w:hAnsi="Times New Roman" w:eastAsia="宋体" w:cs="Times New Roman"/>
                <w:bCs/>
                <w:color w:val="auto"/>
                <w:kern w:val="0"/>
                <w:sz w:val="24"/>
                <w:szCs w:val="24"/>
                <w:lang w:val="en-US" w:eastAsia="zh-CN" w:bidi="ar-SA"/>
              </w:rPr>
              <w:t>（2）变更前项目建设内容</w:t>
            </w:r>
          </w:p>
          <w:p w14:paraId="611CB862">
            <w:pPr>
              <w:overflowPunct w:val="0"/>
              <w:autoSpaceDE w:val="0"/>
              <w:autoSpaceDN w:val="0"/>
              <w:bidi w:val="0"/>
              <w:adjustRightInd w:val="0"/>
              <w:snapToGrid w:val="0"/>
              <w:spacing w:before="0" w:after="0" w:line="500" w:lineRule="exact"/>
              <w:ind w:left="0" w:right="0" w:firstLine="480" w:firstLineChars="200"/>
              <w:jc w:val="left"/>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变更前项目建设内容见表2.</w:t>
            </w:r>
            <w:r>
              <w:rPr>
                <w:rFonts w:hint="eastAsia" w:cs="Times New Roman"/>
                <w:color w:val="auto"/>
                <w:lang w:val="en-US" w:eastAsia="zh-CN"/>
              </w:rPr>
              <w:t>9</w:t>
            </w:r>
            <w:r>
              <w:rPr>
                <w:rFonts w:hint="default" w:ascii="Times New Roman" w:hAnsi="Times New Roman" w:eastAsia="宋体" w:cs="Times New Roman"/>
                <w:color w:val="auto"/>
                <w:lang w:val="en-US" w:eastAsia="zh-CN"/>
              </w:rPr>
              <w:t>-1。</w:t>
            </w:r>
          </w:p>
          <w:p w14:paraId="1D02A8D6">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Times New Roman"/>
                <w:b/>
                <w:color w:val="auto"/>
                <w:sz w:val="21"/>
                <w:szCs w:val="21"/>
                <w:lang w:val="en-US" w:eastAsia="zh-CN" w:bidi="ar-SA"/>
              </w:rPr>
            </w:pPr>
            <w:r>
              <w:rPr>
                <w:rFonts w:hint="default" w:ascii="Times New Roman" w:hAnsi="Times New Roman" w:eastAsia="宋体" w:cs="Times New Roman"/>
                <w:b/>
                <w:color w:val="auto"/>
                <w:sz w:val="21"/>
                <w:szCs w:val="21"/>
                <w:lang w:val="en-US" w:eastAsia="zh-CN" w:bidi="ar-SA"/>
              </w:rPr>
              <w:t>表2.</w:t>
            </w:r>
            <w:r>
              <w:rPr>
                <w:rFonts w:hint="eastAsia" w:cs="Times New Roman"/>
                <w:b/>
                <w:color w:val="auto"/>
                <w:sz w:val="21"/>
                <w:szCs w:val="21"/>
                <w:lang w:val="en-US" w:eastAsia="zh-CN" w:bidi="ar-SA"/>
              </w:rPr>
              <w:t>9</w:t>
            </w:r>
            <w:r>
              <w:rPr>
                <w:rFonts w:hint="default" w:ascii="Times New Roman" w:hAnsi="Times New Roman" w:eastAsia="宋体" w:cs="Times New Roman"/>
                <w:b/>
                <w:color w:val="auto"/>
                <w:sz w:val="21"/>
                <w:szCs w:val="21"/>
                <w:lang w:val="en-US" w:eastAsia="zh-CN" w:bidi="ar-SA"/>
              </w:rPr>
              <w:t>-1 变更前项目建设内容一览表</w:t>
            </w:r>
          </w:p>
          <w:tbl>
            <w:tblPr>
              <w:tblStyle w:val="22"/>
              <w:tblW w:w="851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077"/>
              <w:gridCol w:w="1207"/>
              <w:gridCol w:w="5107"/>
              <w:gridCol w:w="1127"/>
            </w:tblGrid>
            <w:tr w14:paraId="4B77E9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077" w:type="dxa"/>
                  <w:noWrap w:val="0"/>
                  <w:vAlign w:val="center"/>
                </w:tcPr>
                <w:p w14:paraId="285AF0F9">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snapToGrid w:val="0"/>
                      <w:color w:val="auto"/>
                      <w:kern w:val="0"/>
                      <w:sz w:val="21"/>
                      <w:szCs w:val="21"/>
                    </w:rPr>
                  </w:pPr>
                  <w:r>
                    <w:rPr>
                      <w:rFonts w:hint="default" w:ascii="Times New Roman" w:hAnsi="Times New Roman" w:eastAsia="宋体" w:cs="Times New Roman"/>
                      <w:b/>
                      <w:snapToGrid w:val="0"/>
                      <w:color w:val="auto"/>
                      <w:kern w:val="0"/>
                      <w:sz w:val="21"/>
                      <w:szCs w:val="21"/>
                    </w:rPr>
                    <w:t>工程类别</w:t>
                  </w:r>
                </w:p>
              </w:tc>
              <w:tc>
                <w:tcPr>
                  <w:tcW w:w="1207" w:type="dxa"/>
                  <w:noWrap w:val="0"/>
                  <w:vAlign w:val="center"/>
                </w:tcPr>
                <w:p w14:paraId="5FC1A1A1">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snapToGrid w:val="0"/>
                      <w:color w:val="auto"/>
                      <w:kern w:val="0"/>
                      <w:sz w:val="21"/>
                      <w:szCs w:val="21"/>
                    </w:rPr>
                  </w:pPr>
                  <w:r>
                    <w:rPr>
                      <w:rFonts w:hint="default" w:ascii="Times New Roman" w:hAnsi="Times New Roman" w:eastAsia="宋体" w:cs="Times New Roman"/>
                      <w:b/>
                      <w:snapToGrid w:val="0"/>
                      <w:color w:val="auto"/>
                      <w:kern w:val="0"/>
                      <w:sz w:val="21"/>
                      <w:szCs w:val="21"/>
                    </w:rPr>
                    <w:t>项目内容</w:t>
                  </w:r>
                </w:p>
              </w:tc>
              <w:tc>
                <w:tcPr>
                  <w:tcW w:w="5107" w:type="dxa"/>
                  <w:noWrap w:val="0"/>
                  <w:vAlign w:val="center"/>
                </w:tcPr>
                <w:p w14:paraId="6BB8D480">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snapToGrid w:val="0"/>
                      <w:color w:val="auto"/>
                      <w:kern w:val="0"/>
                      <w:sz w:val="21"/>
                      <w:szCs w:val="21"/>
                    </w:rPr>
                  </w:pPr>
                  <w:r>
                    <w:rPr>
                      <w:rFonts w:hint="default" w:ascii="Times New Roman" w:hAnsi="Times New Roman" w:eastAsia="宋体" w:cs="Times New Roman"/>
                      <w:b/>
                      <w:snapToGrid w:val="0"/>
                      <w:color w:val="auto"/>
                      <w:kern w:val="0"/>
                      <w:sz w:val="21"/>
                      <w:szCs w:val="21"/>
                    </w:rPr>
                    <w:t>建设内容及规模</w:t>
                  </w:r>
                </w:p>
              </w:tc>
              <w:tc>
                <w:tcPr>
                  <w:tcW w:w="1127" w:type="dxa"/>
                  <w:noWrap w:val="0"/>
                  <w:vAlign w:val="center"/>
                </w:tcPr>
                <w:p w14:paraId="461AD9F7">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
                      <w:snapToGrid w:val="0"/>
                      <w:color w:val="auto"/>
                      <w:kern w:val="0"/>
                      <w:sz w:val="21"/>
                      <w:szCs w:val="21"/>
                    </w:rPr>
                  </w:pPr>
                  <w:r>
                    <w:rPr>
                      <w:rFonts w:hint="default" w:ascii="Times New Roman" w:hAnsi="Times New Roman" w:eastAsia="宋体" w:cs="Times New Roman"/>
                      <w:b/>
                      <w:snapToGrid w:val="0"/>
                      <w:color w:val="auto"/>
                      <w:kern w:val="0"/>
                      <w:sz w:val="21"/>
                      <w:szCs w:val="21"/>
                    </w:rPr>
                    <w:t>备注</w:t>
                  </w:r>
                </w:p>
              </w:tc>
            </w:tr>
            <w:tr w14:paraId="5BBBAC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077" w:type="dxa"/>
                  <w:vMerge w:val="restart"/>
                  <w:noWrap w:val="0"/>
                  <w:vAlign w:val="center"/>
                </w:tcPr>
                <w:p w14:paraId="24DC877F">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r>
                    <w:rPr>
                      <w:rFonts w:hint="default" w:ascii="Times New Roman" w:hAnsi="Times New Roman" w:eastAsia="宋体" w:cs="Times New Roman"/>
                      <w:bCs/>
                      <w:snapToGrid w:val="0"/>
                      <w:color w:val="auto"/>
                      <w:kern w:val="0"/>
                      <w:sz w:val="21"/>
                      <w:szCs w:val="21"/>
                    </w:rPr>
                    <w:t>主体工程</w:t>
                  </w:r>
                </w:p>
              </w:tc>
              <w:tc>
                <w:tcPr>
                  <w:tcW w:w="1207" w:type="dxa"/>
                  <w:noWrap w:val="0"/>
                  <w:vAlign w:val="center"/>
                </w:tcPr>
                <w:p w14:paraId="0919D881">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r>
                    <w:rPr>
                      <w:rFonts w:hint="default" w:ascii="Times New Roman" w:hAnsi="Times New Roman" w:eastAsia="宋体" w:cs="Times New Roman"/>
                      <w:color w:val="auto"/>
                      <w:kern w:val="0"/>
                      <w:sz w:val="21"/>
                      <w:szCs w:val="21"/>
                      <w:lang w:val="en-US" w:eastAsia="zh-CN"/>
                    </w:rPr>
                    <w:t>生产</w:t>
                  </w:r>
                  <w:r>
                    <w:rPr>
                      <w:rFonts w:hint="default" w:ascii="Times New Roman" w:hAnsi="Times New Roman" w:eastAsia="宋体" w:cs="Times New Roman"/>
                      <w:color w:val="auto"/>
                      <w:kern w:val="0"/>
                      <w:sz w:val="21"/>
                      <w:szCs w:val="21"/>
                    </w:rPr>
                    <w:t>车间</w:t>
                  </w:r>
                </w:p>
              </w:tc>
              <w:tc>
                <w:tcPr>
                  <w:tcW w:w="5107" w:type="dxa"/>
                  <w:noWrap w:val="0"/>
                  <w:vAlign w:val="center"/>
                </w:tcPr>
                <w:p w14:paraId="7841C20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color w:val="auto"/>
                      <w:sz w:val="21"/>
                      <w:szCs w:val="21"/>
                    </w:rPr>
                    <w:t>1座1层，建筑面积</w:t>
                  </w:r>
                  <w:r>
                    <w:rPr>
                      <w:rFonts w:hint="default" w:ascii="Times New Roman" w:hAnsi="Times New Roman" w:eastAsia="宋体" w:cs="Times New Roman"/>
                      <w:color w:val="auto"/>
                      <w:kern w:val="0"/>
                      <w:sz w:val="21"/>
                      <w:szCs w:val="21"/>
                      <w:lang w:val="en-US" w:eastAsia="zh-CN"/>
                    </w:rPr>
                    <w:t>2800</w:t>
                  </w:r>
                  <w:r>
                    <w:rPr>
                      <w:rFonts w:hint="default" w:ascii="Times New Roman" w:hAnsi="Times New Roman" w:eastAsia="宋体" w:cs="Times New Roman"/>
                      <w:color w:val="auto"/>
                      <w:kern w:val="0"/>
                      <w:sz w:val="21"/>
                      <w:szCs w:val="21"/>
                    </w:rPr>
                    <w:t>m</w:t>
                  </w:r>
                  <w:r>
                    <w:rPr>
                      <w:rFonts w:hint="default" w:ascii="Times New Roman" w:hAnsi="Times New Roman" w:eastAsia="宋体" w:cs="Times New Roman"/>
                      <w:color w:val="auto"/>
                      <w:kern w:val="0"/>
                      <w:sz w:val="21"/>
                      <w:szCs w:val="21"/>
                      <w:vertAlign w:val="superscript"/>
                    </w:rPr>
                    <w:t>2</w:t>
                  </w:r>
                  <w:r>
                    <w:rPr>
                      <w:rFonts w:hint="default" w:ascii="Times New Roman" w:hAnsi="Times New Roman" w:eastAsia="宋体" w:cs="Times New Roman"/>
                      <w:color w:val="auto"/>
                      <w:kern w:val="0"/>
                      <w:sz w:val="21"/>
                      <w:szCs w:val="21"/>
                    </w:rPr>
                    <w:t>，钢结构，其中包括</w:t>
                  </w:r>
                  <w:r>
                    <w:rPr>
                      <w:rFonts w:hint="default" w:ascii="Times New Roman" w:hAnsi="Times New Roman" w:eastAsia="宋体" w:cs="Times New Roman"/>
                      <w:color w:val="auto"/>
                      <w:sz w:val="21"/>
                      <w:szCs w:val="21"/>
                      <w:lang w:eastAsia="zh-CN"/>
                    </w:rPr>
                    <w:t>翻抛车间</w:t>
                  </w:r>
                  <w:r>
                    <w:rPr>
                      <w:rFonts w:hint="default" w:ascii="Times New Roman" w:hAnsi="Times New Roman" w:eastAsia="宋体" w:cs="Times New Roman"/>
                      <w:bCs/>
                      <w:color w:val="auto"/>
                      <w:sz w:val="21"/>
                      <w:szCs w:val="21"/>
                      <w:lang w:val="en-US" w:eastAsia="zh-CN"/>
                    </w:rPr>
                    <w:t>1400</w:t>
                  </w:r>
                  <w:r>
                    <w:rPr>
                      <w:rFonts w:hint="default" w:ascii="Times New Roman" w:hAnsi="Times New Roman" w:eastAsia="宋体" w:cs="Times New Roman"/>
                      <w:color w:val="auto"/>
                      <w:kern w:val="0"/>
                      <w:sz w:val="21"/>
                      <w:szCs w:val="21"/>
                    </w:rPr>
                    <w:t>m</w:t>
                  </w:r>
                  <w:r>
                    <w:rPr>
                      <w:rFonts w:hint="default" w:ascii="Times New Roman" w:hAnsi="Times New Roman" w:eastAsia="宋体" w:cs="Times New Roman"/>
                      <w:color w:val="auto"/>
                      <w:kern w:val="0"/>
                      <w:sz w:val="21"/>
                      <w:szCs w:val="21"/>
                      <w:vertAlign w:val="superscript"/>
                    </w:rPr>
                    <w:t>2</w:t>
                  </w:r>
                  <w:r>
                    <w:rPr>
                      <w:rFonts w:hint="default" w:ascii="Times New Roman" w:hAnsi="Times New Roman" w:eastAsia="宋体" w:cs="Times New Roman"/>
                      <w:bCs/>
                      <w:color w:val="auto"/>
                      <w:sz w:val="21"/>
                      <w:szCs w:val="21"/>
                      <w:lang w:val="en-US" w:eastAsia="zh-CN"/>
                    </w:rPr>
                    <w:t>、烘干车间</w:t>
                  </w:r>
                  <w:r>
                    <w:rPr>
                      <w:rFonts w:hint="default" w:ascii="Times New Roman" w:hAnsi="Times New Roman" w:eastAsia="宋体" w:cs="Times New Roman"/>
                      <w:color w:val="auto"/>
                      <w:kern w:val="0"/>
                      <w:sz w:val="21"/>
                      <w:szCs w:val="21"/>
                      <w:lang w:val="en-US" w:eastAsia="zh-CN" w:bidi="ar"/>
                    </w:rPr>
                    <w:t>1200</w:t>
                  </w:r>
                  <w:r>
                    <w:rPr>
                      <w:rFonts w:hint="default" w:ascii="Times New Roman" w:hAnsi="Times New Roman" w:eastAsia="宋体" w:cs="Times New Roman"/>
                      <w:color w:val="auto"/>
                      <w:kern w:val="0"/>
                      <w:sz w:val="21"/>
                      <w:szCs w:val="21"/>
                    </w:rPr>
                    <w:t>m</w:t>
                  </w:r>
                  <w:r>
                    <w:rPr>
                      <w:rFonts w:hint="default" w:ascii="Times New Roman" w:hAnsi="Times New Roman" w:eastAsia="宋体" w:cs="Times New Roman"/>
                      <w:color w:val="auto"/>
                      <w:kern w:val="0"/>
                      <w:sz w:val="21"/>
                      <w:szCs w:val="21"/>
                      <w:vertAlign w:val="superscript"/>
                    </w:rPr>
                    <w:t>2</w:t>
                  </w:r>
                  <w:r>
                    <w:rPr>
                      <w:rFonts w:hint="default" w:ascii="Times New Roman" w:hAnsi="Times New Roman" w:eastAsia="宋体" w:cs="Times New Roman"/>
                      <w:color w:val="auto"/>
                      <w:kern w:val="0"/>
                      <w:sz w:val="21"/>
                      <w:szCs w:val="21"/>
                      <w:lang w:val="en-US" w:eastAsia="zh-CN" w:bidi="ar"/>
                    </w:rPr>
                    <w:t>、</w:t>
                  </w:r>
                  <w:r>
                    <w:rPr>
                      <w:rFonts w:hint="default" w:ascii="Times New Roman" w:hAnsi="Times New Roman" w:eastAsia="宋体" w:cs="Times New Roman"/>
                      <w:bCs/>
                      <w:color w:val="auto"/>
                      <w:sz w:val="21"/>
                      <w:szCs w:val="21"/>
                      <w:lang w:val="en-US" w:eastAsia="zh-CN"/>
                    </w:rPr>
                    <w:t>筛分生产区200</w:t>
                  </w:r>
                  <w:r>
                    <w:rPr>
                      <w:rFonts w:hint="default" w:ascii="Times New Roman" w:hAnsi="Times New Roman" w:eastAsia="宋体" w:cs="Times New Roman"/>
                      <w:color w:val="auto"/>
                      <w:kern w:val="0"/>
                      <w:sz w:val="21"/>
                      <w:szCs w:val="21"/>
                    </w:rPr>
                    <w:t>m</w:t>
                  </w:r>
                  <w:r>
                    <w:rPr>
                      <w:rFonts w:hint="default" w:ascii="Times New Roman" w:hAnsi="Times New Roman" w:eastAsia="宋体" w:cs="Times New Roman"/>
                      <w:color w:val="auto"/>
                      <w:kern w:val="0"/>
                      <w:sz w:val="21"/>
                      <w:szCs w:val="21"/>
                      <w:vertAlign w:val="superscript"/>
                    </w:rPr>
                    <w:t>2</w:t>
                  </w:r>
                </w:p>
              </w:tc>
              <w:tc>
                <w:tcPr>
                  <w:tcW w:w="1127" w:type="dxa"/>
                  <w:noWrap w:val="0"/>
                  <w:vAlign w:val="center"/>
                </w:tcPr>
                <w:p w14:paraId="122A50F1">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新建</w:t>
                  </w:r>
                </w:p>
              </w:tc>
            </w:tr>
            <w:tr w14:paraId="3BC9D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077" w:type="dxa"/>
                  <w:vMerge w:val="continue"/>
                  <w:noWrap w:val="0"/>
                  <w:vAlign w:val="center"/>
                </w:tcPr>
                <w:p w14:paraId="5FFBBF97">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p>
              </w:tc>
              <w:tc>
                <w:tcPr>
                  <w:tcW w:w="1207" w:type="dxa"/>
                  <w:noWrap w:val="0"/>
                  <w:vAlign w:val="center"/>
                </w:tcPr>
                <w:p w14:paraId="52EF9DAA">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bidi="ar"/>
                    </w:rPr>
                    <w:t>厌氧反应池</w:t>
                  </w:r>
                </w:p>
              </w:tc>
              <w:tc>
                <w:tcPr>
                  <w:tcW w:w="5107" w:type="dxa"/>
                  <w:noWrap w:val="0"/>
                  <w:vAlign w:val="center"/>
                </w:tcPr>
                <w:p w14:paraId="0F59D2D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2座，容积1200m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vertAlign w:val="baseline"/>
                      <w:lang w:val="en-US" w:eastAsia="zh-CN"/>
                    </w:rPr>
                    <w:t>（60m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vertAlign w:val="baseline"/>
                      <w:lang w:val="en-US" w:eastAsia="zh-CN"/>
                    </w:rPr>
                    <w:t>×10m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vertAlign w:val="baseline"/>
                      <w:lang w:val="en-US" w:eastAsia="zh-CN"/>
                    </w:rPr>
                    <w:t>×2m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vertAlign w:val="baseline"/>
                      <w:lang w:val="en-US" w:eastAsia="zh-CN"/>
                    </w:rPr>
                    <w:t>）</w:t>
                  </w:r>
                </w:p>
              </w:tc>
              <w:tc>
                <w:tcPr>
                  <w:tcW w:w="1127" w:type="dxa"/>
                  <w:noWrap w:val="0"/>
                  <w:vAlign w:val="center"/>
                </w:tcPr>
                <w:p w14:paraId="3DB66410">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新建</w:t>
                  </w:r>
                </w:p>
              </w:tc>
            </w:tr>
            <w:tr w14:paraId="53D294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077" w:type="dxa"/>
                  <w:noWrap w:val="0"/>
                  <w:vAlign w:val="center"/>
                </w:tcPr>
                <w:p w14:paraId="2AE5BD96">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r>
                    <w:rPr>
                      <w:rFonts w:hint="default" w:ascii="Times New Roman" w:hAnsi="Times New Roman" w:eastAsia="宋体" w:cs="Times New Roman"/>
                      <w:bCs/>
                      <w:snapToGrid w:val="0"/>
                      <w:color w:val="auto"/>
                      <w:kern w:val="0"/>
                      <w:sz w:val="21"/>
                      <w:szCs w:val="21"/>
                    </w:rPr>
                    <w:t>辅助工程</w:t>
                  </w:r>
                </w:p>
              </w:tc>
              <w:tc>
                <w:tcPr>
                  <w:tcW w:w="1207" w:type="dxa"/>
                  <w:noWrap w:val="0"/>
                  <w:vAlign w:val="center"/>
                </w:tcPr>
                <w:p w14:paraId="30512653">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r>
                    <w:rPr>
                      <w:rFonts w:hint="default" w:ascii="Times New Roman" w:hAnsi="Times New Roman" w:eastAsia="宋体" w:cs="Times New Roman"/>
                      <w:bCs/>
                      <w:snapToGrid w:val="0"/>
                      <w:color w:val="auto"/>
                      <w:kern w:val="0"/>
                      <w:sz w:val="21"/>
                      <w:szCs w:val="21"/>
                    </w:rPr>
                    <w:t>办公、生活区</w:t>
                  </w:r>
                </w:p>
              </w:tc>
              <w:tc>
                <w:tcPr>
                  <w:tcW w:w="5107" w:type="dxa"/>
                  <w:noWrap w:val="0"/>
                  <w:vAlign w:val="center"/>
                </w:tcPr>
                <w:p w14:paraId="3E142138">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sz w:val="21"/>
                      <w:szCs w:val="21"/>
                      <w:lang w:val="en-US" w:eastAsia="zh-CN"/>
                    </w:rPr>
                    <w:t>项目厂区内不建设</w:t>
                  </w:r>
                  <w:r>
                    <w:rPr>
                      <w:rFonts w:hint="default" w:ascii="Times New Roman" w:hAnsi="Times New Roman" w:eastAsia="宋体" w:cs="Times New Roman"/>
                      <w:bCs/>
                      <w:snapToGrid w:val="0"/>
                      <w:color w:val="auto"/>
                      <w:kern w:val="0"/>
                      <w:sz w:val="21"/>
                      <w:szCs w:val="21"/>
                    </w:rPr>
                    <w:t>办公、生活区</w:t>
                  </w:r>
                  <w:r>
                    <w:rPr>
                      <w:rFonts w:hint="default" w:ascii="Times New Roman" w:hAnsi="Times New Roman" w:eastAsia="宋体" w:cs="Times New Roman"/>
                      <w:bCs/>
                      <w:snapToGrid w:val="0"/>
                      <w:color w:val="auto"/>
                      <w:kern w:val="0"/>
                      <w:sz w:val="21"/>
                      <w:szCs w:val="21"/>
                      <w:lang w:eastAsia="zh-CN"/>
                    </w:rPr>
                    <w:t>，</w:t>
                  </w:r>
                  <w:r>
                    <w:rPr>
                      <w:rFonts w:hint="default" w:ascii="Times New Roman" w:hAnsi="Times New Roman" w:eastAsia="宋体" w:cs="Times New Roman"/>
                      <w:bCs/>
                      <w:snapToGrid w:val="0"/>
                      <w:color w:val="auto"/>
                      <w:kern w:val="0"/>
                      <w:sz w:val="21"/>
                      <w:szCs w:val="21"/>
                    </w:rPr>
                    <w:t>办公、生活区</w:t>
                  </w:r>
                  <w:r>
                    <w:rPr>
                      <w:rFonts w:hint="default" w:ascii="Times New Roman" w:hAnsi="Times New Roman" w:eastAsia="宋体" w:cs="Times New Roman"/>
                      <w:bCs/>
                      <w:snapToGrid w:val="0"/>
                      <w:color w:val="auto"/>
                      <w:kern w:val="0"/>
                      <w:sz w:val="21"/>
                      <w:szCs w:val="21"/>
                      <w:lang w:val="en-US" w:eastAsia="zh-CN"/>
                    </w:rPr>
                    <w:t>租用腰庄村民房</w:t>
                  </w:r>
                </w:p>
              </w:tc>
              <w:tc>
                <w:tcPr>
                  <w:tcW w:w="1127" w:type="dxa"/>
                  <w:noWrap w:val="0"/>
                  <w:vAlign w:val="center"/>
                </w:tcPr>
                <w:p w14:paraId="715A8417">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依托</w:t>
                  </w:r>
                </w:p>
              </w:tc>
            </w:tr>
            <w:tr w14:paraId="72B32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077" w:type="dxa"/>
                  <w:vMerge w:val="restart"/>
                  <w:noWrap w:val="0"/>
                  <w:vAlign w:val="center"/>
                </w:tcPr>
                <w:p w14:paraId="4F9F4F90">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r>
                    <w:rPr>
                      <w:rFonts w:hint="default" w:ascii="Times New Roman" w:hAnsi="Times New Roman" w:eastAsia="宋体" w:cs="Times New Roman"/>
                      <w:bCs/>
                      <w:snapToGrid w:val="0"/>
                      <w:color w:val="auto"/>
                      <w:kern w:val="0"/>
                      <w:sz w:val="21"/>
                      <w:szCs w:val="21"/>
                    </w:rPr>
                    <w:t>公用工程</w:t>
                  </w:r>
                </w:p>
              </w:tc>
              <w:tc>
                <w:tcPr>
                  <w:tcW w:w="1207" w:type="dxa"/>
                  <w:noWrap w:val="0"/>
                  <w:vAlign w:val="center"/>
                </w:tcPr>
                <w:p w14:paraId="3CA73058">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r>
                    <w:rPr>
                      <w:rFonts w:hint="default" w:ascii="Times New Roman" w:hAnsi="Times New Roman" w:eastAsia="宋体" w:cs="Times New Roman"/>
                      <w:bCs/>
                      <w:snapToGrid w:val="0"/>
                      <w:color w:val="auto"/>
                      <w:kern w:val="0"/>
                      <w:sz w:val="21"/>
                      <w:szCs w:val="21"/>
                    </w:rPr>
                    <w:t>供水</w:t>
                  </w:r>
                </w:p>
              </w:tc>
              <w:tc>
                <w:tcPr>
                  <w:tcW w:w="5107" w:type="dxa"/>
                  <w:noWrap w:val="0"/>
                  <w:vAlign w:val="center"/>
                </w:tcPr>
                <w:p w14:paraId="42E258F2">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color w:val="auto"/>
                      <w:sz w:val="21"/>
                      <w:szCs w:val="21"/>
                    </w:rPr>
                    <w:t>由建设单位提供资料本项目生产</w:t>
                  </w:r>
                  <w:r>
                    <w:rPr>
                      <w:rFonts w:hint="default" w:ascii="Times New Roman" w:hAnsi="Times New Roman" w:eastAsia="宋体" w:cs="Times New Roman"/>
                      <w:color w:val="auto"/>
                      <w:sz w:val="21"/>
                      <w:szCs w:val="21"/>
                      <w:lang w:val="en-US" w:eastAsia="zh-CN"/>
                    </w:rPr>
                    <w:t>工序</w:t>
                  </w:r>
                  <w:r>
                    <w:rPr>
                      <w:rFonts w:hint="default" w:ascii="Times New Roman" w:hAnsi="Times New Roman" w:eastAsia="宋体" w:cs="Times New Roman"/>
                      <w:color w:val="auto"/>
                      <w:sz w:val="21"/>
                      <w:szCs w:val="21"/>
                    </w:rPr>
                    <w:t>不需要用水</w:t>
                  </w:r>
                </w:p>
              </w:tc>
              <w:tc>
                <w:tcPr>
                  <w:tcW w:w="1127" w:type="dxa"/>
                  <w:noWrap w:val="0"/>
                  <w:vAlign w:val="center"/>
                </w:tcPr>
                <w:p w14:paraId="1EEE33BA">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w:t>
                  </w:r>
                </w:p>
              </w:tc>
            </w:tr>
            <w:tr w14:paraId="0ADDE9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077" w:type="dxa"/>
                  <w:vMerge w:val="continue"/>
                  <w:noWrap w:val="0"/>
                  <w:vAlign w:val="center"/>
                </w:tcPr>
                <w:p w14:paraId="1E044CEE">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p>
              </w:tc>
              <w:tc>
                <w:tcPr>
                  <w:tcW w:w="1207" w:type="dxa"/>
                  <w:noWrap w:val="0"/>
                  <w:vAlign w:val="center"/>
                </w:tcPr>
                <w:p w14:paraId="78A1131C">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r>
                    <w:rPr>
                      <w:rFonts w:hint="default" w:ascii="Times New Roman" w:hAnsi="Times New Roman" w:eastAsia="宋体" w:cs="Times New Roman"/>
                      <w:bCs/>
                      <w:snapToGrid w:val="0"/>
                      <w:color w:val="auto"/>
                      <w:kern w:val="0"/>
                      <w:sz w:val="21"/>
                      <w:szCs w:val="21"/>
                    </w:rPr>
                    <w:t>排水</w:t>
                  </w:r>
                </w:p>
              </w:tc>
              <w:tc>
                <w:tcPr>
                  <w:tcW w:w="5107" w:type="dxa"/>
                  <w:noWrap w:val="0"/>
                  <w:vAlign w:val="center"/>
                </w:tcPr>
                <w:p w14:paraId="38AC58E8">
                  <w:pPr>
                    <w:keepNext w:val="0"/>
                    <w:keepLines w:val="0"/>
                    <w:pageBreakBefore w:val="0"/>
                    <w:widowControl w:val="0"/>
                    <w:kinsoku/>
                    <w:wordWrap/>
                    <w:overflowPunct/>
                    <w:topLinePunct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项目厂区内不建设</w:t>
                  </w:r>
                  <w:r>
                    <w:rPr>
                      <w:rFonts w:hint="default" w:ascii="Times New Roman" w:hAnsi="Times New Roman" w:eastAsia="宋体" w:cs="Times New Roman"/>
                      <w:bCs/>
                      <w:snapToGrid w:val="0"/>
                      <w:color w:val="auto"/>
                      <w:kern w:val="0"/>
                      <w:sz w:val="21"/>
                      <w:szCs w:val="21"/>
                    </w:rPr>
                    <w:t>办公、生活区</w:t>
                  </w:r>
                  <w:r>
                    <w:rPr>
                      <w:rFonts w:hint="default" w:ascii="Times New Roman" w:hAnsi="Times New Roman" w:eastAsia="宋体" w:cs="Times New Roman"/>
                      <w:bCs/>
                      <w:snapToGrid w:val="0"/>
                      <w:color w:val="auto"/>
                      <w:kern w:val="0"/>
                      <w:sz w:val="21"/>
                      <w:szCs w:val="21"/>
                      <w:lang w:eastAsia="zh-CN"/>
                    </w:rPr>
                    <w:t>，</w:t>
                  </w:r>
                  <w:r>
                    <w:rPr>
                      <w:rFonts w:hint="default" w:ascii="Times New Roman" w:hAnsi="Times New Roman" w:eastAsia="宋体" w:cs="Times New Roman"/>
                      <w:bCs/>
                      <w:snapToGrid w:val="0"/>
                      <w:color w:val="auto"/>
                      <w:kern w:val="0"/>
                      <w:sz w:val="21"/>
                      <w:szCs w:val="21"/>
                      <w:lang w:val="en-US" w:eastAsia="zh-CN"/>
                    </w:rPr>
                    <w:t>无废水排放</w:t>
                  </w:r>
                </w:p>
              </w:tc>
              <w:tc>
                <w:tcPr>
                  <w:tcW w:w="1127" w:type="dxa"/>
                  <w:noWrap w:val="0"/>
                  <w:vAlign w:val="center"/>
                </w:tcPr>
                <w:p w14:paraId="211CAB16">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lang w:val="en-US" w:eastAsia="zh-CN"/>
                    </w:rPr>
                  </w:pPr>
                  <w:r>
                    <w:rPr>
                      <w:rFonts w:hint="default" w:ascii="Times New Roman" w:hAnsi="Times New Roman" w:eastAsia="宋体" w:cs="Times New Roman"/>
                      <w:bCs/>
                      <w:snapToGrid w:val="0"/>
                      <w:color w:val="auto"/>
                      <w:kern w:val="0"/>
                      <w:sz w:val="21"/>
                      <w:szCs w:val="21"/>
                      <w:lang w:val="en-US" w:eastAsia="zh-CN"/>
                    </w:rPr>
                    <w:t>/</w:t>
                  </w:r>
                </w:p>
              </w:tc>
            </w:tr>
            <w:tr w14:paraId="109EAC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077" w:type="dxa"/>
                  <w:vMerge w:val="continue"/>
                  <w:noWrap w:val="0"/>
                  <w:vAlign w:val="center"/>
                </w:tcPr>
                <w:p w14:paraId="2E7569CD">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p>
              </w:tc>
              <w:tc>
                <w:tcPr>
                  <w:tcW w:w="1207" w:type="dxa"/>
                  <w:noWrap w:val="0"/>
                  <w:vAlign w:val="center"/>
                </w:tcPr>
                <w:p w14:paraId="02DAD343">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r>
                    <w:rPr>
                      <w:rFonts w:hint="default" w:ascii="Times New Roman" w:hAnsi="Times New Roman" w:eastAsia="宋体" w:cs="Times New Roman"/>
                      <w:bCs/>
                      <w:snapToGrid w:val="0"/>
                      <w:color w:val="auto"/>
                      <w:kern w:val="0"/>
                      <w:sz w:val="21"/>
                      <w:szCs w:val="21"/>
                    </w:rPr>
                    <w:t>供电</w:t>
                  </w:r>
                </w:p>
              </w:tc>
              <w:tc>
                <w:tcPr>
                  <w:tcW w:w="5107" w:type="dxa"/>
                  <w:noWrap w:val="0"/>
                  <w:vAlign w:val="center"/>
                </w:tcPr>
                <w:p w14:paraId="423D826C">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r>
                    <w:rPr>
                      <w:rFonts w:hint="default" w:ascii="Times New Roman" w:hAnsi="Times New Roman" w:eastAsia="宋体" w:cs="Times New Roman"/>
                      <w:color w:val="auto"/>
                      <w:kern w:val="0"/>
                      <w:sz w:val="21"/>
                      <w:szCs w:val="21"/>
                    </w:rPr>
                    <w:t>由</w:t>
                  </w:r>
                  <w:r>
                    <w:rPr>
                      <w:rFonts w:hint="default" w:ascii="Times New Roman" w:hAnsi="Times New Roman" w:eastAsia="宋体" w:cs="Times New Roman"/>
                      <w:color w:val="auto"/>
                      <w:kern w:val="0"/>
                      <w:sz w:val="21"/>
                      <w:szCs w:val="21"/>
                      <w:lang w:val="en-US" w:eastAsia="zh-CN"/>
                    </w:rPr>
                    <w:t>玛纳斯县腰庄村</w:t>
                  </w:r>
                  <w:r>
                    <w:rPr>
                      <w:rFonts w:hint="default" w:ascii="Times New Roman" w:hAnsi="Times New Roman" w:eastAsia="宋体" w:cs="Times New Roman"/>
                      <w:color w:val="auto"/>
                      <w:kern w:val="0"/>
                      <w:sz w:val="21"/>
                      <w:szCs w:val="21"/>
                    </w:rPr>
                    <w:t>市政电力管网供给</w:t>
                  </w:r>
                </w:p>
              </w:tc>
              <w:tc>
                <w:tcPr>
                  <w:tcW w:w="1127" w:type="dxa"/>
                  <w:noWrap w:val="0"/>
                  <w:vAlign w:val="center"/>
                </w:tcPr>
                <w:p w14:paraId="4A18141D">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r>
                    <w:rPr>
                      <w:rFonts w:hint="default" w:ascii="Times New Roman" w:hAnsi="Times New Roman" w:eastAsia="宋体" w:cs="Times New Roman"/>
                      <w:bCs/>
                      <w:snapToGrid w:val="0"/>
                      <w:color w:val="auto"/>
                      <w:kern w:val="0"/>
                      <w:sz w:val="21"/>
                      <w:szCs w:val="21"/>
                      <w:lang w:val="en-US" w:eastAsia="zh-CN"/>
                    </w:rPr>
                    <w:t>依托</w:t>
                  </w:r>
                </w:p>
              </w:tc>
            </w:tr>
            <w:tr w14:paraId="760DB6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077" w:type="dxa"/>
                  <w:vMerge w:val="continue"/>
                  <w:noWrap w:val="0"/>
                  <w:vAlign w:val="center"/>
                </w:tcPr>
                <w:p w14:paraId="330571C9">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p>
              </w:tc>
              <w:tc>
                <w:tcPr>
                  <w:tcW w:w="1207" w:type="dxa"/>
                  <w:noWrap w:val="0"/>
                  <w:vAlign w:val="center"/>
                </w:tcPr>
                <w:p w14:paraId="592691D7">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r>
                    <w:rPr>
                      <w:rFonts w:hint="default" w:ascii="Times New Roman" w:hAnsi="Times New Roman" w:eastAsia="宋体" w:cs="Times New Roman"/>
                      <w:bCs/>
                      <w:snapToGrid w:val="0"/>
                      <w:color w:val="auto"/>
                      <w:kern w:val="0"/>
                      <w:sz w:val="21"/>
                      <w:szCs w:val="21"/>
                    </w:rPr>
                    <w:t>采暖</w:t>
                  </w:r>
                </w:p>
              </w:tc>
              <w:tc>
                <w:tcPr>
                  <w:tcW w:w="5107" w:type="dxa"/>
                  <w:noWrap w:val="0"/>
                  <w:vAlign w:val="center"/>
                </w:tcPr>
                <w:p w14:paraId="4B579AF3">
                  <w:pPr>
                    <w:keepNext w:val="0"/>
                    <w:keepLines w:val="0"/>
                    <w:pageBreakBefore w:val="0"/>
                    <w:widowControl w:val="0"/>
                    <w:tabs>
                      <w:tab w:val="left" w:pos="6026"/>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r>
                    <w:rPr>
                      <w:rFonts w:hint="default" w:ascii="Times New Roman" w:hAnsi="Times New Roman" w:eastAsia="宋体" w:cs="Times New Roman"/>
                      <w:color w:val="auto"/>
                      <w:sz w:val="21"/>
                      <w:szCs w:val="21"/>
                    </w:rPr>
                    <w:t>本项目冬季采暖</w:t>
                  </w:r>
                  <w:r>
                    <w:rPr>
                      <w:rFonts w:hint="default" w:ascii="Times New Roman" w:hAnsi="Times New Roman" w:eastAsia="宋体" w:cs="Times New Roman"/>
                      <w:color w:val="auto"/>
                      <w:sz w:val="21"/>
                      <w:szCs w:val="21"/>
                      <w:lang w:val="en-US" w:eastAsia="zh-CN"/>
                    </w:rPr>
                    <w:t>使用电采暖设备</w:t>
                  </w:r>
                  <w:r>
                    <w:rPr>
                      <w:rFonts w:hint="default" w:ascii="Times New Roman" w:hAnsi="Times New Roman" w:eastAsia="宋体" w:cs="Times New Roman"/>
                      <w:color w:val="auto"/>
                      <w:sz w:val="21"/>
                      <w:szCs w:val="21"/>
                    </w:rPr>
                    <w:t>，生产过程使用电</w:t>
                  </w:r>
                  <w:r>
                    <w:rPr>
                      <w:rFonts w:hint="default" w:ascii="Times New Roman" w:hAnsi="Times New Roman" w:eastAsia="宋体" w:cs="Times New Roman"/>
                      <w:color w:val="auto"/>
                      <w:sz w:val="21"/>
                      <w:szCs w:val="21"/>
                      <w:lang w:val="en-US" w:eastAsia="zh-CN"/>
                    </w:rPr>
                    <w:t>烘干</w:t>
                  </w:r>
                  <w:r>
                    <w:rPr>
                      <w:rFonts w:hint="default" w:ascii="Times New Roman" w:hAnsi="Times New Roman" w:eastAsia="宋体" w:cs="Times New Roman"/>
                      <w:color w:val="auto"/>
                      <w:sz w:val="21"/>
                      <w:szCs w:val="21"/>
                    </w:rPr>
                    <w:t>设备</w:t>
                  </w:r>
                </w:p>
              </w:tc>
              <w:tc>
                <w:tcPr>
                  <w:tcW w:w="1127" w:type="dxa"/>
                  <w:noWrap w:val="0"/>
                  <w:vAlign w:val="center"/>
                </w:tcPr>
                <w:p w14:paraId="0799EE37">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r>
                    <w:rPr>
                      <w:rFonts w:hint="default" w:ascii="Times New Roman" w:hAnsi="Times New Roman" w:eastAsia="宋体" w:cs="Times New Roman"/>
                      <w:bCs/>
                      <w:snapToGrid w:val="0"/>
                      <w:color w:val="auto"/>
                      <w:kern w:val="0"/>
                      <w:sz w:val="21"/>
                      <w:szCs w:val="21"/>
                    </w:rPr>
                    <w:t>新建</w:t>
                  </w:r>
                </w:p>
              </w:tc>
            </w:tr>
            <w:tr w14:paraId="04A715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077" w:type="dxa"/>
                  <w:vMerge w:val="restart"/>
                  <w:noWrap w:val="0"/>
                  <w:vAlign w:val="center"/>
                </w:tcPr>
                <w:p w14:paraId="14B85BA0">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r>
                    <w:rPr>
                      <w:rFonts w:hint="default" w:ascii="Times New Roman" w:hAnsi="Times New Roman" w:eastAsia="宋体" w:cs="Times New Roman"/>
                      <w:bCs/>
                      <w:snapToGrid w:val="0"/>
                      <w:color w:val="auto"/>
                      <w:kern w:val="0"/>
                      <w:sz w:val="21"/>
                      <w:szCs w:val="21"/>
                    </w:rPr>
                    <w:t>环保工程</w:t>
                  </w:r>
                </w:p>
              </w:tc>
              <w:tc>
                <w:tcPr>
                  <w:tcW w:w="1207" w:type="dxa"/>
                  <w:vMerge w:val="restart"/>
                  <w:noWrap w:val="0"/>
                  <w:vAlign w:val="center"/>
                </w:tcPr>
                <w:p w14:paraId="4899AADA">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r>
                    <w:rPr>
                      <w:rFonts w:hint="default" w:ascii="Times New Roman" w:hAnsi="Times New Roman" w:eastAsia="宋体" w:cs="Times New Roman"/>
                      <w:bCs/>
                      <w:snapToGrid w:val="0"/>
                      <w:color w:val="auto"/>
                      <w:kern w:val="0"/>
                      <w:sz w:val="21"/>
                      <w:szCs w:val="21"/>
                    </w:rPr>
                    <w:t>废气</w:t>
                  </w:r>
                </w:p>
              </w:tc>
              <w:tc>
                <w:tcPr>
                  <w:tcW w:w="5107" w:type="dxa"/>
                  <w:noWrap w:val="0"/>
                  <w:vAlign w:val="center"/>
                </w:tcPr>
                <w:p w14:paraId="29E82106">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在恶臭源周围</w:t>
                  </w:r>
                  <w:r>
                    <w:rPr>
                      <w:rFonts w:hint="default" w:ascii="Times New Roman" w:hAnsi="Times New Roman" w:eastAsia="宋体" w:cs="Times New Roman"/>
                      <w:color w:val="auto"/>
                      <w:kern w:val="0"/>
                      <w:sz w:val="21"/>
                      <w:szCs w:val="21"/>
                    </w:rPr>
                    <w:t>喷洒微生物除臭菌剂</w:t>
                  </w:r>
                </w:p>
              </w:tc>
              <w:tc>
                <w:tcPr>
                  <w:tcW w:w="1127" w:type="dxa"/>
                  <w:noWrap w:val="0"/>
                  <w:vAlign w:val="center"/>
                </w:tcPr>
                <w:p w14:paraId="35818907">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r>
                    <w:rPr>
                      <w:rFonts w:hint="default" w:ascii="Times New Roman" w:hAnsi="Times New Roman" w:eastAsia="宋体" w:cs="Times New Roman"/>
                      <w:bCs/>
                      <w:snapToGrid w:val="0"/>
                      <w:color w:val="auto"/>
                      <w:kern w:val="0"/>
                      <w:sz w:val="21"/>
                      <w:szCs w:val="21"/>
                    </w:rPr>
                    <w:t>新建</w:t>
                  </w:r>
                </w:p>
              </w:tc>
            </w:tr>
            <w:tr w14:paraId="152034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077" w:type="dxa"/>
                  <w:vMerge w:val="continue"/>
                  <w:noWrap w:val="0"/>
                  <w:vAlign w:val="center"/>
                </w:tcPr>
                <w:p w14:paraId="6C1B4B3D">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p>
              </w:tc>
              <w:tc>
                <w:tcPr>
                  <w:tcW w:w="1207" w:type="dxa"/>
                  <w:vMerge w:val="continue"/>
                  <w:noWrap w:val="0"/>
                  <w:vAlign w:val="center"/>
                </w:tcPr>
                <w:p w14:paraId="21755D00">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p>
              </w:tc>
              <w:tc>
                <w:tcPr>
                  <w:tcW w:w="5107" w:type="dxa"/>
                  <w:noWrap w:val="0"/>
                  <w:vAlign w:val="center"/>
                </w:tcPr>
                <w:p w14:paraId="369062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在</w:t>
                  </w:r>
                  <w:r>
                    <w:rPr>
                      <w:rFonts w:hint="default" w:ascii="Times New Roman" w:hAnsi="Times New Roman" w:eastAsia="宋体" w:cs="Times New Roman"/>
                      <w:color w:val="auto"/>
                      <w:sz w:val="21"/>
                      <w:szCs w:val="21"/>
                      <w:lang w:eastAsia="zh-CN"/>
                    </w:rPr>
                    <w:t>翻抛</w:t>
                  </w:r>
                  <w:r>
                    <w:rPr>
                      <w:rFonts w:hint="default" w:ascii="Times New Roman" w:hAnsi="Times New Roman" w:eastAsia="宋体" w:cs="Times New Roman"/>
                      <w:snapToGrid w:val="0"/>
                      <w:color w:val="auto"/>
                      <w:kern w:val="0"/>
                      <w:sz w:val="21"/>
                      <w:szCs w:val="21"/>
                      <w:lang w:val="en-US" w:eastAsia="zh-CN" w:bidi="ar-SA"/>
                    </w:rPr>
                    <w:t>车间</w:t>
                  </w:r>
                  <w:r>
                    <w:rPr>
                      <w:rFonts w:hint="default" w:ascii="Times New Roman" w:hAnsi="Times New Roman" w:eastAsia="宋体" w:cs="Times New Roman"/>
                      <w:color w:val="auto"/>
                      <w:sz w:val="21"/>
                      <w:szCs w:val="21"/>
                    </w:rPr>
                    <w:t>安装轴流抽风设施使车间处于负压状态，收集的气体送入</w:t>
                  </w:r>
                  <w:r>
                    <w:rPr>
                      <w:rFonts w:hint="default" w:ascii="Times New Roman" w:hAnsi="Times New Roman" w:eastAsia="宋体" w:cs="Times New Roman"/>
                      <w:color w:val="auto"/>
                      <w:sz w:val="21"/>
                      <w:szCs w:val="21"/>
                      <w:lang w:val="en-US" w:eastAsia="zh-CN"/>
                    </w:rPr>
                    <w:t>生物除臭塔</w:t>
                  </w:r>
                  <w:r>
                    <w:rPr>
                      <w:rFonts w:hint="default" w:ascii="Times New Roman" w:hAnsi="Times New Roman" w:eastAsia="宋体" w:cs="Times New Roman"/>
                      <w:color w:val="auto"/>
                      <w:sz w:val="21"/>
                      <w:szCs w:val="21"/>
                    </w:rPr>
                    <w:t>，净化</w:t>
                  </w:r>
                  <w:r>
                    <w:rPr>
                      <w:rFonts w:hint="default" w:ascii="Times New Roman" w:hAnsi="Times New Roman" w:eastAsia="宋体" w:cs="Times New Roman"/>
                      <w:color w:val="auto"/>
                      <w:sz w:val="21"/>
                      <w:szCs w:val="21"/>
                      <w:lang w:val="en-US" w:eastAsia="zh-CN"/>
                    </w:rPr>
                    <w:t>处理后</w:t>
                  </w:r>
                  <w:r>
                    <w:rPr>
                      <w:rFonts w:hint="default" w:ascii="Times New Roman" w:hAnsi="Times New Roman" w:eastAsia="宋体" w:cs="Times New Roman"/>
                      <w:color w:val="auto"/>
                      <w:sz w:val="21"/>
                      <w:szCs w:val="21"/>
                    </w:rPr>
                    <w:t>通过一根15m高的排气筒排放</w:t>
                  </w:r>
                </w:p>
              </w:tc>
              <w:tc>
                <w:tcPr>
                  <w:tcW w:w="1127" w:type="dxa"/>
                  <w:noWrap w:val="0"/>
                  <w:vAlign w:val="center"/>
                </w:tcPr>
                <w:p w14:paraId="2F79BA06">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r>
                    <w:rPr>
                      <w:rFonts w:hint="default" w:ascii="Times New Roman" w:hAnsi="Times New Roman" w:eastAsia="宋体" w:cs="Times New Roman"/>
                      <w:bCs/>
                      <w:snapToGrid w:val="0"/>
                      <w:color w:val="auto"/>
                      <w:kern w:val="0"/>
                      <w:sz w:val="21"/>
                      <w:szCs w:val="21"/>
                    </w:rPr>
                    <w:t>新建</w:t>
                  </w:r>
                </w:p>
              </w:tc>
            </w:tr>
            <w:tr w14:paraId="190F4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077" w:type="dxa"/>
                  <w:vMerge w:val="continue"/>
                  <w:noWrap w:val="0"/>
                  <w:vAlign w:val="center"/>
                </w:tcPr>
                <w:p w14:paraId="50B83770">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p>
              </w:tc>
              <w:tc>
                <w:tcPr>
                  <w:tcW w:w="1207" w:type="dxa"/>
                  <w:vMerge w:val="continue"/>
                  <w:noWrap w:val="0"/>
                  <w:vAlign w:val="center"/>
                </w:tcPr>
                <w:p w14:paraId="64E19E0F">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p>
              </w:tc>
              <w:tc>
                <w:tcPr>
                  <w:tcW w:w="5107" w:type="dxa"/>
                  <w:noWrap w:val="0"/>
                  <w:vAlign w:val="center"/>
                </w:tcPr>
                <w:p w14:paraId="05A26562">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筛分废气经布袋除尘器处理后通过15m高排气筒排放</w:t>
                  </w:r>
                </w:p>
              </w:tc>
              <w:tc>
                <w:tcPr>
                  <w:tcW w:w="1127" w:type="dxa"/>
                  <w:noWrap w:val="0"/>
                  <w:vAlign w:val="center"/>
                </w:tcPr>
                <w:p w14:paraId="05853FD7">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r>
                    <w:rPr>
                      <w:rFonts w:hint="default" w:ascii="Times New Roman" w:hAnsi="Times New Roman" w:eastAsia="宋体" w:cs="Times New Roman"/>
                      <w:bCs/>
                      <w:snapToGrid w:val="0"/>
                      <w:color w:val="auto"/>
                      <w:kern w:val="0"/>
                      <w:sz w:val="21"/>
                      <w:szCs w:val="21"/>
                    </w:rPr>
                    <w:t>新建</w:t>
                  </w:r>
                </w:p>
              </w:tc>
            </w:tr>
            <w:tr w14:paraId="3C2D31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077" w:type="dxa"/>
                  <w:vMerge w:val="continue"/>
                  <w:noWrap w:val="0"/>
                  <w:vAlign w:val="center"/>
                </w:tcPr>
                <w:p w14:paraId="5405E59C">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p>
              </w:tc>
              <w:tc>
                <w:tcPr>
                  <w:tcW w:w="1207" w:type="dxa"/>
                  <w:noWrap w:val="0"/>
                  <w:vAlign w:val="center"/>
                </w:tcPr>
                <w:p w14:paraId="54380614">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r>
                    <w:rPr>
                      <w:rFonts w:hint="default" w:ascii="Times New Roman" w:hAnsi="Times New Roman" w:eastAsia="宋体" w:cs="Times New Roman"/>
                      <w:bCs/>
                      <w:snapToGrid w:val="0"/>
                      <w:color w:val="auto"/>
                      <w:kern w:val="0"/>
                      <w:sz w:val="21"/>
                      <w:szCs w:val="21"/>
                    </w:rPr>
                    <w:t>废水</w:t>
                  </w:r>
                </w:p>
              </w:tc>
              <w:tc>
                <w:tcPr>
                  <w:tcW w:w="5107" w:type="dxa"/>
                  <w:noWrap w:val="0"/>
                  <w:vAlign w:val="center"/>
                </w:tcPr>
                <w:p w14:paraId="44EB40F3">
                  <w:pPr>
                    <w:pStyle w:val="10"/>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无废水产生</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发酵产生渗滤液，产生的渗滤液进入厌氧反应池</w:t>
                  </w:r>
                </w:p>
              </w:tc>
              <w:tc>
                <w:tcPr>
                  <w:tcW w:w="1127" w:type="dxa"/>
                  <w:noWrap w:val="0"/>
                  <w:vAlign w:val="center"/>
                </w:tcPr>
                <w:p w14:paraId="14D0A776">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r>
                    <w:rPr>
                      <w:rFonts w:hint="default" w:ascii="Times New Roman" w:hAnsi="Times New Roman" w:eastAsia="宋体" w:cs="Times New Roman"/>
                      <w:bCs/>
                      <w:snapToGrid w:val="0"/>
                      <w:color w:val="auto"/>
                      <w:kern w:val="0"/>
                      <w:sz w:val="21"/>
                      <w:szCs w:val="21"/>
                    </w:rPr>
                    <w:t>新建</w:t>
                  </w:r>
                </w:p>
              </w:tc>
            </w:tr>
            <w:tr w14:paraId="52D0D8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077" w:type="dxa"/>
                  <w:vMerge w:val="continue"/>
                  <w:noWrap w:val="0"/>
                  <w:vAlign w:val="center"/>
                </w:tcPr>
                <w:p w14:paraId="13E7B161">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p>
              </w:tc>
              <w:tc>
                <w:tcPr>
                  <w:tcW w:w="1207" w:type="dxa"/>
                  <w:vMerge w:val="restart"/>
                  <w:noWrap w:val="0"/>
                  <w:vAlign w:val="center"/>
                </w:tcPr>
                <w:p w14:paraId="0AFD5BF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r>
                    <w:rPr>
                      <w:rFonts w:hint="default" w:ascii="Times New Roman" w:hAnsi="Times New Roman" w:eastAsia="宋体" w:cs="Times New Roman"/>
                      <w:bCs/>
                      <w:snapToGrid w:val="0"/>
                      <w:color w:val="auto"/>
                      <w:kern w:val="0"/>
                      <w:sz w:val="21"/>
                      <w:szCs w:val="21"/>
                    </w:rPr>
                    <w:t>固废</w:t>
                  </w:r>
                </w:p>
              </w:tc>
              <w:tc>
                <w:tcPr>
                  <w:tcW w:w="5107" w:type="dxa"/>
                  <w:noWrap w:val="0"/>
                  <w:vAlign w:val="center"/>
                </w:tcPr>
                <w:p w14:paraId="5814BB9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lang w:val="en-US" w:eastAsia="zh-CN" w:bidi="ar"/>
                    </w:rPr>
                    <w:t>厌氧反应池污泥、</w:t>
                  </w:r>
                  <w:r>
                    <w:rPr>
                      <w:rFonts w:hint="default" w:ascii="Times New Roman" w:hAnsi="Times New Roman" w:eastAsia="宋体" w:cs="Times New Roman"/>
                      <w:color w:val="auto"/>
                      <w:sz w:val="21"/>
                      <w:szCs w:val="21"/>
                    </w:rPr>
                    <w:t>除尘系统收尘</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集中收集后回用于生产</w:t>
                  </w:r>
                </w:p>
              </w:tc>
              <w:tc>
                <w:tcPr>
                  <w:tcW w:w="1127" w:type="dxa"/>
                  <w:noWrap w:val="0"/>
                  <w:vAlign w:val="center"/>
                </w:tcPr>
                <w:p w14:paraId="687ADF2A">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r>
                    <w:rPr>
                      <w:rFonts w:hint="default" w:ascii="Times New Roman" w:hAnsi="Times New Roman" w:eastAsia="宋体" w:cs="Times New Roman"/>
                      <w:bCs/>
                      <w:snapToGrid w:val="0"/>
                      <w:color w:val="auto"/>
                      <w:kern w:val="0"/>
                      <w:sz w:val="21"/>
                      <w:szCs w:val="21"/>
                    </w:rPr>
                    <w:t>新建</w:t>
                  </w:r>
                </w:p>
              </w:tc>
            </w:tr>
            <w:tr w14:paraId="60B0DF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1077" w:type="dxa"/>
                  <w:vMerge w:val="continue"/>
                  <w:noWrap w:val="0"/>
                  <w:vAlign w:val="center"/>
                </w:tcPr>
                <w:p w14:paraId="475EE7D2">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p>
              </w:tc>
              <w:tc>
                <w:tcPr>
                  <w:tcW w:w="1207" w:type="dxa"/>
                  <w:vMerge w:val="continue"/>
                  <w:noWrap w:val="0"/>
                  <w:vAlign w:val="center"/>
                </w:tcPr>
                <w:p w14:paraId="2583066C">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p>
              </w:tc>
              <w:tc>
                <w:tcPr>
                  <w:tcW w:w="5107" w:type="dxa"/>
                  <w:noWrap w:val="0"/>
                  <w:vAlign w:val="center"/>
                </w:tcPr>
                <w:p w14:paraId="4B62F0F1">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筛分工程产生的不合格产品：</w:t>
                  </w:r>
                  <w:r>
                    <w:rPr>
                      <w:rFonts w:hint="default" w:ascii="Times New Roman" w:hAnsi="Times New Roman" w:eastAsia="宋体" w:cs="Times New Roman"/>
                      <w:color w:val="auto"/>
                      <w:sz w:val="21"/>
                      <w:szCs w:val="21"/>
                    </w:rPr>
                    <w:t>集中收集后回用于生产</w:t>
                  </w:r>
                </w:p>
              </w:tc>
              <w:tc>
                <w:tcPr>
                  <w:tcW w:w="1127" w:type="dxa"/>
                  <w:noWrap w:val="0"/>
                  <w:vAlign w:val="center"/>
                </w:tcPr>
                <w:p w14:paraId="057CF936">
                  <w:pPr>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宋体" w:cs="Times New Roman"/>
                      <w:bCs/>
                      <w:snapToGrid w:val="0"/>
                      <w:color w:val="auto"/>
                      <w:kern w:val="0"/>
                      <w:sz w:val="21"/>
                      <w:szCs w:val="21"/>
                    </w:rPr>
                  </w:pPr>
                  <w:r>
                    <w:rPr>
                      <w:rFonts w:hint="default" w:ascii="Times New Roman" w:hAnsi="Times New Roman" w:eastAsia="宋体" w:cs="Times New Roman"/>
                      <w:bCs/>
                      <w:snapToGrid w:val="0"/>
                      <w:color w:val="auto"/>
                      <w:kern w:val="0"/>
                      <w:sz w:val="21"/>
                      <w:szCs w:val="21"/>
                    </w:rPr>
                    <w:t>新建</w:t>
                  </w:r>
                </w:p>
              </w:tc>
            </w:tr>
          </w:tbl>
          <w:p w14:paraId="76BC5C06">
            <w:pPr>
              <w:widowControl w:val="0"/>
              <w:autoSpaceDE w:val="0"/>
              <w:autoSpaceDN w:val="0"/>
              <w:spacing w:line="360" w:lineRule="auto"/>
              <w:ind w:firstLine="480" w:firstLineChars="200"/>
              <w:jc w:val="both"/>
              <w:rPr>
                <w:rFonts w:hint="default" w:ascii="Times New Roman" w:hAnsi="Times New Roman" w:eastAsia="宋体" w:cs="Times New Roman"/>
                <w:bCs/>
                <w:color w:val="auto"/>
                <w:kern w:val="0"/>
                <w:sz w:val="24"/>
                <w:szCs w:val="24"/>
                <w:lang w:val="en-US" w:eastAsia="zh-CN" w:bidi="ar-SA"/>
              </w:rPr>
            </w:pPr>
            <w:r>
              <w:rPr>
                <w:rFonts w:hint="default" w:ascii="Times New Roman" w:hAnsi="Times New Roman" w:eastAsia="宋体" w:cs="Times New Roman"/>
                <w:bCs/>
                <w:color w:val="auto"/>
                <w:kern w:val="0"/>
                <w:sz w:val="24"/>
                <w:szCs w:val="24"/>
                <w:lang w:val="en-US" w:eastAsia="zh-CN" w:bidi="ar-SA"/>
              </w:rPr>
              <w:t>（3）变更前项目污染物排放情况</w:t>
            </w:r>
          </w:p>
          <w:p w14:paraId="5E151599">
            <w:pPr>
              <w:overflowPunct w:val="0"/>
              <w:autoSpaceDE w:val="0"/>
              <w:autoSpaceDN w:val="0"/>
              <w:bidi w:val="0"/>
              <w:adjustRightInd w:val="0"/>
              <w:snapToGrid w:val="0"/>
              <w:spacing w:before="0" w:after="0" w:line="500" w:lineRule="exact"/>
              <w:ind w:left="0" w:right="0" w:firstLine="480" w:firstLineChars="200"/>
              <w:jc w:val="left"/>
              <w:rPr>
                <w:rFonts w:hint="default" w:ascii="Times New Roman" w:hAnsi="Times New Roman" w:eastAsia="宋体" w:cs="Times New Roman"/>
                <w:b/>
                <w:color w:val="auto"/>
                <w:sz w:val="24"/>
                <w:szCs w:val="24"/>
                <w:lang w:val="en-US" w:eastAsia="zh-CN" w:bidi="ar-SA"/>
              </w:rPr>
            </w:pPr>
            <w:r>
              <w:rPr>
                <w:rFonts w:hint="default" w:ascii="Times New Roman" w:hAnsi="Times New Roman" w:eastAsia="宋体" w:cs="Times New Roman"/>
                <w:color w:val="auto"/>
                <w:lang w:val="en-US" w:eastAsia="zh-CN"/>
              </w:rPr>
              <w:t>根据变更前项目环评报告及批复。变更前项目</w:t>
            </w:r>
            <w:r>
              <w:rPr>
                <w:rFonts w:hint="default" w:ascii="Times New Roman" w:hAnsi="Times New Roman" w:eastAsia="宋体" w:cs="Times New Roman"/>
                <w:color w:val="auto"/>
              </w:rPr>
              <w:t>污染</w:t>
            </w:r>
            <w:r>
              <w:rPr>
                <w:rFonts w:hint="default" w:ascii="Times New Roman" w:hAnsi="Times New Roman" w:eastAsia="宋体" w:cs="Times New Roman"/>
                <w:color w:val="auto"/>
                <w:lang w:val="en-US" w:eastAsia="zh-CN"/>
              </w:rPr>
              <w:t>物排放</w:t>
            </w:r>
            <w:r>
              <w:rPr>
                <w:rFonts w:hint="default" w:ascii="Times New Roman" w:hAnsi="Times New Roman" w:eastAsia="宋体" w:cs="Times New Roman"/>
                <w:color w:val="auto"/>
              </w:rPr>
              <w:t>情况汇总见表</w:t>
            </w:r>
            <w:r>
              <w:rPr>
                <w:rFonts w:hint="default" w:ascii="Times New Roman" w:hAnsi="Times New Roman" w:eastAsia="宋体" w:cs="Times New Roman"/>
                <w:color w:val="auto"/>
                <w:lang w:val="en-US" w:eastAsia="zh-CN"/>
              </w:rPr>
              <w:t>2.</w:t>
            </w:r>
            <w:r>
              <w:rPr>
                <w:rFonts w:hint="eastAsia" w:cs="Times New Roman"/>
                <w:color w:val="auto"/>
                <w:lang w:val="en-US" w:eastAsia="zh-CN"/>
              </w:rPr>
              <w:t>9</w:t>
            </w: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lang w:eastAsia="zh-CN"/>
              </w:rPr>
              <w:t>。</w:t>
            </w:r>
          </w:p>
          <w:p w14:paraId="6619DC66">
            <w:pPr>
              <w:widowControl w:val="0"/>
              <w:overflowPunct w:val="0"/>
              <w:autoSpaceDE w:val="0"/>
              <w:autoSpaceDN w:val="0"/>
              <w:adjustRightInd w:val="0"/>
              <w:snapToGrid w:val="0"/>
              <w:spacing w:before="0" w:after="0" w:line="360" w:lineRule="auto"/>
              <w:ind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表2.</w:t>
            </w:r>
            <w:r>
              <w:rPr>
                <w:rFonts w:hint="eastAsia" w:cs="Times New Roman"/>
                <w:b/>
                <w:bCs/>
                <w:color w:val="auto"/>
                <w:kern w:val="2"/>
                <w:sz w:val="21"/>
                <w:szCs w:val="21"/>
                <w:highlight w:val="none"/>
                <w:lang w:val="en-US" w:eastAsia="zh-CN" w:bidi="ar-SA"/>
              </w:rPr>
              <w:t>9</w:t>
            </w:r>
            <w:r>
              <w:rPr>
                <w:rFonts w:hint="default" w:ascii="Times New Roman" w:hAnsi="Times New Roman" w:eastAsia="宋体" w:cs="Times New Roman"/>
                <w:b/>
                <w:bCs/>
                <w:color w:val="auto"/>
                <w:kern w:val="2"/>
                <w:sz w:val="21"/>
                <w:szCs w:val="21"/>
                <w:highlight w:val="none"/>
                <w:lang w:val="en-US" w:eastAsia="zh-CN" w:bidi="ar-SA"/>
              </w:rPr>
              <w:t>-2 变更前项目污染物排放情况汇总一览表  单位t/a</w:t>
            </w:r>
          </w:p>
          <w:tbl>
            <w:tblPr>
              <w:tblStyle w:val="22"/>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785"/>
              <w:gridCol w:w="1464"/>
              <w:gridCol w:w="1567"/>
              <w:gridCol w:w="2344"/>
              <w:gridCol w:w="2344"/>
            </w:tblGrid>
            <w:tr w14:paraId="3C84D3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85" w:type="dxa"/>
                  <w:vMerge w:val="restart"/>
                  <w:tcBorders>
                    <w:tl2br w:val="nil"/>
                    <w:tr2bl w:val="nil"/>
                  </w:tcBorders>
                  <w:noWrap w:val="0"/>
                  <w:vAlign w:val="center"/>
                </w:tcPr>
                <w:p w14:paraId="0685B441">
                  <w:pPr>
                    <w:jc w:val="center"/>
                    <w:rPr>
                      <w:rFonts w:hint="default" w:ascii="Times New Roman" w:hAnsi="Times New Roman" w:eastAsia="宋体" w:cs="Times New Roman"/>
                      <w:b w:val="0"/>
                      <w:bCs w:val="0"/>
                      <w:color w:val="auto"/>
                      <w:sz w:val="21"/>
                      <w:szCs w:val="21"/>
                    </w:rPr>
                  </w:pPr>
                  <w:bookmarkStart w:id="15" w:name="OLE_LINK9"/>
                  <w:r>
                    <w:rPr>
                      <w:rFonts w:hint="default" w:ascii="Times New Roman" w:hAnsi="Times New Roman" w:eastAsia="宋体" w:cs="Times New Roman"/>
                      <w:b w:val="0"/>
                      <w:bCs w:val="0"/>
                      <w:color w:val="auto"/>
                      <w:sz w:val="21"/>
                      <w:szCs w:val="21"/>
                    </w:rPr>
                    <w:t>污染源</w:t>
                  </w:r>
                </w:p>
              </w:tc>
              <w:tc>
                <w:tcPr>
                  <w:tcW w:w="3031" w:type="dxa"/>
                  <w:gridSpan w:val="2"/>
                  <w:tcBorders>
                    <w:tl2br w:val="nil"/>
                    <w:tr2bl w:val="nil"/>
                  </w:tcBorders>
                  <w:noWrap w:val="0"/>
                  <w:vAlign w:val="center"/>
                </w:tcPr>
                <w:p w14:paraId="03BBC860">
                  <w:pPr>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污染物</w:t>
                  </w:r>
                  <w:r>
                    <w:rPr>
                      <w:rFonts w:hint="default" w:ascii="Times New Roman" w:hAnsi="Times New Roman" w:eastAsia="宋体" w:cs="Times New Roman"/>
                      <w:b w:val="0"/>
                      <w:bCs w:val="0"/>
                      <w:color w:val="auto"/>
                      <w:sz w:val="21"/>
                      <w:szCs w:val="21"/>
                      <w:lang w:val="en-US" w:eastAsia="zh-CN"/>
                    </w:rPr>
                    <w:t>排放</w:t>
                  </w:r>
                  <w:r>
                    <w:rPr>
                      <w:rFonts w:hint="default" w:ascii="Times New Roman" w:hAnsi="Times New Roman" w:eastAsia="宋体" w:cs="Times New Roman"/>
                      <w:b w:val="0"/>
                      <w:bCs w:val="0"/>
                      <w:color w:val="auto"/>
                      <w:sz w:val="21"/>
                      <w:szCs w:val="21"/>
                    </w:rPr>
                    <w:t>情况</w:t>
                  </w:r>
                </w:p>
              </w:tc>
              <w:tc>
                <w:tcPr>
                  <w:tcW w:w="4688" w:type="dxa"/>
                  <w:gridSpan w:val="2"/>
                  <w:vMerge w:val="restart"/>
                  <w:tcBorders>
                    <w:tl2br w:val="nil"/>
                    <w:tr2bl w:val="nil"/>
                  </w:tcBorders>
                  <w:noWrap w:val="0"/>
                  <w:vAlign w:val="center"/>
                </w:tcPr>
                <w:p w14:paraId="490D21DE">
                  <w:pPr>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变更前项目环评报告及批复采取的措施</w:t>
                  </w:r>
                </w:p>
              </w:tc>
            </w:tr>
            <w:tr w14:paraId="01ABE0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85" w:type="dxa"/>
                  <w:vMerge w:val="continue"/>
                  <w:tcBorders>
                    <w:tl2br w:val="nil"/>
                    <w:tr2bl w:val="nil"/>
                  </w:tcBorders>
                  <w:noWrap w:val="0"/>
                  <w:vAlign w:val="center"/>
                </w:tcPr>
                <w:p w14:paraId="482DB9B7">
                  <w:pPr>
                    <w:jc w:val="center"/>
                    <w:rPr>
                      <w:rFonts w:hint="default" w:ascii="Times New Roman" w:hAnsi="Times New Roman" w:eastAsia="宋体" w:cs="Times New Roman"/>
                      <w:b w:val="0"/>
                      <w:bCs w:val="0"/>
                      <w:color w:val="auto"/>
                      <w:sz w:val="21"/>
                      <w:szCs w:val="21"/>
                    </w:rPr>
                  </w:pPr>
                </w:p>
              </w:tc>
              <w:tc>
                <w:tcPr>
                  <w:tcW w:w="1464" w:type="dxa"/>
                  <w:tcBorders>
                    <w:tl2br w:val="nil"/>
                    <w:tr2bl w:val="nil"/>
                  </w:tcBorders>
                  <w:noWrap w:val="0"/>
                  <w:vAlign w:val="center"/>
                </w:tcPr>
                <w:p w14:paraId="0BE2F0B6">
                  <w:pPr>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类别</w:t>
                  </w:r>
                </w:p>
              </w:tc>
              <w:tc>
                <w:tcPr>
                  <w:tcW w:w="1567" w:type="dxa"/>
                  <w:tcBorders>
                    <w:tl2br w:val="nil"/>
                    <w:tr2bl w:val="nil"/>
                  </w:tcBorders>
                  <w:noWrap w:val="0"/>
                  <w:vAlign w:val="center"/>
                </w:tcPr>
                <w:p w14:paraId="657F63DB">
                  <w:pPr>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排放</w:t>
                  </w:r>
                  <w:r>
                    <w:rPr>
                      <w:rFonts w:hint="default" w:ascii="Times New Roman" w:hAnsi="Times New Roman" w:eastAsia="宋体" w:cs="Times New Roman"/>
                      <w:b w:val="0"/>
                      <w:bCs w:val="0"/>
                      <w:color w:val="auto"/>
                      <w:sz w:val="21"/>
                      <w:szCs w:val="21"/>
                    </w:rPr>
                    <w:t>量</w:t>
                  </w:r>
                </w:p>
              </w:tc>
              <w:tc>
                <w:tcPr>
                  <w:tcW w:w="4688" w:type="dxa"/>
                  <w:gridSpan w:val="2"/>
                  <w:vMerge w:val="continue"/>
                  <w:tcBorders>
                    <w:tl2br w:val="nil"/>
                    <w:tr2bl w:val="nil"/>
                  </w:tcBorders>
                  <w:noWrap w:val="0"/>
                  <w:vAlign w:val="center"/>
                </w:tcPr>
                <w:p w14:paraId="5BCA0BBF">
                  <w:pPr>
                    <w:jc w:val="center"/>
                    <w:rPr>
                      <w:rFonts w:hint="default" w:ascii="Times New Roman" w:hAnsi="Times New Roman" w:eastAsia="宋体" w:cs="Times New Roman"/>
                      <w:b w:val="0"/>
                      <w:bCs w:val="0"/>
                      <w:color w:val="auto"/>
                      <w:sz w:val="21"/>
                      <w:szCs w:val="21"/>
                    </w:rPr>
                  </w:pPr>
                </w:p>
              </w:tc>
            </w:tr>
            <w:tr w14:paraId="2AFB21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785" w:type="dxa"/>
                  <w:vMerge w:val="restart"/>
                  <w:tcBorders>
                    <w:tl2br w:val="nil"/>
                    <w:tr2bl w:val="nil"/>
                  </w:tcBorders>
                  <w:noWrap w:val="0"/>
                  <w:vAlign w:val="center"/>
                </w:tcPr>
                <w:p w14:paraId="0462B75D">
                  <w:pPr>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废气</w:t>
                  </w:r>
                </w:p>
              </w:tc>
              <w:tc>
                <w:tcPr>
                  <w:tcW w:w="1464" w:type="dxa"/>
                  <w:tcBorders>
                    <w:tl2br w:val="nil"/>
                    <w:tr2bl w:val="nil"/>
                  </w:tcBorders>
                  <w:noWrap w:val="0"/>
                  <w:vAlign w:val="center"/>
                </w:tcPr>
                <w:p w14:paraId="6992D8B5">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color w:val="auto"/>
                      <w:kern w:val="2"/>
                      <w:sz w:val="21"/>
                      <w:szCs w:val="21"/>
                      <w:u w:val="none"/>
                      <w:lang w:val="en-US" w:eastAsia="zh-CN" w:bidi="ar"/>
                    </w:rPr>
                    <w:t>有组织颗粒物（t/a）</w:t>
                  </w:r>
                </w:p>
              </w:tc>
              <w:tc>
                <w:tcPr>
                  <w:tcW w:w="1567" w:type="dxa"/>
                  <w:tcBorders>
                    <w:tl2br w:val="nil"/>
                    <w:tr2bl w:val="nil"/>
                  </w:tcBorders>
                  <w:noWrap w:val="0"/>
                  <w:vAlign w:val="center"/>
                </w:tcPr>
                <w:p w14:paraId="4C27F821">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color w:val="auto"/>
                      <w:sz w:val="21"/>
                      <w:szCs w:val="21"/>
                      <w:lang w:val="en-US" w:eastAsia="zh-CN"/>
                    </w:rPr>
                    <w:t>0.067</w:t>
                  </w:r>
                </w:p>
              </w:tc>
              <w:tc>
                <w:tcPr>
                  <w:tcW w:w="4688" w:type="dxa"/>
                  <w:gridSpan w:val="2"/>
                  <w:vMerge w:val="restart"/>
                  <w:tcBorders>
                    <w:tl2br w:val="nil"/>
                    <w:tr2bl w:val="nil"/>
                  </w:tcBorders>
                  <w:noWrap w:val="0"/>
                  <w:vAlign w:val="center"/>
                </w:tcPr>
                <w:p w14:paraId="4A63D5B6">
                  <w:pPr>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项目运营期产生的有组织筛分粉尘通过布袋除尘器+15m高排气筒排放，无组织粉尘通过加强通风的措施减缓影响，有组织及无组织粉尘需满足《大气污染物综合排放标准》(GB16297-1996)表2二级标准限值要求。翻抛车间所产生的有组织恶臭负压收集后经生物除臭塔处理后通过15m高的排气简排放，原料堆放区产生的无组织恶臭采取铺草木灰、喷洒除臭剂等方式确保恶臭气体满足《恶臭污染物排放标准》(GB14554-93)相关标准要求。</w:t>
                  </w:r>
                </w:p>
              </w:tc>
            </w:tr>
            <w:tr w14:paraId="1D1201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19" w:hRule="atLeast"/>
                <w:jc w:val="center"/>
              </w:trPr>
              <w:tc>
                <w:tcPr>
                  <w:tcW w:w="785" w:type="dxa"/>
                  <w:vMerge w:val="continue"/>
                  <w:tcBorders>
                    <w:tl2br w:val="nil"/>
                    <w:tr2bl w:val="nil"/>
                  </w:tcBorders>
                  <w:noWrap w:val="0"/>
                  <w:vAlign w:val="center"/>
                </w:tcPr>
                <w:p w14:paraId="3EE8540D">
                  <w:pPr>
                    <w:jc w:val="center"/>
                    <w:rPr>
                      <w:rFonts w:hint="default" w:ascii="Times New Roman" w:hAnsi="Times New Roman" w:eastAsia="宋体" w:cs="Times New Roman"/>
                      <w:b w:val="0"/>
                      <w:bCs w:val="0"/>
                      <w:color w:val="auto"/>
                      <w:sz w:val="21"/>
                      <w:szCs w:val="21"/>
                    </w:rPr>
                  </w:pPr>
                </w:p>
              </w:tc>
              <w:tc>
                <w:tcPr>
                  <w:tcW w:w="1464" w:type="dxa"/>
                  <w:tcBorders>
                    <w:tl2br w:val="nil"/>
                    <w:tr2bl w:val="nil"/>
                  </w:tcBorders>
                  <w:noWrap w:val="0"/>
                  <w:vAlign w:val="center"/>
                </w:tcPr>
                <w:p w14:paraId="751BBB44">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color w:val="auto"/>
                      <w:kern w:val="2"/>
                      <w:sz w:val="21"/>
                      <w:szCs w:val="21"/>
                      <w:u w:val="none"/>
                      <w:lang w:val="en-US" w:eastAsia="zh-CN" w:bidi="ar"/>
                    </w:rPr>
                    <w:t>氨（t/a）</w:t>
                  </w:r>
                </w:p>
              </w:tc>
              <w:tc>
                <w:tcPr>
                  <w:tcW w:w="1567" w:type="dxa"/>
                  <w:tcBorders>
                    <w:tl2br w:val="nil"/>
                    <w:tr2bl w:val="nil"/>
                  </w:tcBorders>
                  <w:noWrap w:val="0"/>
                  <w:vAlign w:val="center"/>
                </w:tcPr>
                <w:p w14:paraId="44E7D6ED">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snapToGrid w:val="0"/>
                      <w:color w:val="auto"/>
                      <w:kern w:val="0"/>
                      <w:sz w:val="21"/>
                      <w:szCs w:val="21"/>
                      <w:vertAlign w:val="baseline"/>
                      <w:lang w:val="en-US" w:eastAsia="zh-CN" w:bidi="ar-SA"/>
                    </w:rPr>
                    <w:t>0.083</w:t>
                  </w:r>
                </w:p>
              </w:tc>
              <w:tc>
                <w:tcPr>
                  <w:tcW w:w="4688" w:type="dxa"/>
                  <w:gridSpan w:val="2"/>
                  <w:vMerge w:val="continue"/>
                  <w:tcBorders>
                    <w:tl2br w:val="nil"/>
                    <w:tr2bl w:val="nil"/>
                  </w:tcBorders>
                  <w:noWrap w:val="0"/>
                  <w:vAlign w:val="center"/>
                </w:tcPr>
                <w:p w14:paraId="6F28BE12">
                  <w:pPr>
                    <w:jc w:val="center"/>
                    <w:rPr>
                      <w:rFonts w:hint="default" w:ascii="Times New Roman" w:hAnsi="Times New Roman" w:eastAsia="宋体" w:cs="Times New Roman"/>
                      <w:b w:val="0"/>
                      <w:bCs w:val="0"/>
                      <w:color w:val="auto"/>
                      <w:sz w:val="21"/>
                      <w:szCs w:val="21"/>
                    </w:rPr>
                  </w:pPr>
                </w:p>
              </w:tc>
            </w:tr>
            <w:tr w14:paraId="776AB1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85" w:type="dxa"/>
                  <w:vMerge w:val="continue"/>
                  <w:tcBorders>
                    <w:tl2br w:val="nil"/>
                    <w:tr2bl w:val="nil"/>
                  </w:tcBorders>
                  <w:noWrap w:val="0"/>
                  <w:vAlign w:val="center"/>
                </w:tcPr>
                <w:p w14:paraId="381B6B26">
                  <w:pPr>
                    <w:jc w:val="center"/>
                    <w:rPr>
                      <w:rFonts w:hint="default" w:ascii="Times New Roman" w:hAnsi="Times New Roman" w:eastAsia="宋体" w:cs="Times New Roman"/>
                      <w:b w:val="0"/>
                      <w:bCs w:val="0"/>
                      <w:color w:val="auto"/>
                      <w:sz w:val="21"/>
                      <w:szCs w:val="21"/>
                    </w:rPr>
                  </w:pPr>
                </w:p>
              </w:tc>
              <w:tc>
                <w:tcPr>
                  <w:tcW w:w="1464" w:type="dxa"/>
                  <w:tcBorders>
                    <w:tl2br w:val="nil"/>
                    <w:tr2bl w:val="nil"/>
                  </w:tcBorders>
                  <w:noWrap w:val="0"/>
                  <w:vAlign w:val="center"/>
                </w:tcPr>
                <w:p w14:paraId="5E3C98EA">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color w:val="auto"/>
                      <w:kern w:val="2"/>
                      <w:sz w:val="21"/>
                      <w:szCs w:val="21"/>
                      <w:u w:val="none"/>
                      <w:lang w:val="en-US" w:eastAsia="zh-CN" w:bidi="ar"/>
                    </w:rPr>
                    <w:t>硫化氢（t/a）</w:t>
                  </w:r>
                </w:p>
              </w:tc>
              <w:tc>
                <w:tcPr>
                  <w:tcW w:w="1567" w:type="dxa"/>
                  <w:tcBorders>
                    <w:tl2br w:val="nil"/>
                    <w:tr2bl w:val="nil"/>
                  </w:tcBorders>
                  <w:noWrap w:val="0"/>
                  <w:vAlign w:val="center"/>
                </w:tcPr>
                <w:p w14:paraId="15D1E42B">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snapToGrid w:val="0"/>
                      <w:color w:val="auto"/>
                      <w:kern w:val="0"/>
                      <w:sz w:val="21"/>
                      <w:szCs w:val="21"/>
                      <w:vertAlign w:val="baseline"/>
                      <w:lang w:val="en-US" w:eastAsia="zh-CN" w:bidi="ar-SA"/>
                    </w:rPr>
                    <w:t>0.033</w:t>
                  </w:r>
                </w:p>
              </w:tc>
              <w:tc>
                <w:tcPr>
                  <w:tcW w:w="4688" w:type="dxa"/>
                  <w:gridSpan w:val="2"/>
                  <w:vMerge w:val="continue"/>
                  <w:tcBorders>
                    <w:tl2br w:val="nil"/>
                    <w:tr2bl w:val="nil"/>
                  </w:tcBorders>
                  <w:noWrap w:val="0"/>
                  <w:vAlign w:val="center"/>
                </w:tcPr>
                <w:p w14:paraId="389F6CB3">
                  <w:pPr>
                    <w:jc w:val="center"/>
                    <w:rPr>
                      <w:rFonts w:hint="default" w:ascii="Times New Roman" w:hAnsi="Times New Roman" w:eastAsia="宋体" w:cs="Times New Roman"/>
                      <w:b w:val="0"/>
                      <w:bCs w:val="0"/>
                      <w:color w:val="auto"/>
                      <w:sz w:val="21"/>
                      <w:szCs w:val="21"/>
                    </w:rPr>
                  </w:pPr>
                </w:p>
              </w:tc>
            </w:tr>
            <w:tr w14:paraId="55CDFD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785" w:type="dxa"/>
                  <w:tcBorders>
                    <w:tl2br w:val="nil"/>
                    <w:tr2bl w:val="nil"/>
                  </w:tcBorders>
                  <w:noWrap w:val="0"/>
                  <w:vAlign w:val="center"/>
                </w:tcPr>
                <w:p w14:paraId="62317AB9">
                  <w:pPr>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生活</w:t>
                  </w:r>
                  <w:r>
                    <w:rPr>
                      <w:rFonts w:hint="default" w:ascii="Times New Roman" w:hAnsi="Times New Roman" w:eastAsia="宋体" w:cs="Times New Roman"/>
                      <w:b w:val="0"/>
                      <w:bCs w:val="0"/>
                      <w:color w:val="auto"/>
                      <w:sz w:val="21"/>
                      <w:szCs w:val="21"/>
                    </w:rPr>
                    <w:t>排水</w:t>
                  </w:r>
                </w:p>
              </w:tc>
              <w:tc>
                <w:tcPr>
                  <w:tcW w:w="1464" w:type="dxa"/>
                  <w:tcBorders>
                    <w:tl2br w:val="nil"/>
                    <w:tr2bl w:val="nil"/>
                  </w:tcBorders>
                  <w:noWrap w:val="0"/>
                  <w:vAlign w:val="center"/>
                </w:tcPr>
                <w:p w14:paraId="1603470F">
                  <w:pPr>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rPr>
                    <w:t>排水量</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lang w:val="en-US" w:eastAsia="zh-CN"/>
                    </w:rPr>
                    <w:t>m</w:t>
                  </w:r>
                  <w:r>
                    <w:rPr>
                      <w:rFonts w:hint="default" w:ascii="Times New Roman" w:hAnsi="Times New Roman" w:eastAsia="宋体" w:cs="Times New Roman"/>
                      <w:b w:val="0"/>
                      <w:bCs w:val="0"/>
                      <w:color w:val="auto"/>
                      <w:sz w:val="21"/>
                      <w:szCs w:val="21"/>
                      <w:vertAlign w:val="superscript"/>
                      <w:lang w:val="en-US" w:eastAsia="zh-CN"/>
                    </w:rPr>
                    <w:t>3</w:t>
                  </w:r>
                  <w:r>
                    <w:rPr>
                      <w:rFonts w:hint="default" w:ascii="Times New Roman" w:hAnsi="Times New Roman" w:eastAsia="宋体" w:cs="Times New Roman"/>
                      <w:b w:val="0"/>
                      <w:bCs w:val="0"/>
                      <w:color w:val="auto"/>
                      <w:sz w:val="21"/>
                      <w:szCs w:val="21"/>
                      <w:lang w:val="en-US" w:eastAsia="zh-CN"/>
                    </w:rPr>
                    <w:t>/a</w:t>
                  </w:r>
                  <w:r>
                    <w:rPr>
                      <w:rFonts w:hint="default" w:ascii="Times New Roman" w:hAnsi="Times New Roman" w:eastAsia="宋体" w:cs="Times New Roman"/>
                      <w:b w:val="0"/>
                      <w:bCs w:val="0"/>
                      <w:color w:val="auto"/>
                      <w:sz w:val="21"/>
                      <w:szCs w:val="21"/>
                      <w:lang w:eastAsia="zh-CN"/>
                    </w:rPr>
                    <w:t>）</w:t>
                  </w:r>
                </w:p>
              </w:tc>
              <w:tc>
                <w:tcPr>
                  <w:tcW w:w="1567" w:type="dxa"/>
                  <w:tcBorders>
                    <w:tl2br w:val="nil"/>
                    <w:tr2bl w:val="nil"/>
                  </w:tcBorders>
                  <w:noWrap w:val="0"/>
                  <w:vAlign w:val="center"/>
                </w:tcPr>
                <w:p w14:paraId="66B669DE">
                  <w:pPr>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0</w:t>
                  </w:r>
                </w:p>
              </w:tc>
              <w:tc>
                <w:tcPr>
                  <w:tcW w:w="4688" w:type="dxa"/>
                  <w:gridSpan w:val="2"/>
                  <w:tcBorders>
                    <w:tl2br w:val="nil"/>
                    <w:tr2bl w:val="nil"/>
                  </w:tcBorders>
                  <w:noWrap w:val="0"/>
                  <w:vAlign w:val="center"/>
                </w:tcPr>
                <w:p w14:paraId="643B8AB2">
                  <w:pPr>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(二)运营期生活废水及生产废水进入厌氧反应池处理后作为液态有机肥外售。</w:t>
                  </w:r>
                </w:p>
              </w:tc>
            </w:tr>
            <w:tr w14:paraId="1349C2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02" w:hRule="atLeast"/>
                <w:jc w:val="center"/>
              </w:trPr>
              <w:tc>
                <w:tcPr>
                  <w:tcW w:w="785" w:type="dxa"/>
                  <w:vMerge w:val="restart"/>
                  <w:tcBorders>
                    <w:tl2br w:val="nil"/>
                    <w:tr2bl w:val="nil"/>
                  </w:tcBorders>
                  <w:noWrap w:val="0"/>
                  <w:vAlign w:val="center"/>
                </w:tcPr>
                <w:p w14:paraId="021E2D4B">
                  <w:pPr>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固体废物</w:t>
                  </w:r>
                </w:p>
              </w:tc>
              <w:tc>
                <w:tcPr>
                  <w:tcW w:w="1464" w:type="dxa"/>
                  <w:tcBorders>
                    <w:tl2br w:val="nil"/>
                    <w:tr2bl w:val="nil"/>
                  </w:tcBorders>
                  <w:noWrap w:val="0"/>
                  <w:vAlign w:val="center"/>
                </w:tcPr>
                <w:p w14:paraId="627994AE">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color w:val="auto"/>
                      <w:kern w:val="0"/>
                      <w:sz w:val="21"/>
                      <w:szCs w:val="21"/>
                      <w:highlight w:val="none"/>
                      <w:lang w:val="en-US" w:eastAsia="zh-CN" w:bidi="ar"/>
                    </w:rPr>
                    <w:t>除尘灰</w:t>
                  </w:r>
                  <w:r>
                    <w:rPr>
                      <w:rFonts w:hint="default" w:ascii="Times New Roman" w:hAnsi="Times New Roman" w:eastAsia="宋体" w:cs="Times New Roman"/>
                      <w:color w:val="auto"/>
                      <w:kern w:val="2"/>
                      <w:sz w:val="21"/>
                      <w:szCs w:val="21"/>
                      <w:u w:val="none"/>
                      <w:lang w:val="en-US" w:eastAsia="zh-CN" w:bidi="ar"/>
                    </w:rPr>
                    <w:t>（t/a）</w:t>
                  </w:r>
                </w:p>
              </w:tc>
              <w:tc>
                <w:tcPr>
                  <w:tcW w:w="1567" w:type="dxa"/>
                  <w:tcBorders>
                    <w:tl2br w:val="nil"/>
                    <w:tr2bl w:val="nil"/>
                  </w:tcBorders>
                  <w:noWrap w:val="0"/>
                  <w:vAlign w:val="center"/>
                </w:tcPr>
                <w:p w14:paraId="44B3D41E">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0</w:t>
                  </w:r>
                </w:p>
              </w:tc>
              <w:tc>
                <w:tcPr>
                  <w:tcW w:w="2344" w:type="dxa"/>
                  <w:vMerge w:val="restart"/>
                  <w:tcBorders>
                    <w:tl2br w:val="nil"/>
                    <w:tr2bl w:val="nil"/>
                  </w:tcBorders>
                  <w:noWrap w:val="0"/>
                  <w:vAlign w:val="center"/>
                </w:tcPr>
                <w:p w14:paraId="68DBDACE">
                  <w:pPr>
                    <w:widowControl w:val="0"/>
                    <w:overflowPunct w:val="0"/>
                    <w:autoSpaceDE w:val="0"/>
                    <w:autoSpaceDN w:val="0"/>
                    <w:bidi w:val="0"/>
                    <w:adjustRightInd w:val="0"/>
                    <w:snapToGrid w:val="0"/>
                    <w:spacing w:before="0" w:after="0" w:line="400" w:lineRule="exact"/>
                    <w:ind w:left="0" w:leftChars="0" w:right="0" w:rightChars="0" w:firstLine="0" w:firstLineChars="0"/>
                    <w:jc w:val="center"/>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color w:val="auto"/>
                      <w:sz w:val="21"/>
                      <w:szCs w:val="22"/>
                      <w:lang w:val="en-US" w:eastAsia="zh-CN" w:bidi="ar-SA"/>
                    </w:rPr>
                    <w:t>回用于生产</w:t>
                  </w:r>
                </w:p>
              </w:tc>
              <w:tc>
                <w:tcPr>
                  <w:tcW w:w="2344" w:type="dxa"/>
                  <w:vMerge w:val="restart"/>
                  <w:tcBorders>
                    <w:tl2br w:val="nil"/>
                    <w:tr2bl w:val="nil"/>
                  </w:tcBorders>
                  <w:noWrap w:val="0"/>
                  <w:vAlign w:val="center"/>
                </w:tcPr>
                <w:p w14:paraId="3658D6C6">
                  <w:pPr>
                    <w:widowControl w:val="0"/>
                    <w:overflowPunct w:val="0"/>
                    <w:autoSpaceDE w:val="0"/>
                    <w:autoSpaceDN w:val="0"/>
                    <w:bidi w:val="0"/>
                    <w:adjustRightInd w:val="0"/>
                    <w:snapToGrid w:val="0"/>
                    <w:spacing w:before="0" w:after="0" w:line="400" w:lineRule="exact"/>
                    <w:ind w:left="0" w:leftChars="0" w:right="0" w:rightChars="0" w:firstLine="0" w:firstLineChars="0"/>
                    <w:jc w:val="center"/>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color w:val="auto"/>
                      <w:sz w:val="21"/>
                      <w:szCs w:val="22"/>
                      <w:lang w:val="en-US" w:eastAsia="zh-CN" w:bidi="ar-SA"/>
                    </w:rPr>
                    <w:t>满足《一般工业固体废物贮存和填埋场污染控制标准》（GB18599-2020）</w:t>
                  </w:r>
                </w:p>
              </w:tc>
            </w:tr>
            <w:tr w14:paraId="3E1284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785" w:type="dxa"/>
                  <w:vMerge w:val="continue"/>
                  <w:tcBorders>
                    <w:tl2br w:val="nil"/>
                    <w:tr2bl w:val="nil"/>
                  </w:tcBorders>
                  <w:noWrap w:val="0"/>
                  <w:vAlign w:val="center"/>
                </w:tcPr>
                <w:p w14:paraId="0002EE10">
                  <w:pPr>
                    <w:jc w:val="center"/>
                    <w:rPr>
                      <w:rFonts w:hint="default" w:ascii="Times New Roman" w:hAnsi="Times New Roman" w:eastAsia="宋体" w:cs="Times New Roman"/>
                      <w:b w:val="0"/>
                      <w:bCs w:val="0"/>
                      <w:color w:val="auto"/>
                      <w:sz w:val="21"/>
                      <w:szCs w:val="21"/>
                    </w:rPr>
                  </w:pPr>
                </w:p>
              </w:tc>
              <w:tc>
                <w:tcPr>
                  <w:tcW w:w="1464" w:type="dxa"/>
                  <w:tcBorders>
                    <w:tl2br w:val="nil"/>
                    <w:tr2bl w:val="nil"/>
                  </w:tcBorders>
                  <w:noWrap w:val="0"/>
                  <w:vAlign w:val="center"/>
                </w:tcPr>
                <w:p w14:paraId="4A9BBB03">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污泥</w:t>
                  </w:r>
                </w:p>
              </w:tc>
              <w:tc>
                <w:tcPr>
                  <w:tcW w:w="1567" w:type="dxa"/>
                  <w:tcBorders>
                    <w:tl2br w:val="nil"/>
                    <w:tr2bl w:val="nil"/>
                  </w:tcBorders>
                  <w:noWrap w:val="0"/>
                  <w:vAlign w:val="center"/>
                </w:tcPr>
                <w:p w14:paraId="14695B4D">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0</w:t>
                  </w:r>
                </w:p>
              </w:tc>
              <w:tc>
                <w:tcPr>
                  <w:tcW w:w="2344" w:type="dxa"/>
                  <w:vMerge w:val="continue"/>
                  <w:tcBorders>
                    <w:tl2br w:val="nil"/>
                    <w:tr2bl w:val="nil"/>
                  </w:tcBorders>
                  <w:noWrap w:val="0"/>
                  <w:vAlign w:val="center"/>
                </w:tcPr>
                <w:p w14:paraId="0D90C40B">
                  <w:pPr>
                    <w:widowControl w:val="0"/>
                    <w:overflowPunct w:val="0"/>
                    <w:autoSpaceDE w:val="0"/>
                    <w:autoSpaceDN w:val="0"/>
                    <w:bidi w:val="0"/>
                    <w:adjustRightInd w:val="0"/>
                    <w:snapToGrid w:val="0"/>
                    <w:spacing w:before="0" w:after="0" w:line="400" w:lineRule="exact"/>
                    <w:ind w:left="0" w:leftChars="0" w:right="0" w:rightChars="0" w:firstLine="0" w:firstLineChars="0"/>
                    <w:jc w:val="center"/>
                    <w:rPr>
                      <w:rFonts w:hint="default" w:ascii="Times New Roman" w:hAnsi="Times New Roman" w:eastAsia="宋体" w:cs="Times New Roman"/>
                      <w:color w:val="auto"/>
                      <w:sz w:val="21"/>
                      <w:szCs w:val="22"/>
                      <w:lang w:val="en-US" w:eastAsia="zh-CN" w:bidi="ar-SA"/>
                    </w:rPr>
                  </w:pPr>
                </w:p>
              </w:tc>
              <w:tc>
                <w:tcPr>
                  <w:tcW w:w="2344" w:type="dxa"/>
                  <w:vMerge w:val="continue"/>
                  <w:tcBorders>
                    <w:tl2br w:val="nil"/>
                    <w:tr2bl w:val="nil"/>
                  </w:tcBorders>
                  <w:noWrap w:val="0"/>
                  <w:vAlign w:val="center"/>
                </w:tcPr>
                <w:p w14:paraId="68DFA871">
                  <w:pPr>
                    <w:widowControl w:val="0"/>
                    <w:overflowPunct w:val="0"/>
                    <w:autoSpaceDE w:val="0"/>
                    <w:autoSpaceDN w:val="0"/>
                    <w:bidi w:val="0"/>
                    <w:adjustRightInd w:val="0"/>
                    <w:snapToGrid w:val="0"/>
                    <w:spacing w:before="0" w:after="0" w:line="400" w:lineRule="exact"/>
                    <w:ind w:left="0" w:leftChars="0" w:right="0" w:rightChars="0" w:firstLine="0" w:firstLineChars="0"/>
                    <w:jc w:val="center"/>
                    <w:rPr>
                      <w:rFonts w:hint="default" w:ascii="Times New Roman" w:hAnsi="Times New Roman" w:eastAsia="宋体" w:cs="Times New Roman"/>
                      <w:color w:val="auto"/>
                      <w:sz w:val="21"/>
                      <w:szCs w:val="22"/>
                      <w:lang w:val="en-US" w:eastAsia="zh-CN" w:bidi="ar-SA"/>
                    </w:rPr>
                  </w:pPr>
                </w:p>
              </w:tc>
            </w:tr>
            <w:bookmarkEnd w:id="15"/>
          </w:tbl>
          <w:p w14:paraId="35454B84">
            <w:pPr>
              <w:widowControl w:val="0"/>
              <w:autoSpaceDE w:val="0"/>
              <w:autoSpaceDN w:val="0"/>
              <w:spacing w:line="360" w:lineRule="auto"/>
              <w:ind w:firstLine="480" w:firstLineChars="200"/>
              <w:jc w:val="both"/>
              <w:rPr>
                <w:rFonts w:hint="default" w:ascii="Times New Roman" w:hAnsi="Times New Roman" w:eastAsia="宋体" w:cs="Times New Roman"/>
                <w:bCs/>
                <w:color w:val="auto"/>
                <w:kern w:val="0"/>
                <w:sz w:val="24"/>
                <w:szCs w:val="24"/>
                <w:lang w:val="en-US" w:eastAsia="zh-CN" w:bidi="ar-SA"/>
              </w:rPr>
            </w:pPr>
            <w:r>
              <w:rPr>
                <w:rFonts w:hint="default" w:ascii="Times New Roman" w:hAnsi="Times New Roman" w:eastAsia="宋体" w:cs="Times New Roman"/>
                <w:bCs/>
                <w:color w:val="auto"/>
                <w:kern w:val="0"/>
                <w:sz w:val="24"/>
                <w:szCs w:val="24"/>
                <w:lang w:val="en-US" w:eastAsia="zh-CN" w:bidi="ar-SA"/>
              </w:rPr>
              <w:t>（4）与变更前项目污染物排放变动情况</w:t>
            </w:r>
          </w:p>
          <w:p w14:paraId="09277AEC">
            <w:pPr>
              <w:keepNext w:val="0"/>
              <w:keepLines w:val="0"/>
              <w:pageBreakBefore w:val="0"/>
              <w:widowControl w:val="0"/>
              <w:kinsoku/>
              <w:wordWrap/>
              <w:overflowPunct w:val="0"/>
              <w:topLinePunct w:val="0"/>
              <w:autoSpaceDE w:val="0"/>
              <w:autoSpaceDN w:val="0"/>
              <w:bidi w:val="0"/>
              <w:adjustRightInd w:val="0"/>
              <w:snapToGrid w:val="0"/>
              <w:spacing w:before="0" w:after="0" w:line="240" w:lineRule="auto"/>
              <w:ind w:left="0" w:right="0" w:firstLine="0" w:firstLineChars="0"/>
              <w:jc w:val="center"/>
              <w:textAlignment w:val="auto"/>
              <w:rPr>
                <w:rFonts w:hint="default" w:ascii="Times New Roman" w:hAnsi="Times New Roman" w:eastAsia="宋体" w:cs="Times New Roman"/>
                <w:b/>
                <w:color w:val="auto"/>
                <w:sz w:val="21"/>
                <w:szCs w:val="21"/>
                <w:highlight w:val="none"/>
                <w:lang w:val="en-US" w:eastAsia="zh-CN" w:bidi="ar-SA"/>
              </w:rPr>
            </w:pPr>
            <w:r>
              <w:rPr>
                <w:rFonts w:hint="default" w:ascii="Times New Roman" w:hAnsi="Times New Roman" w:eastAsia="宋体" w:cs="Times New Roman"/>
                <w:b/>
                <w:color w:val="auto"/>
                <w:sz w:val="21"/>
                <w:szCs w:val="21"/>
                <w:highlight w:val="none"/>
                <w:lang w:val="en-US" w:eastAsia="zh-CN" w:bidi="ar-SA"/>
              </w:rPr>
              <w:t>表2.</w:t>
            </w:r>
            <w:r>
              <w:rPr>
                <w:rFonts w:hint="eastAsia" w:cs="Times New Roman"/>
                <w:b/>
                <w:color w:val="auto"/>
                <w:sz w:val="21"/>
                <w:szCs w:val="21"/>
                <w:highlight w:val="none"/>
                <w:lang w:val="en-US" w:eastAsia="zh-CN" w:bidi="ar-SA"/>
              </w:rPr>
              <w:t>9</w:t>
            </w:r>
            <w:r>
              <w:rPr>
                <w:rFonts w:hint="default" w:ascii="Times New Roman" w:hAnsi="Times New Roman" w:eastAsia="宋体" w:cs="Times New Roman"/>
                <w:b/>
                <w:color w:val="auto"/>
                <w:sz w:val="21"/>
                <w:szCs w:val="21"/>
                <w:highlight w:val="none"/>
                <w:lang w:val="en-US" w:eastAsia="zh-CN" w:bidi="ar-SA"/>
              </w:rPr>
              <w:t>-3 与变更前项目污染物排放变动情况一览表</w:t>
            </w:r>
          </w:p>
          <w:tbl>
            <w:tblPr>
              <w:tblStyle w:val="22"/>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13"/>
              <w:gridCol w:w="1047"/>
              <w:gridCol w:w="1098"/>
              <w:gridCol w:w="1200"/>
              <w:gridCol w:w="1200"/>
              <w:gridCol w:w="1070"/>
              <w:gridCol w:w="1276"/>
            </w:tblGrid>
            <w:tr w14:paraId="0D77CD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8" w:type="pct"/>
                  <w:tcBorders>
                    <w:tl2br w:val="nil"/>
                    <w:tr2bl w:val="nil"/>
                  </w:tcBorders>
                  <w:noWrap w:val="0"/>
                  <w:vAlign w:val="center"/>
                </w:tcPr>
                <w:p w14:paraId="7D424306">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auto"/>
                      <w:sz w:val="21"/>
                      <w:highlight w:val="none"/>
                      <w:lang w:val="en-US" w:eastAsia="zh-CN" w:bidi="ar-SA"/>
                    </w:rPr>
                  </w:pPr>
                  <w:r>
                    <w:rPr>
                      <w:rFonts w:hint="default" w:ascii="Times New Roman" w:hAnsi="Times New Roman" w:eastAsia="宋体" w:cs="Times New Roman"/>
                      <w:color w:val="auto"/>
                      <w:sz w:val="21"/>
                      <w:highlight w:val="none"/>
                      <w:lang w:val="en-US" w:eastAsia="zh-CN" w:bidi="ar-SA"/>
                    </w:rPr>
                    <w:t>污染源</w:t>
                  </w:r>
                </w:p>
              </w:tc>
              <w:tc>
                <w:tcPr>
                  <w:tcW w:w="615" w:type="pct"/>
                  <w:tcBorders>
                    <w:tl2br w:val="nil"/>
                    <w:tr2bl w:val="nil"/>
                  </w:tcBorders>
                  <w:noWrap w:val="0"/>
                  <w:vAlign w:val="center"/>
                </w:tcPr>
                <w:p w14:paraId="0235742F">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auto"/>
                      <w:sz w:val="21"/>
                      <w:highlight w:val="none"/>
                      <w:lang w:val="en-US" w:eastAsia="zh-CN" w:bidi="ar-SA"/>
                    </w:rPr>
                  </w:pPr>
                  <w:r>
                    <w:rPr>
                      <w:rFonts w:hint="default" w:ascii="Times New Roman" w:hAnsi="Times New Roman" w:eastAsia="宋体" w:cs="Times New Roman"/>
                      <w:color w:val="auto"/>
                      <w:sz w:val="21"/>
                      <w:highlight w:val="none"/>
                      <w:lang w:val="en-US" w:eastAsia="zh-CN" w:bidi="ar-SA"/>
                    </w:rPr>
                    <w:t>主要污染物</w:t>
                  </w:r>
                </w:p>
              </w:tc>
              <w:tc>
                <w:tcPr>
                  <w:tcW w:w="645" w:type="pct"/>
                  <w:tcBorders>
                    <w:tl2br w:val="nil"/>
                    <w:tr2bl w:val="nil"/>
                  </w:tcBorders>
                  <w:noWrap w:val="0"/>
                  <w:vAlign w:val="center"/>
                </w:tcPr>
                <w:p w14:paraId="7DAF922A">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auto"/>
                      <w:sz w:val="21"/>
                      <w:highlight w:val="none"/>
                      <w:lang w:val="en-US" w:eastAsia="zh-CN" w:bidi="ar-SA"/>
                    </w:rPr>
                  </w:pPr>
                  <w:r>
                    <w:rPr>
                      <w:rFonts w:hint="default" w:ascii="Times New Roman" w:hAnsi="Times New Roman" w:eastAsia="宋体" w:cs="Times New Roman"/>
                      <w:color w:val="auto"/>
                      <w:sz w:val="21"/>
                      <w:highlight w:val="none"/>
                      <w:lang w:val="en-US" w:eastAsia="zh-CN" w:bidi="ar-SA"/>
                    </w:rPr>
                    <w:t>变更前项目排放量</w:t>
                  </w:r>
                </w:p>
              </w:tc>
              <w:tc>
                <w:tcPr>
                  <w:tcW w:w="705" w:type="pct"/>
                  <w:tcBorders>
                    <w:tl2br w:val="nil"/>
                    <w:tr2bl w:val="nil"/>
                  </w:tcBorders>
                  <w:noWrap w:val="0"/>
                  <w:vAlign w:val="center"/>
                </w:tcPr>
                <w:p w14:paraId="04FB8AF4">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auto"/>
                      <w:sz w:val="21"/>
                      <w:highlight w:val="none"/>
                      <w:lang w:val="en-US" w:eastAsia="zh-CN" w:bidi="ar-SA"/>
                    </w:rPr>
                  </w:pPr>
                  <w:r>
                    <w:rPr>
                      <w:rFonts w:hint="default" w:ascii="Times New Roman" w:hAnsi="Times New Roman" w:eastAsia="宋体" w:cs="Times New Roman"/>
                      <w:color w:val="auto"/>
                      <w:sz w:val="21"/>
                      <w:highlight w:val="none"/>
                      <w:lang w:val="en-US" w:eastAsia="zh-CN" w:bidi="ar-SA"/>
                    </w:rPr>
                    <w:t>本项目排放量</w:t>
                  </w:r>
                </w:p>
              </w:tc>
              <w:tc>
                <w:tcPr>
                  <w:tcW w:w="705" w:type="pct"/>
                  <w:tcBorders>
                    <w:tl2br w:val="nil"/>
                    <w:tr2bl w:val="nil"/>
                  </w:tcBorders>
                  <w:noWrap w:val="0"/>
                  <w:vAlign w:val="center"/>
                </w:tcPr>
                <w:p w14:paraId="7CC3E876">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auto"/>
                      <w:sz w:val="21"/>
                      <w:highlight w:val="none"/>
                      <w:lang w:val="en-US" w:eastAsia="zh-CN" w:bidi="ar-SA"/>
                    </w:rPr>
                  </w:pPr>
                  <w:r>
                    <w:rPr>
                      <w:rFonts w:hint="default" w:ascii="Times New Roman" w:hAnsi="Times New Roman" w:eastAsia="宋体" w:cs="Times New Roman"/>
                      <w:color w:val="auto"/>
                      <w:sz w:val="21"/>
                      <w:highlight w:val="none"/>
                      <w:lang w:val="en-US" w:eastAsia="zh-CN" w:bidi="ar-SA"/>
                    </w:rPr>
                    <w:t>变更前项目许可排放量</w:t>
                  </w:r>
                </w:p>
              </w:tc>
              <w:tc>
                <w:tcPr>
                  <w:tcW w:w="629" w:type="pct"/>
                  <w:tcBorders>
                    <w:tl2br w:val="nil"/>
                    <w:tr2bl w:val="nil"/>
                  </w:tcBorders>
                  <w:noWrap w:val="0"/>
                  <w:vAlign w:val="center"/>
                </w:tcPr>
                <w:p w14:paraId="74BBD79F">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auto"/>
                      <w:sz w:val="21"/>
                      <w:highlight w:val="none"/>
                      <w:lang w:val="en-US" w:eastAsia="zh-CN" w:bidi="ar-SA"/>
                    </w:rPr>
                  </w:pPr>
                  <w:r>
                    <w:rPr>
                      <w:rFonts w:hint="default" w:ascii="Times New Roman" w:hAnsi="Times New Roman" w:eastAsia="宋体" w:cs="Times New Roman"/>
                      <w:color w:val="auto"/>
                      <w:sz w:val="21"/>
                      <w:highlight w:val="none"/>
                      <w:lang w:val="en-US" w:eastAsia="zh-CN" w:bidi="ar-SA"/>
                    </w:rPr>
                    <w:t>重新报批后增减量</w:t>
                  </w:r>
                </w:p>
              </w:tc>
              <w:tc>
                <w:tcPr>
                  <w:tcW w:w="750" w:type="pct"/>
                  <w:tcBorders>
                    <w:tl2br w:val="nil"/>
                    <w:tr2bl w:val="nil"/>
                  </w:tcBorders>
                  <w:noWrap w:val="0"/>
                  <w:vAlign w:val="center"/>
                </w:tcPr>
                <w:p w14:paraId="273FD478">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auto"/>
                      <w:sz w:val="21"/>
                      <w:highlight w:val="none"/>
                      <w:lang w:val="en-US" w:eastAsia="zh-CN" w:bidi="ar-SA"/>
                    </w:rPr>
                  </w:pPr>
                  <w:r>
                    <w:rPr>
                      <w:rFonts w:hint="default" w:ascii="Times New Roman" w:hAnsi="Times New Roman" w:eastAsia="宋体" w:cs="Times New Roman"/>
                      <w:color w:val="auto"/>
                      <w:sz w:val="21"/>
                      <w:highlight w:val="none"/>
                      <w:lang w:val="en-US" w:eastAsia="zh-CN" w:bidi="ar-SA"/>
                    </w:rPr>
                    <w:t>重新报批后全厂污染物总排放量</w:t>
                  </w:r>
                </w:p>
              </w:tc>
            </w:tr>
            <w:tr w14:paraId="03282F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948" w:type="pct"/>
                  <w:vMerge w:val="restart"/>
                  <w:tcBorders>
                    <w:tl2br w:val="nil"/>
                    <w:tr2bl w:val="nil"/>
                  </w:tcBorders>
                  <w:noWrap w:val="0"/>
                  <w:vAlign w:val="center"/>
                </w:tcPr>
                <w:p w14:paraId="6B75E729">
                  <w:pPr>
                    <w:widowControl w:val="0"/>
                    <w:overflowPunct w:val="0"/>
                    <w:autoSpaceDE w:val="0"/>
                    <w:autoSpaceDN w:val="0"/>
                    <w:adjustRightInd w:val="0"/>
                    <w:snapToGrid w:val="0"/>
                    <w:spacing w:before="0" w:beforeLines="0" w:after="0" w:afterLines="0" w:line="240" w:lineRule="auto"/>
                    <w:ind w:left="0" w:leftChars="0" w:right="0" w:rightChars="0" w:firstLine="0" w:firstLineChars="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snapToGrid w:val="0"/>
                      <w:color w:val="auto"/>
                      <w:kern w:val="21"/>
                      <w:sz w:val="21"/>
                      <w:szCs w:val="21"/>
                      <w:highlight w:val="none"/>
                      <w:lang w:val="en-US" w:eastAsia="zh-CN" w:bidi="ar-SA"/>
                    </w:rPr>
                    <w:t>废气</w:t>
                  </w:r>
                </w:p>
              </w:tc>
              <w:tc>
                <w:tcPr>
                  <w:tcW w:w="615" w:type="pct"/>
                  <w:tcBorders>
                    <w:tl2br w:val="nil"/>
                    <w:tr2bl w:val="nil"/>
                  </w:tcBorders>
                  <w:noWrap w:val="0"/>
                  <w:vAlign w:val="center"/>
                </w:tcPr>
                <w:p w14:paraId="0C67E6AD">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有组织颗粒物（t/a）</w:t>
                  </w:r>
                </w:p>
              </w:tc>
              <w:tc>
                <w:tcPr>
                  <w:tcW w:w="645" w:type="pct"/>
                  <w:tcBorders>
                    <w:tl2br w:val="nil"/>
                    <w:tr2bl w:val="nil"/>
                  </w:tcBorders>
                  <w:noWrap w:val="0"/>
                  <w:vAlign w:val="center"/>
                </w:tcPr>
                <w:p w14:paraId="6AFAAA99">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lang w:val="en-US" w:eastAsia="zh-CN"/>
                    </w:rPr>
                    <w:t>0.067</w:t>
                  </w:r>
                </w:p>
              </w:tc>
              <w:tc>
                <w:tcPr>
                  <w:tcW w:w="705" w:type="pct"/>
                  <w:tcBorders>
                    <w:tl2br w:val="nil"/>
                    <w:tr2bl w:val="nil"/>
                  </w:tcBorders>
                  <w:noWrap w:val="0"/>
                  <w:vAlign w:val="center"/>
                </w:tcPr>
                <w:p w14:paraId="12B5EA04">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highlight w:val="none"/>
                      <w:u w:val="none"/>
                      <w:lang w:val="en-US" w:eastAsia="zh-CN" w:bidi="ar"/>
                    </w:rPr>
                    <w:t>0.1332</w:t>
                  </w:r>
                </w:p>
              </w:tc>
              <w:tc>
                <w:tcPr>
                  <w:tcW w:w="705" w:type="pct"/>
                  <w:tcBorders>
                    <w:tl2br w:val="nil"/>
                    <w:tr2bl w:val="nil"/>
                  </w:tcBorders>
                  <w:noWrap w:val="0"/>
                  <w:vAlign w:val="center"/>
                </w:tcPr>
                <w:p w14:paraId="4CE0A3E7">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629" w:type="pct"/>
                  <w:tcBorders>
                    <w:tl2br w:val="nil"/>
                    <w:tr2bl w:val="nil"/>
                  </w:tcBorders>
                  <w:noWrap w:val="0"/>
                  <w:vAlign w:val="center"/>
                </w:tcPr>
                <w:p w14:paraId="27F03A26">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w:t>
                  </w:r>
                  <w:r>
                    <w:rPr>
                      <w:rFonts w:hint="eastAsia" w:cs="Times New Roman"/>
                      <w:i w:val="0"/>
                      <w:iCs w:val="0"/>
                      <w:color w:val="auto"/>
                      <w:kern w:val="0"/>
                      <w:sz w:val="21"/>
                      <w:szCs w:val="21"/>
                      <w:u w:val="none"/>
                      <w:lang w:val="en-US" w:eastAsia="zh-CN" w:bidi="ar"/>
                    </w:rPr>
                    <w:t>662</w:t>
                  </w:r>
                </w:p>
              </w:tc>
              <w:tc>
                <w:tcPr>
                  <w:tcW w:w="1276" w:type="dxa"/>
                  <w:tcBorders>
                    <w:tl2br w:val="nil"/>
                    <w:tr2bl w:val="nil"/>
                  </w:tcBorders>
                  <w:noWrap w:val="0"/>
                  <w:vAlign w:val="center"/>
                </w:tcPr>
                <w:p w14:paraId="3184467A">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highlight w:val="none"/>
                      <w:u w:val="none"/>
                      <w:lang w:val="en-US" w:eastAsia="zh-CN" w:bidi="ar"/>
                    </w:rPr>
                    <w:t>0.1332</w:t>
                  </w:r>
                </w:p>
              </w:tc>
            </w:tr>
            <w:tr w14:paraId="30D7F7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48" w:type="pct"/>
                  <w:vMerge w:val="continue"/>
                  <w:tcBorders>
                    <w:tl2br w:val="nil"/>
                    <w:tr2bl w:val="nil"/>
                  </w:tcBorders>
                  <w:noWrap w:val="0"/>
                  <w:vAlign w:val="center"/>
                </w:tcPr>
                <w:p w14:paraId="40D55FB8">
                  <w:pPr>
                    <w:widowControl w:val="0"/>
                    <w:overflowPunct w:val="0"/>
                    <w:autoSpaceDE w:val="0"/>
                    <w:autoSpaceDN w:val="0"/>
                    <w:adjustRightInd w:val="0"/>
                    <w:snapToGrid w:val="0"/>
                    <w:spacing w:before="0" w:beforeLines="0" w:after="0" w:afterLines="0" w:line="240" w:lineRule="auto"/>
                    <w:ind w:left="0" w:leftChars="0" w:right="0" w:rightChars="0" w:firstLine="0" w:firstLineChars="0"/>
                    <w:jc w:val="center"/>
                    <w:rPr>
                      <w:rFonts w:hint="default" w:ascii="Times New Roman" w:hAnsi="Times New Roman" w:eastAsia="宋体" w:cs="Times New Roman"/>
                      <w:color w:val="auto"/>
                    </w:rPr>
                  </w:pPr>
                </w:p>
              </w:tc>
              <w:tc>
                <w:tcPr>
                  <w:tcW w:w="615" w:type="pct"/>
                  <w:tcBorders>
                    <w:tl2br w:val="nil"/>
                    <w:tr2bl w:val="nil"/>
                  </w:tcBorders>
                  <w:noWrap w:val="0"/>
                  <w:vAlign w:val="center"/>
                </w:tcPr>
                <w:p w14:paraId="200351B2">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氨（t/a）</w:t>
                  </w:r>
                </w:p>
              </w:tc>
              <w:tc>
                <w:tcPr>
                  <w:tcW w:w="645" w:type="pct"/>
                  <w:tcBorders>
                    <w:tl2br w:val="nil"/>
                    <w:tr2bl w:val="nil"/>
                  </w:tcBorders>
                  <w:noWrap w:val="0"/>
                  <w:vAlign w:val="center"/>
                </w:tcPr>
                <w:p w14:paraId="602C8DB1">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snapToGrid w:val="0"/>
                      <w:color w:val="auto"/>
                      <w:kern w:val="0"/>
                      <w:sz w:val="21"/>
                      <w:szCs w:val="21"/>
                      <w:vertAlign w:val="baseline"/>
                      <w:lang w:val="en-US" w:eastAsia="zh-CN" w:bidi="ar-SA"/>
                    </w:rPr>
                    <w:t>0.083</w:t>
                  </w:r>
                </w:p>
              </w:tc>
              <w:tc>
                <w:tcPr>
                  <w:tcW w:w="705" w:type="pct"/>
                  <w:tcBorders>
                    <w:tl2br w:val="nil"/>
                    <w:tr2bl w:val="nil"/>
                  </w:tcBorders>
                  <w:noWrap w:val="0"/>
                  <w:vAlign w:val="center"/>
                </w:tcPr>
                <w:p w14:paraId="5D412536">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sz w:val="21"/>
                      <w:szCs w:val="21"/>
                      <w:u w:val="none"/>
                      <w:lang w:val="en-US" w:eastAsia="zh-CN" w:bidi="ar-SA"/>
                    </w:rPr>
                    <w:t>0.0216</w:t>
                  </w:r>
                </w:p>
              </w:tc>
              <w:tc>
                <w:tcPr>
                  <w:tcW w:w="705" w:type="pct"/>
                  <w:tcBorders>
                    <w:tl2br w:val="nil"/>
                    <w:tr2bl w:val="nil"/>
                  </w:tcBorders>
                  <w:noWrap w:val="0"/>
                  <w:vAlign w:val="center"/>
                </w:tcPr>
                <w:p w14:paraId="2B115D8D">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629" w:type="pct"/>
                  <w:tcBorders>
                    <w:tl2br w:val="nil"/>
                    <w:tr2bl w:val="nil"/>
                  </w:tcBorders>
                  <w:noWrap w:val="0"/>
                  <w:vAlign w:val="center"/>
                </w:tcPr>
                <w:p w14:paraId="7AACF5C8">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-0.0614</w:t>
                  </w:r>
                </w:p>
              </w:tc>
              <w:tc>
                <w:tcPr>
                  <w:tcW w:w="1276" w:type="dxa"/>
                  <w:tcBorders>
                    <w:tl2br w:val="nil"/>
                    <w:tr2bl w:val="nil"/>
                  </w:tcBorders>
                  <w:noWrap w:val="0"/>
                  <w:vAlign w:val="center"/>
                </w:tcPr>
                <w:p w14:paraId="11234BC3">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sz w:val="21"/>
                      <w:szCs w:val="21"/>
                      <w:u w:val="none"/>
                      <w:lang w:val="en-US" w:eastAsia="zh-CN" w:bidi="ar-SA"/>
                    </w:rPr>
                    <w:t>0.0216</w:t>
                  </w:r>
                </w:p>
              </w:tc>
            </w:tr>
            <w:tr w14:paraId="4F4443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48" w:type="pct"/>
                  <w:vMerge w:val="continue"/>
                  <w:tcBorders>
                    <w:tl2br w:val="nil"/>
                    <w:tr2bl w:val="nil"/>
                  </w:tcBorders>
                  <w:noWrap w:val="0"/>
                  <w:vAlign w:val="center"/>
                </w:tcPr>
                <w:p w14:paraId="4EC5548B">
                  <w:pPr>
                    <w:widowControl w:val="0"/>
                    <w:overflowPunct w:val="0"/>
                    <w:autoSpaceDE w:val="0"/>
                    <w:autoSpaceDN w:val="0"/>
                    <w:adjustRightInd w:val="0"/>
                    <w:snapToGrid w:val="0"/>
                    <w:spacing w:before="0" w:beforeLines="0" w:after="0" w:afterLines="0" w:line="240" w:lineRule="auto"/>
                    <w:ind w:left="0" w:leftChars="0" w:right="0" w:rightChars="0" w:firstLine="0" w:firstLineChars="0"/>
                    <w:jc w:val="center"/>
                    <w:rPr>
                      <w:rFonts w:hint="default" w:ascii="Times New Roman" w:hAnsi="Times New Roman" w:eastAsia="宋体" w:cs="Times New Roman"/>
                      <w:color w:val="auto"/>
                    </w:rPr>
                  </w:pPr>
                </w:p>
              </w:tc>
              <w:tc>
                <w:tcPr>
                  <w:tcW w:w="615" w:type="pct"/>
                  <w:tcBorders>
                    <w:tl2br w:val="nil"/>
                    <w:tr2bl w:val="nil"/>
                  </w:tcBorders>
                  <w:noWrap w:val="0"/>
                  <w:vAlign w:val="center"/>
                </w:tcPr>
                <w:p w14:paraId="78856B6A">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硫化氢（t/a）</w:t>
                  </w:r>
                </w:p>
              </w:tc>
              <w:tc>
                <w:tcPr>
                  <w:tcW w:w="645" w:type="pct"/>
                  <w:tcBorders>
                    <w:tl2br w:val="nil"/>
                    <w:tr2bl w:val="nil"/>
                  </w:tcBorders>
                  <w:noWrap w:val="0"/>
                  <w:vAlign w:val="center"/>
                </w:tcPr>
                <w:p w14:paraId="344A97AF">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snapToGrid w:val="0"/>
                      <w:color w:val="auto"/>
                      <w:kern w:val="0"/>
                      <w:sz w:val="21"/>
                      <w:szCs w:val="21"/>
                      <w:vertAlign w:val="baseline"/>
                      <w:lang w:val="en-US" w:eastAsia="zh-CN" w:bidi="ar-SA"/>
                    </w:rPr>
                    <w:t>0.033</w:t>
                  </w:r>
                </w:p>
              </w:tc>
              <w:tc>
                <w:tcPr>
                  <w:tcW w:w="705" w:type="pct"/>
                  <w:tcBorders>
                    <w:tl2br w:val="nil"/>
                    <w:tr2bl w:val="nil"/>
                  </w:tcBorders>
                  <w:noWrap w:val="0"/>
                  <w:vAlign w:val="center"/>
                </w:tcPr>
                <w:p w14:paraId="12C6C565">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0.0116</w:t>
                  </w:r>
                </w:p>
              </w:tc>
              <w:tc>
                <w:tcPr>
                  <w:tcW w:w="705" w:type="pct"/>
                  <w:tcBorders>
                    <w:tl2br w:val="nil"/>
                    <w:tr2bl w:val="nil"/>
                  </w:tcBorders>
                  <w:noWrap w:val="0"/>
                  <w:vAlign w:val="center"/>
                </w:tcPr>
                <w:p w14:paraId="67F4A851">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629" w:type="pct"/>
                  <w:tcBorders>
                    <w:tl2br w:val="nil"/>
                    <w:tr2bl w:val="nil"/>
                  </w:tcBorders>
                  <w:noWrap w:val="0"/>
                  <w:vAlign w:val="center"/>
                </w:tcPr>
                <w:p w14:paraId="1F1B987E">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-0.0214</w:t>
                  </w:r>
                </w:p>
              </w:tc>
              <w:tc>
                <w:tcPr>
                  <w:tcW w:w="1276" w:type="dxa"/>
                  <w:tcBorders>
                    <w:tl2br w:val="nil"/>
                    <w:tr2bl w:val="nil"/>
                  </w:tcBorders>
                  <w:noWrap w:val="0"/>
                  <w:vAlign w:val="center"/>
                </w:tcPr>
                <w:p w14:paraId="55870706">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0.0116</w:t>
                  </w:r>
                </w:p>
              </w:tc>
            </w:tr>
            <w:tr w14:paraId="308C9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48" w:type="pct"/>
                  <w:vMerge w:val="restart"/>
                  <w:tcBorders>
                    <w:tl2br w:val="nil"/>
                    <w:tr2bl w:val="nil"/>
                  </w:tcBorders>
                  <w:noWrap w:val="0"/>
                  <w:vAlign w:val="center"/>
                </w:tcPr>
                <w:p w14:paraId="22EF1F32">
                  <w:pPr>
                    <w:widowControl w:val="0"/>
                    <w:overflowPunct w:val="0"/>
                    <w:autoSpaceDE w:val="0"/>
                    <w:autoSpaceDN w:val="0"/>
                    <w:adjustRightInd w:val="0"/>
                    <w:snapToGrid w:val="0"/>
                    <w:spacing w:before="0" w:beforeLines="0" w:after="0" w:afterLines="0" w:line="240" w:lineRule="auto"/>
                    <w:ind w:left="0" w:leftChars="0" w:right="0" w:rightChars="0" w:firstLine="0" w:firstLineChars="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snapToGrid w:val="0"/>
                      <w:color w:val="auto"/>
                      <w:kern w:val="21"/>
                      <w:sz w:val="21"/>
                      <w:szCs w:val="21"/>
                      <w:highlight w:val="none"/>
                      <w:lang w:val="en-US" w:eastAsia="zh-CN" w:bidi="ar-SA"/>
                    </w:rPr>
                    <w:t>工业固体废物</w:t>
                  </w:r>
                </w:p>
              </w:tc>
              <w:tc>
                <w:tcPr>
                  <w:tcW w:w="615" w:type="pct"/>
                  <w:tcBorders>
                    <w:tl2br w:val="nil"/>
                    <w:tr2bl w:val="nil"/>
                  </w:tcBorders>
                  <w:noWrap w:val="0"/>
                  <w:vAlign w:val="center"/>
                </w:tcPr>
                <w:p w14:paraId="5CF960D9">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除尘灰（t/a）</w:t>
                  </w:r>
                </w:p>
              </w:tc>
              <w:tc>
                <w:tcPr>
                  <w:tcW w:w="645" w:type="pct"/>
                  <w:tcBorders>
                    <w:tl2br w:val="nil"/>
                    <w:tr2bl w:val="nil"/>
                  </w:tcBorders>
                  <w:noWrap w:val="0"/>
                  <w:vAlign w:val="center"/>
                </w:tcPr>
                <w:p w14:paraId="42E140DC">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w:t>
                  </w:r>
                </w:p>
              </w:tc>
              <w:tc>
                <w:tcPr>
                  <w:tcW w:w="705" w:type="pct"/>
                  <w:tcBorders>
                    <w:tl2br w:val="nil"/>
                    <w:tr2bl w:val="nil"/>
                  </w:tcBorders>
                  <w:noWrap w:val="0"/>
                  <w:vAlign w:val="center"/>
                </w:tcPr>
                <w:p w14:paraId="355F3B57">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200" w:type="dxa"/>
                  <w:tcBorders>
                    <w:tl2br w:val="nil"/>
                    <w:tr2bl w:val="nil"/>
                  </w:tcBorders>
                  <w:noWrap w:val="0"/>
                  <w:vAlign w:val="center"/>
                </w:tcPr>
                <w:p w14:paraId="59B99329">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629" w:type="pct"/>
                  <w:tcBorders>
                    <w:tl2br w:val="nil"/>
                    <w:tr2bl w:val="nil"/>
                  </w:tcBorders>
                  <w:noWrap w:val="0"/>
                  <w:vAlign w:val="center"/>
                </w:tcPr>
                <w:p w14:paraId="01497DD0">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w:t>
                  </w:r>
                </w:p>
              </w:tc>
              <w:tc>
                <w:tcPr>
                  <w:tcW w:w="750" w:type="pct"/>
                  <w:tcBorders>
                    <w:tl2br w:val="nil"/>
                    <w:tr2bl w:val="nil"/>
                  </w:tcBorders>
                  <w:noWrap w:val="0"/>
                  <w:vAlign w:val="center"/>
                </w:tcPr>
                <w:p w14:paraId="35E144C6">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w:t>
                  </w:r>
                </w:p>
              </w:tc>
            </w:tr>
            <w:tr w14:paraId="1545B5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48" w:type="pct"/>
                  <w:vMerge w:val="continue"/>
                  <w:tcBorders>
                    <w:tl2br w:val="nil"/>
                    <w:tr2bl w:val="nil"/>
                  </w:tcBorders>
                  <w:noWrap w:val="0"/>
                  <w:vAlign w:val="center"/>
                </w:tcPr>
                <w:p w14:paraId="243DC6A2">
                  <w:pPr>
                    <w:widowControl w:val="0"/>
                    <w:overflowPunct w:val="0"/>
                    <w:autoSpaceDE w:val="0"/>
                    <w:autoSpaceDN w:val="0"/>
                    <w:adjustRightInd w:val="0"/>
                    <w:snapToGrid w:val="0"/>
                    <w:spacing w:before="0" w:beforeLines="0" w:after="0" w:afterLines="0" w:line="240" w:lineRule="auto"/>
                    <w:ind w:left="0" w:leftChars="0" w:right="0" w:rightChars="0" w:firstLine="0" w:firstLineChars="0"/>
                    <w:jc w:val="center"/>
                    <w:rPr>
                      <w:rFonts w:hint="default" w:ascii="Times New Roman" w:hAnsi="Times New Roman" w:eastAsia="宋体" w:cs="Times New Roman"/>
                      <w:snapToGrid w:val="0"/>
                      <w:color w:val="auto"/>
                      <w:kern w:val="21"/>
                      <w:sz w:val="21"/>
                      <w:szCs w:val="21"/>
                      <w:highlight w:val="none"/>
                      <w:lang w:val="en-US" w:eastAsia="zh-CN" w:bidi="ar-SA"/>
                    </w:rPr>
                  </w:pPr>
                </w:p>
              </w:tc>
              <w:tc>
                <w:tcPr>
                  <w:tcW w:w="615" w:type="pct"/>
                  <w:tcBorders>
                    <w:tl2br w:val="nil"/>
                    <w:tr2bl w:val="nil"/>
                  </w:tcBorders>
                  <w:noWrap w:val="0"/>
                  <w:vAlign w:val="center"/>
                </w:tcPr>
                <w:p w14:paraId="3CB86F34">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污泥（t/a）</w:t>
                  </w:r>
                </w:p>
              </w:tc>
              <w:tc>
                <w:tcPr>
                  <w:tcW w:w="645" w:type="pct"/>
                  <w:tcBorders>
                    <w:tl2br w:val="nil"/>
                    <w:tr2bl w:val="nil"/>
                  </w:tcBorders>
                  <w:noWrap w:val="0"/>
                  <w:vAlign w:val="center"/>
                </w:tcPr>
                <w:p w14:paraId="1BFE06E3">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w:t>
                  </w:r>
                </w:p>
              </w:tc>
              <w:tc>
                <w:tcPr>
                  <w:tcW w:w="705" w:type="pct"/>
                  <w:tcBorders>
                    <w:tl2br w:val="nil"/>
                    <w:tr2bl w:val="nil"/>
                  </w:tcBorders>
                  <w:noWrap w:val="0"/>
                  <w:vAlign w:val="center"/>
                </w:tcPr>
                <w:p w14:paraId="4BAA681C">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1200" w:type="dxa"/>
                  <w:tcBorders>
                    <w:tl2br w:val="nil"/>
                    <w:tr2bl w:val="nil"/>
                  </w:tcBorders>
                  <w:noWrap w:val="0"/>
                  <w:vAlign w:val="center"/>
                </w:tcPr>
                <w:p w14:paraId="70EC16EE">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w:t>
                  </w:r>
                </w:p>
              </w:tc>
              <w:tc>
                <w:tcPr>
                  <w:tcW w:w="629" w:type="pct"/>
                  <w:tcBorders>
                    <w:tl2br w:val="nil"/>
                    <w:tr2bl w:val="nil"/>
                  </w:tcBorders>
                  <w:noWrap w:val="0"/>
                  <w:vAlign w:val="center"/>
                </w:tcPr>
                <w:p w14:paraId="0019C7C3">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w:t>
                  </w:r>
                </w:p>
              </w:tc>
              <w:tc>
                <w:tcPr>
                  <w:tcW w:w="750" w:type="pct"/>
                  <w:tcBorders>
                    <w:tl2br w:val="nil"/>
                    <w:tr2bl w:val="nil"/>
                  </w:tcBorders>
                  <w:noWrap w:val="0"/>
                  <w:vAlign w:val="center"/>
                </w:tcPr>
                <w:p w14:paraId="245502BF">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w:t>
                  </w:r>
                </w:p>
              </w:tc>
            </w:tr>
          </w:tbl>
          <w:p w14:paraId="5B54A32F">
            <w:pPr>
              <w:widowControl w:val="0"/>
              <w:autoSpaceDE w:val="0"/>
              <w:autoSpaceDN w:val="0"/>
              <w:spacing w:line="360" w:lineRule="auto"/>
              <w:ind w:firstLine="480" w:firstLineChars="200"/>
              <w:jc w:val="both"/>
              <w:rPr>
                <w:rFonts w:hint="default" w:ascii="Times New Roman" w:hAnsi="Times New Roman" w:eastAsia="宋体" w:cs="Times New Roman"/>
                <w:bCs/>
                <w:color w:val="auto"/>
                <w:kern w:val="0"/>
                <w:sz w:val="24"/>
                <w:szCs w:val="24"/>
                <w:lang w:val="en-US" w:eastAsia="zh-Hans" w:bidi="ar-SA"/>
              </w:rPr>
            </w:pPr>
            <w:r>
              <w:rPr>
                <w:rFonts w:hint="default" w:ascii="Times New Roman" w:hAnsi="Times New Roman" w:eastAsia="宋体" w:cs="Times New Roman"/>
                <w:bCs/>
                <w:color w:val="auto"/>
                <w:kern w:val="0"/>
                <w:sz w:val="24"/>
                <w:szCs w:val="24"/>
                <w:lang w:val="en-US" w:eastAsia="zh-CN" w:bidi="ar-SA"/>
              </w:rPr>
              <w:t>（5）与本项目有关的原有环境污染问题以及解决方案</w:t>
            </w:r>
          </w:p>
          <w:p w14:paraId="487626EE">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right="0" w:firstLine="480" w:firstLineChars="200"/>
              <w:jc w:val="both"/>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根据现场调查结果</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项目未投产运行，施工期</w:t>
            </w:r>
            <w:r>
              <w:rPr>
                <w:rFonts w:hint="default" w:ascii="Times New Roman" w:hAnsi="Times New Roman" w:eastAsia="宋体" w:cs="Times New Roman"/>
                <w:bCs/>
                <w:color w:val="auto"/>
                <w:kern w:val="0"/>
                <w:sz w:val="24"/>
                <w:szCs w:val="24"/>
                <w:lang w:val="en-US" w:eastAsia="zh-CN" w:bidi="ar-SA"/>
              </w:rPr>
              <w:t>至今不存在环保督察和整改要求，未收到投诉</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本项目</w:t>
            </w:r>
            <w:r>
              <w:rPr>
                <w:rFonts w:hint="default" w:ascii="Times New Roman" w:hAnsi="Times New Roman" w:eastAsia="宋体" w:cs="Times New Roman"/>
                <w:color w:val="auto"/>
              </w:rPr>
              <w:t>主要存在以下问题：</w:t>
            </w:r>
          </w:p>
          <w:p w14:paraId="01006BB3">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0" w:after="0" w:line="480" w:lineRule="exact"/>
              <w:ind w:leftChars="200" w:right="0" w:rightChars="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①建设单位出现重大变动，未通过环保竣工验收。</w:t>
            </w:r>
          </w:p>
          <w:p w14:paraId="0FD16FBE">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0" w:after="0" w:line="480" w:lineRule="exact"/>
              <w:ind w:right="0" w:rightChars="0" w:firstLine="480" w:firstLineChars="20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②生产线环保设施不全，目前仅建设完成一般防渗区、简单防渗区防渗措施。</w:t>
            </w:r>
          </w:p>
          <w:p w14:paraId="5D4CBCEF">
            <w:pPr>
              <w:keepNext w:val="0"/>
              <w:keepLines w:val="0"/>
              <w:pageBreakBefore w:val="0"/>
              <w:widowControl w:val="0"/>
              <w:kinsoku/>
              <w:wordWrap/>
              <w:topLinePunct w:val="0"/>
              <w:bidi w:val="0"/>
              <w:spacing w:line="480" w:lineRule="exact"/>
              <w:ind w:firstLine="480"/>
              <w:textAlignment w:val="auto"/>
              <w:rPr>
                <w:rFonts w:hint="default" w:ascii="Times New Roman" w:hAnsi="Times New Roman" w:eastAsia="宋体" w:cs="Times New Roman"/>
                <w:color w:val="auto"/>
                <w:szCs w:val="28"/>
                <w:highlight w:val="none"/>
                <w:lang w:val="en-US" w:eastAsia="zh-CN"/>
              </w:rPr>
            </w:pPr>
            <w:r>
              <w:rPr>
                <w:rFonts w:hint="default" w:ascii="Times New Roman" w:hAnsi="Times New Roman" w:eastAsia="宋体" w:cs="Times New Roman"/>
                <w:color w:val="auto"/>
                <w:lang w:val="en-US" w:eastAsia="zh-CN"/>
              </w:rPr>
              <w:t>③</w:t>
            </w:r>
            <w:r>
              <w:rPr>
                <w:rFonts w:hint="default" w:ascii="Times New Roman" w:hAnsi="Times New Roman" w:eastAsia="宋体" w:cs="Times New Roman"/>
                <w:color w:val="auto"/>
                <w:szCs w:val="28"/>
                <w:highlight w:val="none"/>
                <w:lang w:val="en-US" w:eastAsia="zh-CN"/>
              </w:rPr>
              <w:t>厂区内未按照《环境保护图形标志—排放口（源）》（GB15562.1-1995）</w:t>
            </w:r>
          </w:p>
          <w:p w14:paraId="0CCD56E0">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0" w:after="0" w:line="360" w:lineRule="auto"/>
              <w:ind w:leftChars="200" w:right="0" w:rightChars="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解决方案：</w:t>
            </w:r>
          </w:p>
          <w:p w14:paraId="348C0636">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0" w:after="0" w:line="360" w:lineRule="auto"/>
              <w:ind w:right="0" w:rightChars="0" w:firstLine="480" w:firstLineChars="20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①建议本项目取得批复后，尽快填报排污许可，进行建设项目竣工环境保护验收以及编制突发环境事件应急预案并报昌吉回族自治州</w:t>
            </w:r>
            <w:r>
              <w:rPr>
                <w:rFonts w:hint="default" w:ascii="Times New Roman" w:hAnsi="Times New Roman" w:eastAsia="宋体" w:cs="Times New Roman"/>
                <w:bCs/>
                <w:color w:val="auto"/>
                <w:kern w:val="0"/>
                <w:sz w:val="24"/>
                <w:szCs w:val="24"/>
                <w:lang w:val="en-US" w:eastAsia="zh-CN" w:bidi="ar-SA"/>
              </w:rPr>
              <w:t>生态环境局玛纳斯县分局</w:t>
            </w:r>
            <w:r>
              <w:rPr>
                <w:rFonts w:hint="default" w:ascii="Times New Roman" w:hAnsi="Times New Roman" w:eastAsia="宋体" w:cs="Times New Roman"/>
                <w:color w:val="auto"/>
                <w:lang w:val="en-US" w:eastAsia="zh-CN"/>
              </w:rPr>
              <w:t>备案；</w:t>
            </w:r>
          </w:p>
          <w:p w14:paraId="509AEE77">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0" w:after="0" w:line="360" w:lineRule="auto"/>
              <w:ind w:right="0" w:rightChars="0" w:firstLine="480" w:firstLineChars="200"/>
              <w:jc w:val="both"/>
              <w:textAlignment w:val="auto"/>
              <w:rPr>
                <w:rFonts w:hint="default" w:ascii="Times New Roman" w:hAnsi="Times New Roman" w:eastAsia="宋体" w:cs="Times New Roman"/>
                <w:color w:val="auto"/>
                <w:kern w:val="2"/>
                <w:sz w:val="24"/>
                <w:szCs w:val="20"/>
                <w:highlight w:val="yellow"/>
                <w:lang w:val="en-US" w:eastAsia="zh-CN"/>
              </w:rPr>
            </w:pPr>
            <w:r>
              <w:rPr>
                <w:rFonts w:hint="default" w:ascii="Times New Roman" w:hAnsi="Times New Roman" w:eastAsia="宋体" w:cs="Times New Roman"/>
                <w:color w:val="auto"/>
                <w:kern w:val="2"/>
                <w:sz w:val="24"/>
                <w:szCs w:val="20"/>
                <w:highlight w:val="none"/>
                <w:lang w:val="en-US" w:eastAsia="zh-CN"/>
              </w:rPr>
              <w:t>②目前</w:t>
            </w:r>
            <w:r>
              <w:rPr>
                <w:rFonts w:hint="default" w:ascii="Times New Roman" w:hAnsi="Times New Roman" w:eastAsia="宋体" w:cs="Times New Roman"/>
                <w:color w:val="auto"/>
                <w:sz w:val="24"/>
                <w:szCs w:val="24"/>
                <w:highlight w:val="none"/>
                <w:lang w:val="en-US" w:eastAsia="zh-CN" w:bidi="ar-SA"/>
              </w:rPr>
              <w:t>仅建设完成</w:t>
            </w:r>
            <w:r>
              <w:rPr>
                <w:rFonts w:hint="default" w:ascii="Times New Roman" w:hAnsi="Times New Roman" w:eastAsia="宋体" w:cs="Times New Roman"/>
                <w:color w:val="auto"/>
                <w:kern w:val="2"/>
                <w:sz w:val="24"/>
                <w:szCs w:val="20"/>
                <w:highlight w:val="none"/>
                <w:lang w:val="en-US" w:eastAsia="zh-CN"/>
              </w:rPr>
              <w:t>25cm厚P4等级混凝土，发酵槽、半成品区需补充建设2mm厚高密度聚乙烯膜（HDPE）+水泥地面，防渗方案25cm厚P4等级混凝土+2mm厚高密度聚乙烯膜（HDPE）+水泥地面，设计满足《环境影响评价技术导则 地下水环境》（HJ 610-2016）要求：等效黏土防渗层Mb≥6.0m，K≤1×10</w:t>
            </w:r>
            <w:r>
              <w:rPr>
                <w:rFonts w:hint="default" w:ascii="Times New Roman" w:hAnsi="Times New Roman" w:eastAsia="宋体" w:cs="Times New Roman"/>
                <w:color w:val="auto"/>
                <w:kern w:val="2"/>
                <w:sz w:val="24"/>
                <w:szCs w:val="20"/>
                <w:highlight w:val="none"/>
                <w:vertAlign w:val="superscript"/>
                <w:lang w:val="en-US" w:eastAsia="zh-CN"/>
              </w:rPr>
              <w:t>-7</w:t>
            </w:r>
            <w:r>
              <w:rPr>
                <w:rFonts w:hint="default" w:ascii="Times New Roman" w:hAnsi="Times New Roman" w:eastAsia="宋体" w:cs="Times New Roman"/>
                <w:color w:val="auto"/>
                <w:kern w:val="2"/>
                <w:sz w:val="24"/>
                <w:szCs w:val="20"/>
                <w:highlight w:val="none"/>
                <w:lang w:val="en-US" w:eastAsia="zh-CN"/>
              </w:rPr>
              <w:t>cm/s。</w:t>
            </w:r>
          </w:p>
          <w:p w14:paraId="0AA71540">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0" w:after="0" w:line="360" w:lineRule="auto"/>
              <w:ind w:right="0" w:rightChars="0" w:firstLine="480" w:firstLineChars="200"/>
              <w:jc w:val="both"/>
              <w:textAlignment w:val="auto"/>
              <w:rPr>
                <w:rFonts w:hint="default" w:ascii="Times New Roman" w:hAnsi="Times New Roman" w:eastAsia="宋体" w:cs="Times New Roman"/>
                <w:color w:val="auto"/>
                <w:highlight w:val="yellow"/>
                <w:lang w:val="en-US" w:eastAsia="zh-CN"/>
              </w:rPr>
            </w:pPr>
            <w:r>
              <w:rPr>
                <w:rFonts w:hint="default" w:ascii="Times New Roman" w:hAnsi="Times New Roman" w:eastAsia="宋体" w:cs="Times New Roman"/>
                <w:color w:val="auto"/>
                <w:kern w:val="2"/>
                <w:sz w:val="24"/>
                <w:szCs w:val="20"/>
                <w:highlight w:val="none"/>
                <w:lang w:val="en-US" w:eastAsia="zh-CN"/>
              </w:rPr>
              <w:t>③按照</w:t>
            </w:r>
            <w:r>
              <w:rPr>
                <w:rFonts w:hint="default" w:ascii="Times New Roman" w:hAnsi="Times New Roman" w:eastAsia="宋体" w:cs="Times New Roman"/>
                <w:color w:val="auto"/>
                <w:sz w:val="24"/>
              </w:rPr>
              <w:t>《排污口规范化整治技术要求（试行）》（环监</w:t>
            </w:r>
            <w:r>
              <w:rPr>
                <w:rFonts w:hint="default"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rPr>
              <w:t>1996</w:t>
            </w:r>
            <w:r>
              <w:rPr>
                <w:rFonts w:hint="default"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rPr>
              <w:t>470号）、《环境保护图形标志</w:t>
            </w:r>
            <w:r>
              <w:rPr>
                <w:rFonts w:hint="default"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rPr>
              <w:t>排放口（源）》（GB15562.1-1995）</w:t>
            </w:r>
            <w:r>
              <w:rPr>
                <w:rFonts w:hint="default" w:ascii="Times New Roman" w:hAnsi="Times New Roman" w:eastAsia="宋体" w:cs="Times New Roman"/>
                <w:color w:val="auto"/>
                <w:sz w:val="24"/>
                <w:lang w:val="en-US" w:eastAsia="zh-CN"/>
              </w:rPr>
              <w:t>落实排污口规范化，做到各气、水、固废排污口（源）环保标志明显，便于企业管理和公众监督</w:t>
            </w:r>
            <w:r>
              <w:rPr>
                <w:rFonts w:hint="default" w:ascii="Times New Roman" w:hAnsi="Times New Roman" w:eastAsia="宋体" w:cs="Times New Roman"/>
                <w:color w:val="auto"/>
                <w:highlight w:val="none"/>
                <w:lang w:val="en-US" w:eastAsia="zh-CN"/>
              </w:rPr>
              <w:t>。</w:t>
            </w:r>
          </w:p>
          <w:p w14:paraId="276E0A79">
            <w:pPr>
              <w:keepNext w:val="0"/>
              <w:keepLines w:val="0"/>
              <w:pageBreakBefore w:val="0"/>
              <w:widowControl w:val="0"/>
              <w:kinsoku/>
              <w:wordWrap/>
              <w:overflowPunct w:val="0"/>
              <w:topLinePunct w:val="0"/>
              <w:autoSpaceDE w:val="0"/>
              <w:autoSpaceDN w:val="0"/>
              <w:bidi w:val="0"/>
              <w:adjustRightInd w:val="0"/>
              <w:snapToGrid w:val="0"/>
              <w:spacing w:line="360" w:lineRule="auto"/>
              <w:textAlignment w:val="auto"/>
              <w:rPr>
                <w:rFonts w:hint="default" w:ascii="Times New Roman" w:hAnsi="Times New Roman" w:eastAsia="宋体" w:cs="Times New Roman"/>
                <w:color w:val="auto"/>
                <w:sz w:val="24"/>
                <w:szCs w:val="24"/>
                <w:vertAlign w:val="baseline"/>
                <w:lang w:val="en-US" w:eastAsia="zh-CN" w:bidi="ar-SA"/>
              </w:rPr>
            </w:pPr>
          </w:p>
        </w:tc>
      </w:tr>
    </w:tbl>
    <w:p w14:paraId="34F3CB57">
      <w:pPr>
        <w:widowControl w:val="0"/>
        <w:numPr>
          <w:ilvl w:val="0"/>
          <w:numId w:val="3"/>
        </w:numPr>
        <w:overflowPunct w:val="0"/>
        <w:autoSpaceDE w:val="0"/>
        <w:autoSpaceDN w:val="0"/>
        <w:bidi w:val="0"/>
        <w:adjustRightInd w:val="0"/>
        <w:snapToGrid w:val="0"/>
        <w:spacing w:before="0" w:after="0" w:line="560" w:lineRule="exact"/>
        <w:ind w:left="0" w:right="0" w:firstLine="0" w:firstLineChars="0"/>
        <w:jc w:val="center"/>
        <w:outlineLvl w:val="0"/>
        <w:rPr>
          <w:rFonts w:hint="default" w:ascii="Times New Roman" w:hAnsi="Times New Roman" w:eastAsia="宋体" w:cs="Times New Roman"/>
          <w:b/>
          <w:color w:val="auto"/>
          <w:kern w:val="44"/>
          <w:sz w:val="28"/>
          <w:szCs w:val="22"/>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16" w:name="_Toc15885"/>
    </w:p>
    <w:p w14:paraId="01DF8EE5">
      <w:pPr>
        <w:widowControl w:val="0"/>
        <w:numPr>
          <w:ilvl w:val="0"/>
          <w:numId w:val="3"/>
        </w:numPr>
        <w:overflowPunct w:val="0"/>
        <w:autoSpaceDE w:val="0"/>
        <w:autoSpaceDN w:val="0"/>
        <w:bidi w:val="0"/>
        <w:adjustRightInd w:val="0"/>
        <w:snapToGrid w:val="0"/>
        <w:spacing w:before="0" w:after="0" w:line="560" w:lineRule="exact"/>
        <w:ind w:left="0" w:right="0" w:firstLine="0" w:firstLineChars="0"/>
        <w:jc w:val="center"/>
        <w:outlineLvl w:val="0"/>
        <w:rPr>
          <w:rFonts w:hint="default" w:ascii="Times New Roman" w:hAnsi="Times New Roman" w:eastAsia="宋体" w:cs="Times New Roman"/>
          <w:b/>
          <w:color w:val="auto"/>
          <w:kern w:val="44"/>
          <w:sz w:val="28"/>
          <w:szCs w:val="22"/>
          <w:lang w:val="en-US" w:eastAsia="zh-CN" w:bidi="ar-SA"/>
        </w:rPr>
      </w:pPr>
      <w:bookmarkStart w:id="17" w:name="_Toc20831"/>
      <w:bookmarkStart w:id="18" w:name="_Toc11713"/>
      <w:bookmarkStart w:id="19" w:name="_Toc1394"/>
      <w:r>
        <w:rPr>
          <w:rFonts w:hint="default" w:ascii="Times New Roman" w:hAnsi="Times New Roman" w:eastAsia="宋体" w:cs="Times New Roman"/>
          <w:b/>
          <w:color w:val="auto"/>
          <w:kern w:val="44"/>
          <w:sz w:val="28"/>
          <w:szCs w:val="22"/>
          <w:lang w:val="en-US" w:eastAsia="zh-CN" w:bidi="ar-SA"/>
        </w:rPr>
        <w:t>区域环境质量现状、环境保护目标及评价标准</w:t>
      </w:r>
      <w:bookmarkEnd w:id="16"/>
      <w:bookmarkEnd w:id="17"/>
      <w:bookmarkEnd w:id="18"/>
      <w:bookmarkEnd w:id="19"/>
    </w:p>
    <w:tbl>
      <w:tblPr>
        <w:tblStyle w:val="2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8645"/>
      </w:tblGrid>
      <w:tr w14:paraId="5E7EB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0" w:hRule="atLeast"/>
          <w:jc w:val="center"/>
        </w:trPr>
        <w:tc>
          <w:tcPr>
            <w:tcW w:w="426" w:type="dxa"/>
            <w:vAlign w:val="center"/>
          </w:tcPr>
          <w:p w14:paraId="75A6958E">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0" w:after="0" w:line="500" w:lineRule="exact"/>
              <w:ind w:left="0" w:right="0" w:rightChars="0" w:firstLine="480" w:firstLineChars="200"/>
              <w:jc w:val="center"/>
              <w:textAlignment w:val="auto"/>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rPr>
              <w:t>区域环境质量现状</w:t>
            </w:r>
          </w:p>
        </w:tc>
        <w:tc>
          <w:tcPr>
            <w:tcW w:w="8645" w:type="dxa"/>
            <w:vAlign w:val="top"/>
          </w:tcPr>
          <w:p w14:paraId="68CE0EAC">
            <w:pPr>
              <w:widowControl w:val="0"/>
              <w:overflowPunct w:val="0"/>
              <w:autoSpaceDE w:val="0"/>
              <w:autoSpaceDN w:val="0"/>
              <w:bidi w:val="0"/>
              <w:adjustRightInd w:val="0"/>
              <w:snapToGrid w:val="0"/>
              <w:spacing w:before="0" w:after="0" w:line="560" w:lineRule="exact"/>
              <w:ind w:right="0"/>
              <w:jc w:val="left"/>
              <w:outlineLvl w:val="1"/>
              <w:rPr>
                <w:rFonts w:hint="default" w:ascii="Times New Roman" w:hAnsi="Times New Roman" w:eastAsia="宋体" w:cs="Times New Roman"/>
                <w:b/>
                <w:color w:val="auto"/>
                <w:sz w:val="28"/>
                <w:szCs w:val="30"/>
                <w:lang w:val="en-US" w:eastAsia="zh-CN" w:bidi="ar-SA"/>
              </w:rPr>
            </w:pPr>
            <w:r>
              <w:rPr>
                <w:rFonts w:hint="default" w:ascii="Times New Roman" w:hAnsi="Times New Roman" w:eastAsia="宋体" w:cs="Times New Roman"/>
                <w:b/>
                <w:color w:val="auto"/>
                <w:sz w:val="28"/>
                <w:szCs w:val="30"/>
                <w:lang w:val="en-US" w:eastAsia="zh-CN" w:bidi="ar-SA"/>
              </w:rPr>
              <w:t>1、大气环境质量现状</w:t>
            </w:r>
          </w:p>
          <w:p w14:paraId="40D54093">
            <w:pPr>
              <w:keepNext w:val="0"/>
              <w:keepLines w:val="0"/>
              <w:suppressLineNumbers w:val="0"/>
              <w:overflowPunct/>
              <w:autoSpaceDE/>
              <w:autoSpaceDN/>
              <w:bidi w:val="0"/>
              <w:adjustRightInd/>
              <w:snapToGrid/>
              <w:spacing w:before="0" w:beforeAutospacing="0" w:after="0" w:afterAutospacing="0" w:line="360" w:lineRule="auto"/>
              <w:ind w:left="0" w:right="0" w:firstLine="480" w:firstLineChars="20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《环境影响评价技术导则 大气环境》(HJ2.2-2018)要求，</w:t>
            </w:r>
            <w:r>
              <w:rPr>
                <w:rFonts w:hint="default" w:ascii="Times New Roman" w:hAnsi="Times New Roman" w:eastAsia="宋体" w:cs="Times New Roman"/>
                <w:color w:val="auto"/>
                <w:sz w:val="24"/>
                <w:szCs w:val="24"/>
                <w:highlight w:val="none"/>
                <w:lang w:val="en-US" w:eastAsia="zh-CN"/>
              </w:rPr>
              <w:t>评价范围内没有环境空气质量监测网数据或公开发布的环境空气质量现状数据的选取满足《环境空气质量监测点位布设技术规范（试行）》（HJ 664—2013）规定，并且与评价范围地理位置邻近，地形、气候条件相近的环境空气质量城市点或区域点监测数据。本项目位于玛纳斯县，选取采用玛纳斯县2024全年公布数据，该数据作为本项目环境空气现状评价基本污染物SO</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、NO</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、PM</w:t>
            </w:r>
            <w:r>
              <w:rPr>
                <w:rFonts w:hint="default" w:ascii="Times New Roman" w:hAnsi="Times New Roman" w:eastAsia="宋体" w:cs="Times New Roman"/>
                <w:color w:val="auto"/>
                <w:sz w:val="24"/>
                <w:szCs w:val="24"/>
                <w:highlight w:val="none"/>
                <w:vertAlign w:val="subscript"/>
                <w:lang w:val="en-US" w:eastAsia="zh-CN"/>
              </w:rPr>
              <w:t>10</w:t>
            </w:r>
            <w:r>
              <w:rPr>
                <w:rFonts w:hint="default" w:ascii="Times New Roman" w:hAnsi="Times New Roman" w:eastAsia="宋体" w:cs="Times New Roman"/>
                <w:color w:val="auto"/>
                <w:sz w:val="24"/>
                <w:szCs w:val="24"/>
                <w:highlight w:val="none"/>
                <w:lang w:val="en-US" w:eastAsia="zh-CN"/>
              </w:rPr>
              <w:t>、PM</w:t>
            </w:r>
            <w:r>
              <w:rPr>
                <w:rFonts w:hint="default" w:ascii="Times New Roman" w:hAnsi="Times New Roman" w:eastAsia="宋体" w:cs="Times New Roman"/>
                <w:color w:val="auto"/>
                <w:sz w:val="24"/>
                <w:szCs w:val="24"/>
                <w:highlight w:val="none"/>
                <w:vertAlign w:val="subscript"/>
                <w:lang w:val="en-US" w:eastAsia="zh-CN"/>
              </w:rPr>
              <w:t>2.5</w:t>
            </w:r>
            <w:r>
              <w:rPr>
                <w:rFonts w:hint="default" w:ascii="Times New Roman" w:hAnsi="Times New Roman" w:eastAsia="宋体" w:cs="Times New Roman"/>
                <w:color w:val="auto"/>
                <w:sz w:val="24"/>
                <w:szCs w:val="24"/>
                <w:highlight w:val="none"/>
                <w:lang w:val="en-US" w:eastAsia="zh-CN"/>
              </w:rPr>
              <w:t>、CO和O</w:t>
            </w:r>
            <w:r>
              <w:rPr>
                <w:rFonts w:hint="default" w:ascii="Times New Roman" w:hAnsi="Times New Roman" w:eastAsia="宋体" w:cs="Times New Roman"/>
                <w:color w:val="auto"/>
                <w:sz w:val="24"/>
                <w:szCs w:val="24"/>
                <w:highlight w:val="none"/>
                <w:vertAlign w:val="subscript"/>
                <w:lang w:val="en-US" w:eastAsia="zh-CN"/>
              </w:rPr>
              <w:t>3</w:t>
            </w:r>
            <w:r>
              <w:rPr>
                <w:rFonts w:hint="default" w:ascii="Times New Roman" w:hAnsi="Times New Roman" w:eastAsia="宋体" w:cs="Times New Roman"/>
                <w:color w:val="auto"/>
                <w:sz w:val="24"/>
                <w:szCs w:val="24"/>
                <w:highlight w:val="none"/>
                <w:lang w:val="en-US" w:eastAsia="zh-CN"/>
              </w:rPr>
              <w:t>的数据来源。</w:t>
            </w:r>
          </w:p>
          <w:p w14:paraId="0BD3082B">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auto"/>
                <w:highlight w:val="none"/>
              </w:rPr>
            </w:pPr>
            <w:r>
              <w:rPr>
                <w:rFonts w:hint="default" w:ascii="Times New Roman" w:hAnsi="Times New Roman" w:eastAsia="宋体" w:cs="Times New Roman"/>
                <w:b w:val="0"/>
                <w:bCs w:val="0"/>
                <w:color w:val="auto"/>
                <w:highlight w:val="none"/>
              </w:rPr>
              <w:t>特征污染因子</w:t>
            </w:r>
            <w:r>
              <w:rPr>
                <w:rFonts w:hint="default" w:ascii="Times New Roman" w:hAnsi="Times New Roman" w:eastAsia="宋体" w:cs="Times New Roman"/>
                <w:b w:val="0"/>
                <w:bCs w:val="0"/>
                <w:color w:val="auto"/>
                <w:highlight w:val="none"/>
                <w:lang w:val="en-US" w:eastAsia="zh-CN"/>
              </w:rPr>
              <w:t>TSP委托新疆锡水金山环境科技有限公司</w:t>
            </w:r>
            <w:r>
              <w:rPr>
                <w:rFonts w:hint="default" w:ascii="Times New Roman" w:hAnsi="Times New Roman" w:eastAsia="宋体" w:cs="Times New Roman"/>
                <w:b w:val="0"/>
                <w:bCs w:val="0"/>
                <w:color w:val="auto"/>
                <w:highlight w:val="none"/>
              </w:rPr>
              <w:t>于20</w:t>
            </w:r>
            <w:r>
              <w:rPr>
                <w:rFonts w:hint="default" w:ascii="Times New Roman" w:hAnsi="Times New Roman" w:eastAsia="宋体" w:cs="Times New Roman"/>
                <w:b w:val="0"/>
                <w:bCs w:val="0"/>
                <w:color w:val="auto"/>
                <w:highlight w:val="none"/>
                <w:lang w:val="en-US" w:eastAsia="zh-CN"/>
              </w:rPr>
              <w:t>25</w:t>
            </w:r>
            <w:r>
              <w:rPr>
                <w:rFonts w:hint="default" w:ascii="Times New Roman" w:hAnsi="Times New Roman" w:eastAsia="宋体" w:cs="Times New Roman"/>
                <w:b w:val="0"/>
                <w:bCs w:val="0"/>
                <w:color w:val="auto"/>
                <w:highlight w:val="none"/>
              </w:rPr>
              <w:t>年</w:t>
            </w:r>
            <w:r>
              <w:rPr>
                <w:rFonts w:hint="default" w:ascii="Times New Roman" w:hAnsi="Times New Roman" w:eastAsia="宋体" w:cs="Times New Roman"/>
                <w:b w:val="0"/>
                <w:bCs w:val="0"/>
                <w:color w:val="auto"/>
                <w:highlight w:val="none"/>
                <w:lang w:val="en-US" w:eastAsia="zh-CN"/>
              </w:rPr>
              <w:t>9</w:t>
            </w:r>
            <w:r>
              <w:rPr>
                <w:rFonts w:hint="default" w:ascii="Times New Roman" w:hAnsi="Times New Roman" w:eastAsia="宋体" w:cs="Times New Roman"/>
                <w:b w:val="0"/>
                <w:bCs w:val="0"/>
                <w:color w:val="auto"/>
                <w:highlight w:val="none"/>
              </w:rPr>
              <w:t>月</w:t>
            </w:r>
            <w:r>
              <w:rPr>
                <w:rFonts w:hint="default" w:ascii="Times New Roman" w:hAnsi="Times New Roman" w:eastAsia="宋体" w:cs="Times New Roman"/>
                <w:b w:val="0"/>
                <w:bCs w:val="0"/>
                <w:color w:val="auto"/>
                <w:highlight w:val="none"/>
                <w:lang w:val="en-US" w:eastAsia="zh-CN"/>
              </w:rPr>
              <w:t>5</w:t>
            </w:r>
            <w:r>
              <w:rPr>
                <w:rFonts w:hint="default" w:ascii="Times New Roman" w:hAnsi="Times New Roman" w:eastAsia="宋体" w:cs="Times New Roman"/>
                <w:b w:val="0"/>
                <w:bCs w:val="0"/>
                <w:color w:val="auto"/>
                <w:highlight w:val="none"/>
              </w:rPr>
              <w:t>日至20</w:t>
            </w:r>
            <w:r>
              <w:rPr>
                <w:rFonts w:hint="default" w:ascii="Times New Roman" w:hAnsi="Times New Roman" w:eastAsia="宋体" w:cs="Times New Roman"/>
                <w:b w:val="0"/>
                <w:bCs w:val="0"/>
                <w:color w:val="auto"/>
                <w:highlight w:val="none"/>
                <w:lang w:val="en-US" w:eastAsia="zh-CN"/>
              </w:rPr>
              <w:t>23</w:t>
            </w:r>
            <w:r>
              <w:rPr>
                <w:rFonts w:hint="default" w:ascii="Times New Roman" w:hAnsi="Times New Roman" w:eastAsia="宋体" w:cs="Times New Roman"/>
                <w:b w:val="0"/>
                <w:bCs w:val="0"/>
                <w:color w:val="auto"/>
                <w:highlight w:val="none"/>
              </w:rPr>
              <w:t>年</w:t>
            </w:r>
            <w:r>
              <w:rPr>
                <w:rFonts w:hint="default" w:ascii="Times New Roman" w:hAnsi="Times New Roman" w:eastAsia="宋体" w:cs="Times New Roman"/>
                <w:b w:val="0"/>
                <w:bCs w:val="0"/>
                <w:color w:val="auto"/>
                <w:highlight w:val="none"/>
                <w:lang w:val="en-US" w:eastAsia="zh-CN"/>
              </w:rPr>
              <w:t>9</w:t>
            </w:r>
            <w:r>
              <w:rPr>
                <w:rFonts w:hint="default" w:ascii="Times New Roman" w:hAnsi="Times New Roman" w:eastAsia="宋体" w:cs="Times New Roman"/>
                <w:b w:val="0"/>
                <w:bCs w:val="0"/>
                <w:color w:val="auto"/>
                <w:highlight w:val="none"/>
              </w:rPr>
              <w:t>月</w:t>
            </w:r>
            <w:r>
              <w:rPr>
                <w:rFonts w:hint="default" w:ascii="Times New Roman" w:hAnsi="Times New Roman" w:eastAsia="宋体" w:cs="Times New Roman"/>
                <w:b w:val="0"/>
                <w:bCs w:val="0"/>
                <w:color w:val="auto"/>
                <w:highlight w:val="none"/>
                <w:lang w:val="en-US" w:eastAsia="zh-CN"/>
              </w:rPr>
              <w:t>7</w:t>
            </w:r>
            <w:r>
              <w:rPr>
                <w:rFonts w:hint="default" w:ascii="Times New Roman" w:hAnsi="Times New Roman" w:eastAsia="宋体" w:cs="Times New Roman"/>
                <w:b w:val="0"/>
                <w:bCs w:val="0"/>
                <w:color w:val="auto"/>
                <w:highlight w:val="none"/>
              </w:rPr>
              <w:t>日</w:t>
            </w:r>
            <w:r>
              <w:rPr>
                <w:rFonts w:hint="default" w:ascii="Times New Roman" w:hAnsi="Times New Roman" w:eastAsia="宋体" w:cs="Times New Roman"/>
                <w:b w:val="0"/>
                <w:bCs w:val="0"/>
                <w:color w:val="auto"/>
                <w:highlight w:val="none"/>
                <w:lang w:val="en-US" w:eastAsia="zh-CN"/>
              </w:rPr>
              <w:t>对项目区下风向处进行补充监测</w:t>
            </w:r>
            <w:r>
              <w:rPr>
                <w:rFonts w:hint="default" w:ascii="Times New Roman" w:hAnsi="Times New Roman" w:eastAsia="宋体" w:cs="Times New Roman"/>
                <w:b w:val="0"/>
                <w:bCs w:val="0"/>
                <w:color w:val="auto"/>
                <w:highlight w:val="none"/>
              </w:rPr>
              <w:t>。</w:t>
            </w:r>
          </w:p>
          <w:p w14:paraId="147D60E0">
            <w:pPr>
              <w:overflowPunct/>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（1）监测布点</w:t>
            </w:r>
          </w:p>
          <w:p w14:paraId="1C167E21">
            <w:pPr>
              <w:overflowPunct/>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rPr>
            </w:pPr>
            <w:r>
              <w:rPr>
                <w:rFonts w:hint="default" w:ascii="Times New Roman" w:hAnsi="Times New Roman" w:eastAsia="宋体" w:cs="Times New Roman"/>
                <w:color w:val="auto"/>
              </w:rPr>
              <w:t>根据项目区气象气候和地形条件，特征污染因子</w:t>
            </w:r>
            <w:r>
              <w:rPr>
                <w:rFonts w:hint="default" w:ascii="Times New Roman" w:hAnsi="Times New Roman" w:eastAsia="宋体" w:cs="Times New Roman"/>
                <w:color w:val="auto"/>
                <w:lang w:val="en-US" w:eastAsia="zh-CN"/>
              </w:rPr>
              <w:t>1</w:t>
            </w:r>
            <w:r>
              <w:rPr>
                <w:rFonts w:hint="default" w:ascii="Times New Roman" w:hAnsi="Times New Roman" w:eastAsia="宋体" w:cs="Times New Roman"/>
                <w:color w:val="auto"/>
              </w:rPr>
              <w:t>个监测点</w:t>
            </w:r>
            <w:r>
              <w:rPr>
                <w:rFonts w:hint="default" w:ascii="Times New Roman" w:hAnsi="Times New Roman" w:eastAsia="宋体" w:cs="Times New Roman"/>
                <w:color w:val="auto"/>
                <w:lang w:eastAsia="zh-CN"/>
              </w:rPr>
              <w:t>，位于</w:t>
            </w:r>
            <w:r>
              <w:rPr>
                <w:rFonts w:hint="default" w:ascii="Times New Roman" w:hAnsi="Times New Roman" w:eastAsia="宋体" w:cs="Times New Roman"/>
                <w:color w:val="auto"/>
              </w:rPr>
              <w:t>项目区</w:t>
            </w:r>
            <w:r>
              <w:rPr>
                <w:rFonts w:hint="default" w:ascii="Times New Roman" w:hAnsi="Times New Roman" w:eastAsia="宋体" w:cs="Times New Roman"/>
                <w:b w:val="0"/>
                <w:bCs w:val="0"/>
                <w:color w:val="auto"/>
                <w:lang w:val="en-US" w:eastAsia="zh-CN"/>
              </w:rPr>
              <w:t>下风向处25m处</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能够代表区域特征污染因子</w:t>
            </w:r>
            <w:r>
              <w:rPr>
                <w:rFonts w:hint="default" w:ascii="Times New Roman" w:hAnsi="Times New Roman" w:eastAsia="宋体" w:cs="Times New Roman"/>
                <w:color w:val="auto"/>
                <w:lang w:eastAsia="zh-CN"/>
              </w:rPr>
              <w:t>污染</w:t>
            </w:r>
            <w:r>
              <w:rPr>
                <w:rFonts w:hint="default" w:ascii="Times New Roman" w:hAnsi="Times New Roman" w:eastAsia="宋体" w:cs="Times New Roman"/>
                <w:color w:val="auto"/>
              </w:rPr>
              <w:t>状况。本项目环境监测布点情况见</w:t>
            </w:r>
            <w:r>
              <w:rPr>
                <w:rFonts w:hint="eastAsia" w:cs="Times New Roman"/>
                <w:color w:val="auto"/>
                <w:lang w:val="en-US" w:eastAsia="zh-CN"/>
              </w:rPr>
              <w:t>附图7</w:t>
            </w:r>
            <w:r>
              <w:rPr>
                <w:rFonts w:hint="default" w:ascii="Times New Roman" w:hAnsi="Times New Roman" w:eastAsia="宋体" w:cs="Times New Roman"/>
                <w:color w:val="auto"/>
              </w:rPr>
              <w:t>。</w:t>
            </w:r>
          </w:p>
          <w:p w14:paraId="092BD031">
            <w:pPr>
              <w:overflowPunct/>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（2）采样及分析方法</w:t>
            </w:r>
          </w:p>
          <w:p w14:paraId="443B3E80">
            <w:pPr>
              <w:overflowPunct/>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采样分析方法均按国家环保局颁布的《空气和废气监测分析方法》、《环境监测技术规范》中的有关规定执行。</w:t>
            </w:r>
          </w:p>
          <w:p w14:paraId="69D0BEE6">
            <w:pPr>
              <w:overflowPunct/>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（3）大气环境质量现状评价</w:t>
            </w:r>
          </w:p>
          <w:p w14:paraId="0124312C">
            <w:pPr>
              <w:overflowPunct/>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①评价标准</w:t>
            </w:r>
          </w:p>
          <w:p w14:paraId="439CB371">
            <w:pPr>
              <w:overflowPunct/>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根据本项目所在区域的环境功能区划，常规污染物以及TSP均执行《环境空气质量标准》（GB3095－2012）中的二级标准。</w:t>
            </w:r>
          </w:p>
          <w:p w14:paraId="06EE7730">
            <w:pPr>
              <w:overflowPunct/>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②常规污染物监测结果及评价统计</w:t>
            </w:r>
          </w:p>
          <w:p w14:paraId="71CE5382">
            <w:pPr>
              <w:overflowPunct/>
              <w:autoSpaceDE/>
              <w:autoSpaceDN/>
              <w:bidi w:val="0"/>
              <w:adjustRightInd/>
              <w:snapToGrid/>
              <w:spacing w:before="0" w:after="0" w:line="360" w:lineRule="auto"/>
              <w:ind w:left="0" w:leftChars="0" w:right="0" w:firstLine="480" w:firstLineChars="0"/>
              <w:jc w:val="left"/>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根据2024年玛纳斯县监测站点空气质量逐日统计结果，SO</w:t>
            </w:r>
            <w:r>
              <w:rPr>
                <w:rFonts w:hint="default" w:ascii="Times New Roman" w:hAnsi="Times New Roman" w:eastAsia="宋体" w:cs="Times New Roman"/>
                <w:color w:val="auto"/>
                <w:vertAlign w:val="subscript"/>
                <w:lang w:val="en-US" w:eastAsia="zh-CN"/>
              </w:rPr>
              <w:t>2</w:t>
            </w:r>
            <w:r>
              <w:rPr>
                <w:rFonts w:hint="default" w:ascii="Times New Roman" w:hAnsi="Times New Roman" w:eastAsia="宋体" w:cs="Times New Roman"/>
                <w:color w:val="auto"/>
                <w:lang w:val="en-US" w:eastAsia="zh-CN"/>
              </w:rPr>
              <w:t>、NO</w:t>
            </w:r>
            <w:r>
              <w:rPr>
                <w:rFonts w:hint="default" w:ascii="Times New Roman" w:hAnsi="Times New Roman" w:eastAsia="宋体" w:cs="Times New Roman"/>
                <w:color w:val="auto"/>
                <w:vertAlign w:val="subscript"/>
                <w:lang w:val="en-US" w:eastAsia="zh-CN"/>
              </w:rPr>
              <w:t>2</w:t>
            </w:r>
            <w:r>
              <w:rPr>
                <w:rFonts w:hint="default" w:ascii="Times New Roman" w:hAnsi="Times New Roman" w:eastAsia="宋体" w:cs="Times New Roman"/>
                <w:color w:val="auto"/>
                <w:lang w:val="en-US" w:eastAsia="zh-CN"/>
              </w:rPr>
              <w:t>、PM</w:t>
            </w:r>
            <w:r>
              <w:rPr>
                <w:rFonts w:hint="default" w:ascii="Times New Roman" w:hAnsi="Times New Roman" w:eastAsia="宋体" w:cs="Times New Roman"/>
                <w:color w:val="auto"/>
                <w:vertAlign w:val="subscript"/>
                <w:lang w:val="en-US" w:eastAsia="zh-CN"/>
              </w:rPr>
              <w:t>10</w:t>
            </w:r>
            <w:r>
              <w:rPr>
                <w:rFonts w:hint="default" w:ascii="Times New Roman" w:hAnsi="Times New Roman" w:eastAsia="宋体" w:cs="Times New Roman"/>
                <w:color w:val="auto"/>
                <w:lang w:val="en-US" w:eastAsia="zh-CN"/>
              </w:rPr>
              <w:t>、PM</w:t>
            </w:r>
            <w:r>
              <w:rPr>
                <w:rFonts w:hint="default" w:ascii="Times New Roman" w:hAnsi="Times New Roman" w:eastAsia="宋体" w:cs="Times New Roman"/>
                <w:color w:val="auto"/>
                <w:vertAlign w:val="subscript"/>
                <w:lang w:val="en-US" w:eastAsia="zh-CN"/>
              </w:rPr>
              <w:t>2.5</w:t>
            </w:r>
            <w:r>
              <w:rPr>
                <w:rFonts w:hint="default" w:ascii="Times New Roman" w:hAnsi="Times New Roman" w:eastAsia="宋体" w:cs="Times New Roman"/>
                <w:color w:val="auto"/>
                <w:lang w:val="en-US" w:eastAsia="zh-CN"/>
              </w:rPr>
              <w:t>年均浓度以及CO 24小时平均第95百分位数、O</w:t>
            </w:r>
            <w:r>
              <w:rPr>
                <w:rFonts w:hint="default" w:ascii="Times New Roman" w:hAnsi="Times New Roman" w:eastAsia="宋体" w:cs="Times New Roman"/>
                <w:color w:val="auto"/>
                <w:vertAlign w:val="subscript"/>
                <w:lang w:val="en-US" w:eastAsia="zh-CN"/>
              </w:rPr>
              <w:t>3</w:t>
            </w:r>
            <w:r>
              <w:rPr>
                <w:rFonts w:hint="default" w:ascii="Times New Roman" w:hAnsi="Times New Roman" w:eastAsia="宋体" w:cs="Times New Roman"/>
                <w:color w:val="auto"/>
                <w:lang w:val="en-US" w:eastAsia="zh-CN"/>
              </w:rPr>
              <w:t>日最大8小时平均第90百分位数，本项目所在区域空气质量达标区判定情况见表3.1-1。</w:t>
            </w:r>
          </w:p>
          <w:p w14:paraId="666346E4">
            <w:pPr>
              <w:overflowPunct/>
              <w:autoSpaceDE/>
              <w:autoSpaceDN/>
              <w:bidi w:val="0"/>
              <w:adjustRightInd/>
              <w:snapToGrid/>
              <w:spacing w:before="0" w:after="0" w:line="240" w:lineRule="auto"/>
              <w:ind w:left="0" w:leftChars="0" w:right="0" w:firstLine="480" w:firstLineChars="0"/>
              <w:jc w:val="center"/>
              <w:rPr>
                <w:rFonts w:hint="default" w:ascii="Times New Roman" w:hAnsi="Times New Roman" w:eastAsia="宋体" w:cs="Times New Roman"/>
                <w:b/>
                <w:bCs/>
                <w:color w:val="auto"/>
                <w:sz w:val="21"/>
                <w:szCs w:val="20"/>
                <w:lang w:val="en-US" w:eastAsia="zh-CN"/>
              </w:rPr>
            </w:pPr>
            <w:r>
              <w:rPr>
                <w:rFonts w:hint="default" w:ascii="Times New Roman" w:hAnsi="Times New Roman" w:eastAsia="宋体" w:cs="Times New Roman"/>
                <w:b/>
                <w:bCs/>
                <w:color w:val="auto"/>
                <w:sz w:val="21"/>
                <w:szCs w:val="20"/>
                <w:lang w:eastAsia="zh-CN"/>
              </w:rPr>
              <w:t>表</w:t>
            </w:r>
            <w:r>
              <w:rPr>
                <w:rFonts w:hint="default" w:ascii="Times New Roman" w:hAnsi="Times New Roman" w:eastAsia="宋体" w:cs="Times New Roman"/>
                <w:b/>
                <w:bCs/>
                <w:color w:val="auto"/>
                <w:sz w:val="21"/>
                <w:szCs w:val="20"/>
                <w:lang w:val="en-US" w:eastAsia="zh-CN"/>
              </w:rPr>
              <w:t>3.1-1</w:t>
            </w:r>
            <w:r>
              <w:rPr>
                <w:rFonts w:hint="default" w:ascii="Times New Roman" w:hAnsi="Times New Roman" w:eastAsia="宋体" w:cs="Times New Roman"/>
                <w:b/>
                <w:bCs/>
                <w:color w:val="auto"/>
                <w:sz w:val="21"/>
                <w:szCs w:val="20"/>
                <w:lang w:eastAsia="zh-CN"/>
              </w:rPr>
              <w:t>区域空气质量现状评价表</w:t>
            </w:r>
            <w:r>
              <w:rPr>
                <w:rFonts w:hint="default" w:ascii="Times New Roman" w:hAnsi="Times New Roman" w:eastAsia="宋体" w:cs="Times New Roman"/>
                <w:b/>
                <w:bCs/>
                <w:color w:val="auto"/>
                <w:sz w:val="21"/>
                <w:szCs w:val="20"/>
                <w:lang w:val="en-US" w:eastAsia="zh-CN"/>
              </w:rPr>
              <w:t xml:space="preserve">  </w:t>
            </w:r>
            <w:r>
              <w:rPr>
                <w:rFonts w:hint="default" w:ascii="Times New Roman" w:hAnsi="Times New Roman" w:eastAsia="宋体" w:cs="Times New Roman"/>
                <w:b/>
                <w:bCs/>
                <w:color w:val="auto"/>
                <w:sz w:val="21"/>
                <w:szCs w:val="20"/>
                <w:lang w:eastAsia="zh-CN"/>
              </w:rPr>
              <w:t>单位：</w:t>
            </w:r>
            <w:r>
              <w:rPr>
                <w:rFonts w:hint="default" w:ascii="Times New Roman" w:hAnsi="Times New Roman" w:eastAsia="宋体" w:cs="Times New Roman"/>
                <w:b/>
                <w:bCs/>
                <w:color w:val="auto"/>
                <w:sz w:val="21"/>
                <w:szCs w:val="20"/>
              </w:rPr>
              <w:t>μg/m</w:t>
            </w:r>
            <w:r>
              <w:rPr>
                <w:rFonts w:hint="default" w:ascii="Times New Roman" w:hAnsi="Times New Roman" w:eastAsia="宋体" w:cs="Times New Roman"/>
                <w:b/>
                <w:bCs/>
                <w:color w:val="auto"/>
                <w:sz w:val="21"/>
                <w:szCs w:val="20"/>
                <w:vertAlign w:val="superscript"/>
              </w:rPr>
              <w:t>3</w:t>
            </w:r>
          </w:p>
          <w:tbl>
            <w:tblPr>
              <w:tblStyle w:val="22"/>
              <w:tblW w:w="83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67"/>
              <w:gridCol w:w="829"/>
              <w:gridCol w:w="2290"/>
              <w:gridCol w:w="1443"/>
              <w:gridCol w:w="1145"/>
              <w:gridCol w:w="1100"/>
              <w:gridCol w:w="964"/>
            </w:tblGrid>
            <w:tr w14:paraId="65A5FC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67" w:type="dxa"/>
                  <w:noWrap w:val="0"/>
                  <w:vAlign w:val="center"/>
                </w:tcPr>
                <w:p w14:paraId="73D2F1C4">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kern w:val="0"/>
                      <w:sz w:val="21"/>
                      <w:szCs w:val="21"/>
                      <w:highlight w:val="none"/>
                      <w:lang w:val="en-US" w:eastAsia="zh-CN" w:bidi="ar-SA"/>
                    </w:rPr>
                    <w:t>序号</w:t>
                  </w:r>
                </w:p>
              </w:tc>
              <w:tc>
                <w:tcPr>
                  <w:tcW w:w="829" w:type="dxa"/>
                  <w:noWrap w:val="0"/>
                  <w:vAlign w:val="center"/>
                </w:tcPr>
                <w:p w14:paraId="0A3037B6">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kern w:val="0"/>
                      <w:sz w:val="21"/>
                      <w:szCs w:val="21"/>
                      <w:highlight w:val="none"/>
                      <w:lang w:val="en-US" w:eastAsia="zh-CN" w:bidi="ar-SA"/>
                    </w:rPr>
                    <w:t>项目</w:t>
                  </w:r>
                </w:p>
              </w:tc>
              <w:tc>
                <w:tcPr>
                  <w:tcW w:w="2290" w:type="dxa"/>
                  <w:noWrap w:val="0"/>
                  <w:vAlign w:val="center"/>
                </w:tcPr>
                <w:p w14:paraId="6D09D128">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kern w:val="0"/>
                      <w:sz w:val="21"/>
                      <w:szCs w:val="21"/>
                      <w:highlight w:val="none"/>
                      <w:lang w:val="en-US" w:eastAsia="zh-CN" w:bidi="ar-SA"/>
                    </w:rPr>
                    <w:t>平均时间</w:t>
                  </w:r>
                </w:p>
              </w:tc>
              <w:tc>
                <w:tcPr>
                  <w:tcW w:w="1443" w:type="dxa"/>
                  <w:noWrap w:val="0"/>
                  <w:vAlign w:val="center"/>
                </w:tcPr>
                <w:p w14:paraId="0DE9170F">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kern w:val="0"/>
                      <w:sz w:val="21"/>
                      <w:szCs w:val="21"/>
                      <w:highlight w:val="none"/>
                      <w:lang w:val="en-US" w:eastAsia="zh-CN" w:bidi="ar-SA"/>
                    </w:rPr>
                    <w:t>标准值</w:t>
                  </w:r>
                </w:p>
              </w:tc>
              <w:tc>
                <w:tcPr>
                  <w:tcW w:w="1145" w:type="dxa"/>
                  <w:noWrap w:val="0"/>
                  <w:vAlign w:val="center"/>
                </w:tcPr>
                <w:p w14:paraId="3542CB7F">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kern w:val="0"/>
                      <w:sz w:val="21"/>
                      <w:szCs w:val="21"/>
                      <w:highlight w:val="none"/>
                      <w:lang w:val="en-US" w:eastAsia="zh-CN" w:bidi="ar-SA"/>
                    </w:rPr>
                    <w:t>现状浓度</w:t>
                  </w:r>
                </w:p>
              </w:tc>
              <w:tc>
                <w:tcPr>
                  <w:tcW w:w="1100" w:type="dxa"/>
                  <w:noWrap w:val="0"/>
                  <w:vAlign w:val="center"/>
                </w:tcPr>
                <w:p w14:paraId="05DFF2EF">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kern w:val="0"/>
                      <w:sz w:val="21"/>
                      <w:szCs w:val="21"/>
                      <w:highlight w:val="none"/>
                      <w:lang w:val="en-US" w:eastAsia="zh-CN" w:bidi="ar-SA"/>
                    </w:rPr>
                    <w:t>占标率%</w:t>
                  </w:r>
                </w:p>
              </w:tc>
              <w:tc>
                <w:tcPr>
                  <w:tcW w:w="964" w:type="dxa"/>
                  <w:noWrap w:val="0"/>
                  <w:vAlign w:val="center"/>
                </w:tcPr>
                <w:p w14:paraId="58C1926B">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kern w:val="0"/>
                      <w:sz w:val="21"/>
                      <w:szCs w:val="21"/>
                      <w:highlight w:val="none"/>
                      <w:lang w:val="en-US" w:eastAsia="zh-CN" w:bidi="ar-SA"/>
                    </w:rPr>
                    <w:t>达标情况</w:t>
                  </w:r>
                </w:p>
              </w:tc>
            </w:tr>
            <w:tr w14:paraId="61B696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67" w:type="dxa"/>
                  <w:noWrap w:val="0"/>
                  <w:vAlign w:val="center"/>
                </w:tcPr>
                <w:p w14:paraId="28946A71">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1</w:t>
                  </w:r>
                </w:p>
              </w:tc>
              <w:tc>
                <w:tcPr>
                  <w:tcW w:w="829" w:type="dxa"/>
                  <w:noWrap w:val="0"/>
                  <w:vAlign w:val="center"/>
                </w:tcPr>
                <w:p w14:paraId="6867B8FB">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SO</w:t>
                  </w:r>
                  <w:r>
                    <w:rPr>
                      <w:rFonts w:hint="default" w:ascii="Times New Roman" w:hAnsi="Times New Roman" w:eastAsia="宋体" w:cs="Times New Roman"/>
                      <w:color w:val="auto"/>
                      <w:kern w:val="0"/>
                      <w:sz w:val="21"/>
                      <w:szCs w:val="21"/>
                      <w:highlight w:val="none"/>
                      <w:vertAlign w:val="subscript"/>
                      <w:lang w:val="en-US" w:eastAsia="zh-CN" w:bidi="ar-SA"/>
                    </w:rPr>
                    <w:t>2</w:t>
                  </w:r>
                </w:p>
              </w:tc>
              <w:tc>
                <w:tcPr>
                  <w:tcW w:w="2290" w:type="dxa"/>
                  <w:noWrap w:val="0"/>
                  <w:vAlign w:val="center"/>
                </w:tcPr>
                <w:p w14:paraId="4A7427EA">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年平均</w:t>
                  </w:r>
                </w:p>
              </w:tc>
              <w:tc>
                <w:tcPr>
                  <w:tcW w:w="1443" w:type="dxa"/>
                  <w:noWrap w:val="0"/>
                  <w:vAlign w:val="center"/>
                </w:tcPr>
                <w:p w14:paraId="559351F7">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60</w:t>
                  </w:r>
                </w:p>
              </w:tc>
              <w:tc>
                <w:tcPr>
                  <w:tcW w:w="1145" w:type="dxa"/>
                  <w:noWrap w:val="0"/>
                  <w:vAlign w:val="center"/>
                </w:tcPr>
                <w:p w14:paraId="55EA9E8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7.2</w:t>
                  </w:r>
                </w:p>
              </w:tc>
              <w:tc>
                <w:tcPr>
                  <w:tcW w:w="1100" w:type="dxa"/>
                  <w:noWrap w:val="0"/>
                  <w:vAlign w:val="center"/>
                </w:tcPr>
                <w:p w14:paraId="03DA82AE">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12</w:t>
                  </w:r>
                </w:p>
              </w:tc>
              <w:tc>
                <w:tcPr>
                  <w:tcW w:w="964" w:type="dxa"/>
                  <w:noWrap w:val="0"/>
                  <w:vAlign w:val="center"/>
                </w:tcPr>
                <w:p w14:paraId="1E1DCC7E">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达标</w:t>
                  </w:r>
                </w:p>
              </w:tc>
            </w:tr>
            <w:tr w14:paraId="73807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567" w:type="dxa"/>
                  <w:noWrap w:val="0"/>
                  <w:vAlign w:val="center"/>
                </w:tcPr>
                <w:p w14:paraId="2FFCFF59">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2</w:t>
                  </w:r>
                </w:p>
              </w:tc>
              <w:tc>
                <w:tcPr>
                  <w:tcW w:w="829" w:type="dxa"/>
                  <w:noWrap w:val="0"/>
                  <w:vAlign w:val="center"/>
                </w:tcPr>
                <w:p w14:paraId="37E4F348">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NO</w:t>
                  </w:r>
                  <w:r>
                    <w:rPr>
                      <w:rFonts w:hint="default" w:ascii="Times New Roman" w:hAnsi="Times New Roman" w:eastAsia="宋体" w:cs="Times New Roman"/>
                      <w:color w:val="auto"/>
                      <w:kern w:val="0"/>
                      <w:sz w:val="21"/>
                      <w:szCs w:val="21"/>
                      <w:highlight w:val="none"/>
                      <w:vertAlign w:val="subscript"/>
                      <w:lang w:val="en-US" w:eastAsia="zh-CN" w:bidi="ar-SA"/>
                    </w:rPr>
                    <w:t>2</w:t>
                  </w:r>
                </w:p>
              </w:tc>
              <w:tc>
                <w:tcPr>
                  <w:tcW w:w="2290" w:type="dxa"/>
                  <w:noWrap w:val="0"/>
                  <w:vAlign w:val="center"/>
                </w:tcPr>
                <w:p w14:paraId="4348CDCC">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年平均</w:t>
                  </w:r>
                </w:p>
              </w:tc>
              <w:tc>
                <w:tcPr>
                  <w:tcW w:w="1443" w:type="dxa"/>
                  <w:noWrap w:val="0"/>
                  <w:vAlign w:val="center"/>
                </w:tcPr>
                <w:p w14:paraId="6740792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40</w:t>
                  </w:r>
                </w:p>
              </w:tc>
              <w:tc>
                <w:tcPr>
                  <w:tcW w:w="1145" w:type="dxa"/>
                  <w:noWrap w:val="0"/>
                  <w:vAlign w:val="center"/>
                </w:tcPr>
                <w:p w14:paraId="5873C714">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17.3</w:t>
                  </w:r>
                </w:p>
              </w:tc>
              <w:tc>
                <w:tcPr>
                  <w:tcW w:w="1100" w:type="dxa"/>
                  <w:noWrap w:val="0"/>
                  <w:vAlign w:val="center"/>
                </w:tcPr>
                <w:p w14:paraId="48F31198">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42.5</w:t>
                  </w:r>
                </w:p>
              </w:tc>
              <w:tc>
                <w:tcPr>
                  <w:tcW w:w="964" w:type="dxa"/>
                  <w:noWrap w:val="0"/>
                  <w:vAlign w:val="center"/>
                </w:tcPr>
                <w:p w14:paraId="23D1F50B">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SA"/>
                    </w:rPr>
                    <w:t>达标</w:t>
                  </w:r>
                </w:p>
              </w:tc>
            </w:tr>
            <w:tr w14:paraId="6BDD0D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67" w:type="dxa"/>
                  <w:noWrap w:val="0"/>
                  <w:vAlign w:val="center"/>
                </w:tcPr>
                <w:p w14:paraId="213CD96A">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3</w:t>
                  </w:r>
                </w:p>
              </w:tc>
              <w:tc>
                <w:tcPr>
                  <w:tcW w:w="829" w:type="dxa"/>
                  <w:noWrap w:val="0"/>
                  <w:vAlign w:val="center"/>
                </w:tcPr>
                <w:p w14:paraId="6DEEAE29">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PM</w:t>
                  </w:r>
                  <w:r>
                    <w:rPr>
                      <w:rFonts w:hint="default" w:ascii="Times New Roman" w:hAnsi="Times New Roman" w:eastAsia="宋体" w:cs="Times New Roman"/>
                      <w:color w:val="auto"/>
                      <w:kern w:val="0"/>
                      <w:sz w:val="21"/>
                      <w:szCs w:val="21"/>
                      <w:highlight w:val="none"/>
                      <w:vertAlign w:val="subscript"/>
                      <w:lang w:val="en-US" w:eastAsia="zh-CN" w:bidi="ar-SA"/>
                    </w:rPr>
                    <w:t>10</w:t>
                  </w:r>
                </w:p>
              </w:tc>
              <w:tc>
                <w:tcPr>
                  <w:tcW w:w="2290" w:type="dxa"/>
                  <w:noWrap w:val="0"/>
                  <w:vAlign w:val="center"/>
                </w:tcPr>
                <w:p w14:paraId="63DAB326">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年平均</w:t>
                  </w:r>
                </w:p>
              </w:tc>
              <w:tc>
                <w:tcPr>
                  <w:tcW w:w="1443" w:type="dxa"/>
                  <w:noWrap w:val="0"/>
                  <w:vAlign w:val="center"/>
                </w:tcPr>
                <w:p w14:paraId="208C8E4E">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70</w:t>
                  </w:r>
                </w:p>
              </w:tc>
              <w:tc>
                <w:tcPr>
                  <w:tcW w:w="1145" w:type="dxa"/>
                  <w:noWrap w:val="0"/>
                  <w:vAlign w:val="center"/>
                </w:tcPr>
                <w:p w14:paraId="4E4D3F33">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52.8</w:t>
                  </w:r>
                </w:p>
              </w:tc>
              <w:tc>
                <w:tcPr>
                  <w:tcW w:w="1100" w:type="dxa"/>
                  <w:noWrap w:val="0"/>
                  <w:vAlign w:val="center"/>
                </w:tcPr>
                <w:p w14:paraId="20071B4A">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75.4</w:t>
                  </w:r>
                </w:p>
              </w:tc>
              <w:tc>
                <w:tcPr>
                  <w:tcW w:w="964" w:type="dxa"/>
                  <w:noWrap w:val="0"/>
                  <w:vAlign w:val="center"/>
                </w:tcPr>
                <w:p w14:paraId="23B7161D">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kern w:val="0"/>
                      <w:sz w:val="21"/>
                      <w:szCs w:val="21"/>
                      <w:highlight w:val="none"/>
                      <w:lang w:val="en-US" w:eastAsia="zh-CN" w:bidi="ar-SA"/>
                    </w:rPr>
                    <w:t>达标</w:t>
                  </w:r>
                </w:p>
              </w:tc>
            </w:tr>
            <w:tr w14:paraId="196DA2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67" w:type="dxa"/>
                  <w:noWrap w:val="0"/>
                  <w:vAlign w:val="center"/>
                </w:tcPr>
                <w:p w14:paraId="7DB1E62E">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4</w:t>
                  </w:r>
                </w:p>
              </w:tc>
              <w:tc>
                <w:tcPr>
                  <w:tcW w:w="829" w:type="dxa"/>
                  <w:noWrap w:val="0"/>
                  <w:vAlign w:val="center"/>
                </w:tcPr>
                <w:p w14:paraId="2C6E13CF">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PM</w:t>
                  </w:r>
                  <w:r>
                    <w:rPr>
                      <w:rFonts w:hint="default" w:ascii="Times New Roman" w:hAnsi="Times New Roman" w:eastAsia="宋体" w:cs="Times New Roman"/>
                      <w:color w:val="auto"/>
                      <w:kern w:val="0"/>
                      <w:sz w:val="21"/>
                      <w:szCs w:val="21"/>
                      <w:highlight w:val="none"/>
                      <w:vertAlign w:val="subscript"/>
                      <w:lang w:val="en-US" w:eastAsia="zh-CN" w:bidi="ar-SA"/>
                    </w:rPr>
                    <w:t>2.5</w:t>
                  </w:r>
                </w:p>
              </w:tc>
              <w:tc>
                <w:tcPr>
                  <w:tcW w:w="2290" w:type="dxa"/>
                  <w:noWrap w:val="0"/>
                  <w:vAlign w:val="center"/>
                </w:tcPr>
                <w:p w14:paraId="786E0027">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年平均</w:t>
                  </w:r>
                </w:p>
              </w:tc>
              <w:tc>
                <w:tcPr>
                  <w:tcW w:w="1443" w:type="dxa"/>
                  <w:noWrap w:val="0"/>
                  <w:vAlign w:val="center"/>
                </w:tcPr>
                <w:p w14:paraId="39667E41">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35</w:t>
                  </w:r>
                </w:p>
              </w:tc>
              <w:tc>
                <w:tcPr>
                  <w:tcW w:w="1145" w:type="dxa"/>
                  <w:noWrap w:val="0"/>
                  <w:vAlign w:val="center"/>
                </w:tcPr>
                <w:p w14:paraId="36807185">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25.9</w:t>
                  </w:r>
                </w:p>
              </w:tc>
              <w:tc>
                <w:tcPr>
                  <w:tcW w:w="1100" w:type="dxa"/>
                  <w:noWrap w:val="0"/>
                  <w:vAlign w:val="center"/>
                </w:tcPr>
                <w:p w14:paraId="6F085CAC">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74</w:t>
                  </w:r>
                </w:p>
              </w:tc>
              <w:tc>
                <w:tcPr>
                  <w:tcW w:w="964" w:type="dxa"/>
                  <w:noWrap w:val="0"/>
                  <w:vAlign w:val="center"/>
                </w:tcPr>
                <w:p w14:paraId="58086769">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SA"/>
                    </w:rPr>
                    <w:t>达标</w:t>
                  </w:r>
                </w:p>
              </w:tc>
            </w:tr>
            <w:tr w14:paraId="7BC45E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67" w:type="dxa"/>
                  <w:noWrap w:val="0"/>
                  <w:vAlign w:val="center"/>
                </w:tcPr>
                <w:p w14:paraId="11829789">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5</w:t>
                  </w:r>
                </w:p>
              </w:tc>
              <w:tc>
                <w:tcPr>
                  <w:tcW w:w="829" w:type="dxa"/>
                  <w:noWrap w:val="0"/>
                  <w:vAlign w:val="center"/>
                </w:tcPr>
                <w:p w14:paraId="23228CDE">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CO</w:t>
                  </w:r>
                </w:p>
              </w:tc>
              <w:tc>
                <w:tcPr>
                  <w:tcW w:w="2290" w:type="dxa"/>
                  <w:noWrap w:val="0"/>
                  <w:vAlign w:val="center"/>
                </w:tcPr>
                <w:p w14:paraId="29E10BCF">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95百分位24小时平均</w:t>
                  </w:r>
                </w:p>
              </w:tc>
              <w:tc>
                <w:tcPr>
                  <w:tcW w:w="1443" w:type="dxa"/>
                  <w:noWrap w:val="0"/>
                  <w:vAlign w:val="center"/>
                </w:tcPr>
                <w:p w14:paraId="02B5F307">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4000</w:t>
                  </w:r>
                </w:p>
              </w:tc>
              <w:tc>
                <w:tcPr>
                  <w:tcW w:w="1145" w:type="dxa"/>
                  <w:noWrap w:val="0"/>
                  <w:vAlign w:val="center"/>
                </w:tcPr>
                <w:p w14:paraId="41BE9767">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1300</w:t>
                  </w:r>
                </w:p>
              </w:tc>
              <w:tc>
                <w:tcPr>
                  <w:tcW w:w="1100" w:type="dxa"/>
                  <w:noWrap w:val="0"/>
                  <w:vAlign w:val="center"/>
                </w:tcPr>
                <w:p w14:paraId="42456268">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32.5</w:t>
                  </w:r>
                </w:p>
              </w:tc>
              <w:tc>
                <w:tcPr>
                  <w:tcW w:w="964" w:type="dxa"/>
                  <w:noWrap w:val="0"/>
                  <w:vAlign w:val="center"/>
                </w:tcPr>
                <w:p w14:paraId="3CEA01B9">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达标</w:t>
                  </w:r>
                </w:p>
              </w:tc>
            </w:tr>
            <w:tr w14:paraId="4FC730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67" w:type="dxa"/>
                  <w:noWrap w:val="0"/>
                  <w:vAlign w:val="center"/>
                </w:tcPr>
                <w:p w14:paraId="726A25F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6</w:t>
                  </w:r>
                </w:p>
              </w:tc>
              <w:tc>
                <w:tcPr>
                  <w:tcW w:w="829" w:type="dxa"/>
                  <w:noWrap w:val="0"/>
                  <w:vAlign w:val="center"/>
                </w:tcPr>
                <w:p w14:paraId="7B2ACB5A">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O</w:t>
                  </w:r>
                  <w:r>
                    <w:rPr>
                      <w:rFonts w:hint="default" w:ascii="Times New Roman" w:hAnsi="Times New Roman" w:eastAsia="宋体" w:cs="Times New Roman"/>
                      <w:color w:val="auto"/>
                      <w:kern w:val="0"/>
                      <w:sz w:val="21"/>
                      <w:szCs w:val="21"/>
                      <w:highlight w:val="none"/>
                      <w:vertAlign w:val="subscript"/>
                      <w:lang w:val="en-US" w:eastAsia="zh-CN" w:bidi="ar-SA"/>
                    </w:rPr>
                    <w:t>3</w:t>
                  </w:r>
                </w:p>
              </w:tc>
              <w:tc>
                <w:tcPr>
                  <w:tcW w:w="2290" w:type="dxa"/>
                  <w:noWrap w:val="0"/>
                  <w:vAlign w:val="center"/>
                </w:tcPr>
                <w:p w14:paraId="301D80EF">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90百分位8小时平均</w:t>
                  </w:r>
                </w:p>
              </w:tc>
              <w:tc>
                <w:tcPr>
                  <w:tcW w:w="1443" w:type="dxa"/>
                  <w:noWrap w:val="0"/>
                  <w:vAlign w:val="center"/>
                </w:tcPr>
                <w:p w14:paraId="2310175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160</w:t>
                  </w:r>
                </w:p>
              </w:tc>
              <w:tc>
                <w:tcPr>
                  <w:tcW w:w="1145" w:type="dxa"/>
                  <w:noWrap w:val="0"/>
                  <w:vAlign w:val="center"/>
                </w:tcPr>
                <w:p w14:paraId="7E25BC5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132.5</w:t>
                  </w:r>
                </w:p>
              </w:tc>
              <w:tc>
                <w:tcPr>
                  <w:tcW w:w="1100" w:type="dxa"/>
                  <w:noWrap w:val="0"/>
                  <w:vAlign w:val="center"/>
                </w:tcPr>
                <w:p w14:paraId="784B3E4A">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82.8</w:t>
                  </w:r>
                </w:p>
              </w:tc>
              <w:tc>
                <w:tcPr>
                  <w:tcW w:w="964" w:type="dxa"/>
                  <w:noWrap w:val="0"/>
                  <w:vAlign w:val="center"/>
                </w:tcPr>
                <w:p w14:paraId="5FD337D1">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20" w:lineRule="atLeast"/>
                    <w:ind w:left="0" w:right="0"/>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达标</w:t>
                  </w:r>
                </w:p>
              </w:tc>
            </w:tr>
          </w:tbl>
          <w:p w14:paraId="707FB70D">
            <w:pPr>
              <w:widowControl w:val="0"/>
              <w:adjustRightInd w:val="0"/>
              <w:spacing w:line="360" w:lineRule="auto"/>
              <w:ind w:firstLine="480" w:firstLineChars="200"/>
              <w:jc w:val="left"/>
              <w:textAlignment w:val="baseline"/>
              <w:rPr>
                <w:rFonts w:hint="default" w:ascii="Times New Roman" w:hAnsi="Times New Roman" w:eastAsia="宋体" w:cs="Times New Roman"/>
                <w:b/>
                <w:bCs/>
                <w:color w:val="auto"/>
                <w:kern w:val="0"/>
                <w:sz w:val="24"/>
                <w:szCs w:val="24"/>
                <w:vertAlign w:val="superscript"/>
                <w:lang w:val="en-US" w:eastAsia="zh-CN" w:bidi="ar-SA"/>
              </w:rPr>
            </w:pPr>
            <w:r>
              <w:rPr>
                <w:rFonts w:hint="default" w:ascii="Times New Roman" w:hAnsi="Times New Roman" w:eastAsia="宋体" w:cs="Times New Roman"/>
                <w:color w:val="auto"/>
                <w:kern w:val="2"/>
                <w:sz w:val="24"/>
                <w:szCs w:val="24"/>
                <w:lang w:val="en-US" w:eastAsia="zh-CN"/>
              </w:rPr>
              <w:t>根据</w:t>
            </w:r>
            <w:r>
              <w:rPr>
                <w:rFonts w:hint="default" w:ascii="Times New Roman" w:hAnsi="Times New Roman" w:eastAsia="宋体" w:cs="Times New Roman"/>
                <w:color w:val="auto"/>
                <w:kern w:val="2"/>
                <w:sz w:val="24"/>
                <w:szCs w:val="24"/>
                <w:lang w:eastAsia="zh-CN"/>
              </w:rPr>
              <w:t>《环境空气质量评价技术规范（试行）》（HJ663</w:t>
            </w:r>
            <w:r>
              <w:rPr>
                <w:rFonts w:hint="default" w:ascii="Times New Roman" w:hAnsi="Times New Roman" w:eastAsia="宋体" w:cs="Times New Roman"/>
                <w:color w:val="auto"/>
                <w:kern w:val="2"/>
                <w:sz w:val="24"/>
                <w:szCs w:val="24"/>
                <w:lang w:val="en-US" w:eastAsia="zh-CN"/>
              </w:rPr>
              <w:t>-2013</w:t>
            </w:r>
            <w:r>
              <w:rPr>
                <w:rFonts w:hint="default" w:ascii="Times New Roman" w:hAnsi="Times New Roman" w:eastAsia="宋体" w:cs="Times New Roman"/>
                <w:color w:val="auto"/>
                <w:kern w:val="2"/>
                <w:sz w:val="24"/>
                <w:szCs w:val="24"/>
                <w:lang w:eastAsia="zh-CN"/>
              </w:rPr>
              <w:t>），按照2013年以来全国环境质量报告书采用的达标评价方法，目前只考虑</w:t>
            </w:r>
            <w:r>
              <w:rPr>
                <w:rFonts w:hint="default" w:ascii="Times New Roman" w:hAnsi="Times New Roman" w:eastAsia="宋体" w:cs="Times New Roman"/>
                <w:color w:val="auto"/>
                <w:kern w:val="0"/>
                <w:sz w:val="24"/>
                <w:szCs w:val="24"/>
              </w:rPr>
              <w:t>SO</w:t>
            </w:r>
            <w:r>
              <w:rPr>
                <w:rFonts w:hint="default" w:ascii="Times New Roman" w:hAnsi="Times New Roman" w:eastAsia="宋体" w:cs="Times New Roman"/>
                <w:color w:val="auto"/>
                <w:kern w:val="0"/>
                <w:sz w:val="24"/>
                <w:szCs w:val="24"/>
                <w:vertAlign w:val="subscript"/>
              </w:rPr>
              <w:t>2</w:t>
            </w:r>
            <w:r>
              <w:rPr>
                <w:rFonts w:hint="default" w:ascii="Times New Roman" w:hAnsi="Times New Roman" w:eastAsia="宋体" w:cs="Times New Roman"/>
                <w:color w:val="auto"/>
                <w:kern w:val="0"/>
                <w:sz w:val="24"/>
                <w:szCs w:val="24"/>
              </w:rPr>
              <w:t>、NO</w:t>
            </w:r>
            <w:r>
              <w:rPr>
                <w:rFonts w:hint="default" w:ascii="Times New Roman" w:hAnsi="Times New Roman" w:eastAsia="宋体" w:cs="Times New Roman"/>
                <w:color w:val="auto"/>
                <w:kern w:val="0"/>
                <w:sz w:val="24"/>
                <w:szCs w:val="24"/>
                <w:vertAlign w:val="subscript"/>
              </w:rPr>
              <w:t>2</w:t>
            </w:r>
            <w:r>
              <w:rPr>
                <w:rFonts w:hint="default" w:ascii="Times New Roman" w:hAnsi="Times New Roman" w:eastAsia="宋体" w:cs="Times New Roman"/>
                <w:color w:val="auto"/>
                <w:kern w:val="0"/>
                <w:sz w:val="24"/>
                <w:szCs w:val="24"/>
              </w:rPr>
              <w:t>、PM</w:t>
            </w:r>
            <w:r>
              <w:rPr>
                <w:rFonts w:hint="default" w:ascii="Times New Roman" w:hAnsi="Times New Roman" w:eastAsia="宋体" w:cs="Times New Roman"/>
                <w:color w:val="auto"/>
                <w:kern w:val="0"/>
                <w:sz w:val="24"/>
                <w:szCs w:val="24"/>
                <w:vertAlign w:val="subscript"/>
              </w:rPr>
              <w:t>10</w:t>
            </w:r>
            <w:r>
              <w:rPr>
                <w:rFonts w:hint="default" w:ascii="Times New Roman" w:hAnsi="Times New Roman" w:eastAsia="宋体" w:cs="Times New Roman"/>
                <w:color w:val="auto"/>
                <w:kern w:val="0"/>
                <w:sz w:val="24"/>
                <w:szCs w:val="24"/>
              </w:rPr>
              <w:t>、PM</w:t>
            </w:r>
            <w:r>
              <w:rPr>
                <w:rFonts w:hint="default" w:ascii="Times New Roman" w:hAnsi="Times New Roman" w:eastAsia="宋体" w:cs="Times New Roman"/>
                <w:color w:val="auto"/>
                <w:kern w:val="0"/>
                <w:sz w:val="24"/>
                <w:szCs w:val="24"/>
                <w:vertAlign w:val="subscript"/>
              </w:rPr>
              <w:t>2.5</w:t>
            </w:r>
            <w:r>
              <w:rPr>
                <w:rFonts w:hint="default" w:ascii="Times New Roman" w:hAnsi="Times New Roman" w:eastAsia="宋体" w:cs="Times New Roman"/>
                <w:color w:val="auto"/>
                <w:kern w:val="2"/>
                <w:sz w:val="24"/>
                <w:szCs w:val="24"/>
                <w:lang w:eastAsia="zh-CN"/>
              </w:rPr>
              <w:t>年平均浓度和CO、O</w:t>
            </w:r>
            <w:r>
              <w:rPr>
                <w:rFonts w:hint="default" w:ascii="Times New Roman" w:hAnsi="Times New Roman" w:eastAsia="宋体" w:cs="Times New Roman"/>
                <w:color w:val="auto"/>
                <w:kern w:val="2"/>
                <w:sz w:val="24"/>
                <w:szCs w:val="24"/>
                <w:vertAlign w:val="subscript"/>
                <w:lang w:eastAsia="zh-CN"/>
              </w:rPr>
              <w:t>3</w:t>
            </w:r>
            <w:r>
              <w:rPr>
                <w:rFonts w:hint="default" w:ascii="Times New Roman" w:hAnsi="Times New Roman" w:eastAsia="宋体" w:cs="Times New Roman"/>
                <w:color w:val="auto"/>
                <w:kern w:val="2"/>
                <w:sz w:val="24"/>
                <w:szCs w:val="24"/>
                <w:lang w:eastAsia="zh-CN"/>
              </w:rPr>
              <w:t>百分位浓度的达标情况。</w:t>
            </w:r>
          </w:p>
          <w:p w14:paraId="255A114C">
            <w:pPr>
              <w:bidi w:val="0"/>
              <w:spacing w:line="360" w:lineRule="auto"/>
              <w:ind w:firstLine="480" w:firstLineChars="200"/>
              <w:jc w:val="both"/>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rPr>
              <w:t>由评价结果来看，</w:t>
            </w:r>
            <w:r>
              <w:rPr>
                <w:rFonts w:hint="default" w:ascii="Times New Roman" w:hAnsi="Times New Roman" w:eastAsia="宋体" w:cs="Times New Roman"/>
                <w:color w:val="auto"/>
                <w:kern w:val="2"/>
                <w:sz w:val="24"/>
                <w:szCs w:val="24"/>
                <w:lang w:val="en-US" w:eastAsia="zh-CN" w:bidi="ar-SA"/>
              </w:rPr>
              <w:t>SO</w:t>
            </w:r>
            <w:r>
              <w:rPr>
                <w:rFonts w:hint="default" w:ascii="Times New Roman" w:hAnsi="Times New Roman" w:eastAsia="宋体" w:cs="Times New Roman"/>
                <w:color w:val="auto"/>
                <w:kern w:val="2"/>
                <w:sz w:val="24"/>
                <w:szCs w:val="24"/>
                <w:vertAlign w:val="subscript"/>
                <w:lang w:val="en-US" w:eastAsia="zh-CN" w:bidi="ar-SA"/>
              </w:rPr>
              <w:t>2</w:t>
            </w:r>
            <w:r>
              <w:rPr>
                <w:rFonts w:hint="default"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0"/>
                <w:sz w:val="24"/>
                <w:szCs w:val="24"/>
                <w:lang w:val="en-US" w:eastAsia="zh-CN" w:bidi="ar-SA"/>
              </w:rPr>
              <w:t>NO</w:t>
            </w:r>
            <w:r>
              <w:rPr>
                <w:rFonts w:hint="default" w:ascii="Times New Roman" w:hAnsi="Times New Roman" w:eastAsia="宋体" w:cs="Times New Roman"/>
                <w:color w:val="auto"/>
                <w:kern w:val="0"/>
                <w:sz w:val="24"/>
                <w:szCs w:val="24"/>
                <w:vertAlign w:val="subscript"/>
                <w:lang w:val="en-US" w:eastAsia="zh-CN" w:bidi="ar-SA"/>
              </w:rPr>
              <w:t>2</w:t>
            </w:r>
            <w:r>
              <w:rPr>
                <w:rFonts w:hint="default" w:ascii="Times New Roman" w:hAnsi="Times New Roman" w:eastAsia="宋体" w:cs="Times New Roman"/>
                <w:color w:val="auto"/>
                <w:kern w:val="0"/>
                <w:sz w:val="21"/>
                <w:szCs w:val="21"/>
                <w:vertAlign w:val="baseline"/>
                <w:lang w:val="en-US" w:eastAsia="zh-CN" w:bidi="ar-SA"/>
              </w:rPr>
              <w:t>、</w:t>
            </w:r>
            <w:r>
              <w:rPr>
                <w:rFonts w:hint="default" w:ascii="Times New Roman" w:hAnsi="Times New Roman" w:eastAsia="宋体" w:cs="Times New Roman"/>
                <w:color w:val="auto"/>
                <w:kern w:val="2"/>
                <w:sz w:val="24"/>
                <w:szCs w:val="24"/>
                <w:lang w:val="en-US" w:eastAsia="zh-CN" w:bidi="ar-SA"/>
              </w:rPr>
              <w:t>CO、O</w:t>
            </w:r>
            <w:r>
              <w:rPr>
                <w:rFonts w:hint="default" w:ascii="Times New Roman" w:hAnsi="Times New Roman" w:eastAsia="宋体" w:cs="Times New Roman"/>
                <w:color w:val="auto"/>
                <w:kern w:val="2"/>
                <w:sz w:val="24"/>
                <w:szCs w:val="24"/>
                <w:vertAlign w:val="subscript"/>
                <w:lang w:val="en-US" w:eastAsia="zh-CN" w:bidi="ar-SA"/>
              </w:rPr>
              <w:t>3</w:t>
            </w:r>
            <w:r>
              <w:rPr>
                <w:rFonts w:hint="default" w:ascii="Times New Roman" w:hAnsi="Times New Roman" w:eastAsia="宋体" w:cs="Times New Roman"/>
                <w:color w:val="auto"/>
                <w:kern w:val="2"/>
                <w:sz w:val="24"/>
                <w:szCs w:val="24"/>
                <w:vertAlign w:val="baseline"/>
                <w:lang w:val="en-US" w:eastAsia="zh-CN" w:bidi="ar-SA"/>
              </w:rPr>
              <w:t>、</w:t>
            </w:r>
            <w:r>
              <w:rPr>
                <w:rFonts w:hint="default" w:ascii="Times New Roman" w:hAnsi="Times New Roman" w:eastAsia="宋体" w:cs="Times New Roman"/>
                <w:color w:val="auto"/>
                <w:kern w:val="2"/>
                <w:sz w:val="24"/>
                <w:szCs w:val="24"/>
                <w:lang w:val="en-US" w:eastAsia="zh-CN" w:bidi="ar-SA"/>
              </w:rPr>
              <w:t>PM</w:t>
            </w:r>
            <w:r>
              <w:rPr>
                <w:rFonts w:hint="default" w:ascii="Times New Roman" w:hAnsi="Times New Roman" w:eastAsia="宋体" w:cs="Times New Roman"/>
                <w:color w:val="auto"/>
                <w:kern w:val="2"/>
                <w:sz w:val="24"/>
                <w:szCs w:val="24"/>
                <w:vertAlign w:val="subscript"/>
                <w:lang w:val="en-US" w:eastAsia="zh-CN" w:bidi="ar-SA"/>
              </w:rPr>
              <w:t>10</w:t>
            </w:r>
            <w:r>
              <w:rPr>
                <w:rFonts w:hint="default" w:ascii="Times New Roman" w:hAnsi="Times New Roman" w:eastAsia="宋体" w:cs="Times New Roman"/>
                <w:color w:val="auto"/>
                <w:kern w:val="2"/>
                <w:sz w:val="24"/>
                <w:szCs w:val="24"/>
                <w:lang w:val="en-US" w:eastAsia="zh-CN" w:bidi="ar-SA"/>
              </w:rPr>
              <w:t>、PM</w:t>
            </w:r>
            <w:r>
              <w:rPr>
                <w:rFonts w:hint="default" w:ascii="Times New Roman" w:hAnsi="Times New Roman" w:eastAsia="宋体" w:cs="Times New Roman"/>
                <w:color w:val="auto"/>
                <w:kern w:val="2"/>
                <w:sz w:val="24"/>
                <w:szCs w:val="24"/>
                <w:vertAlign w:val="subscript"/>
                <w:lang w:val="en-US" w:eastAsia="zh-CN" w:bidi="ar-SA"/>
              </w:rPr>
              <w:t>2.5</w:t>
            </w:r>
            <w:r>
              <w:rPr>
                <w:rFonts w:hint="default" w:ascii="Times New Roman" w:hAnsi="Times New Roman" w:eastAsia="宋体" w:cs="Times New Roman"/>
                <w:color w:val="auto"/>
                <w:kern w:val="2"/>
                <w:sz w:val="24"/>
                <w:szCs w:val="24"/>
              </w:rPr>
              <w:t>平均浓度均优于《环境空气质量标准》（GB3095-2012）中二级标准限值</w:t>
            </w:r>
            <w:r>
              <w:rPr>
                <w:rFonts w:hint="default" w:ascii="Times New Roman" w:hAnsi="Times New Roman" w:eastAsia="宋体" w:cs="Times New Roman"/>
                <w:color w:val="auto"/>
                <w:kern w:val="2"/>
                <w:sz w:val="24"/>
                <w:szCs w:val="24"/>
                <w:lang w:eastAsia="zh-CN"/>
              </w:rPr>
              <w:t>，</w:t>
            </w:r>
            <w:r>
              <w:rPr>
                <w:rFonts w:hint="default" w:ascii="Times New Roman" w:hAnsi="Times New Roman" w:eastAsia="宋体" w:cs="Times New Roman"/>
                <w:color w:val="auto"/>
                <w:kern w:val="2"/>
                <w:sz w:val="24"/>
                <w:szCs w:val="24"/>
                <w:vertAlign w:val="baseline"/>
                <w:lang w:val="en-US" w:eastAsia="zh-CN" w:bidi="ar-SA"/>
              </w:rPr>
              <w:t>综上，</w:t>
            </w:r>
            <w:r>
              <w:rPr>
                <w:rFonts w:hint="default" w:ascii="Times New Roman" w:hAnsi="Times New Roman" w:eastAsia="宋体" w:cs="Times New Roman"/>
                <w:color w:val="auto"/>
                <w:kern w:val="2"/>
                <w:sz w:val="24"/>
                <w:szCs w:val="24"/>
              </w:rPr>
              <w:t>项目区为</w:t>
            </w:r>
            <w:r>
              <w:rPr>
                <w:rFonts w:hint="default" w:ascii="Times New Roman" w:hAnsi="Times New Roman" w:eastAsia="宋体" w:cs="Times New Roman"/>
                <w:color w:val="auto"/>
                <w:kern w:val="2"/>
                <w:sz w:val="24"/>
                <w:szCs w:val="24"/>
                <w:lang w:val="en-US" w:eastAsia="zh-CN"/>
              </w:rPr>
              <w:t>空气质量</w:t>
            </w:r>
            <w:r>
              <w:rPr>
                <w:rFonts w:hint="default" w:ascii="Times New Roman" w:hAnsi="Times New Roman" w:eastAsia="宋体" w:cs="Times New Roman"/>
                <w:color w:val="auto"/>
                <w:kern w:val="2"/>
                <w:sz w:val="24"/>
                <w:szCs w:val="24"/>
              </w:rPr>
              <w:t>达标区。</w:t>
            </w:r>
          </w:p>
          <w:p w14:paraId="2B362660">
            <w:pPr>
              <w:overflowPunct/>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③特征污染物环境质量现状调查</w:t>
            </w:r>
          </w:p>
          <w:p w14:paraId="0E01A240">
            <w:pPr>
              <w:keepNext w:val="0"/>
              <w:keepLines w:val="0"/>
              <w:pageBreakBefore w:val="0"/>
              <w:widowControl w:val="0"/>
              <w:wordWrap/>
              <w:overflowPunct/>
              <w:topLinePunct w:val="0"/>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highlight w:val="yellow"/>
                <w:lang w:val="en-US" w:eastAsia="zh-CN"/>
              </w:rPr>
            </w:pPr>
            <w:r>
              <w:rPr>
                <w:rFonts w:hint="default" w:ascii="Times New Roman" w:hAnsi="Times New Roman" w:eastAsia="宋体" w:cs="Times New Roman"/>
                <w:color w:val="auto"/>
                <w:highlight w:val="none"/>
                <w:lang w:val="en-US" w:eastAsia="zh-CN"/>
              </w:rPr>
              <w:t>为了解项目所在地区环境空气中污染物现状，</w:t>
            </w:r>
            <w:r>
              <w:rPr>
                <w:rFonts w:hint="default" w:ascii="Times New Roman" w:hAnsi="Times New Roman" w:eastAsia="宋体" w:cs="Times New Roman"/>
                <w:b w:val="0"/>
                <w:bCs w:val="0"/>
                <w:color w:val="auto"/>
                <w:highlight w:val="none"/>
              </w:rPr>
              <w:t>特征污染因子</w:t>
            </w:r>
            <w:r>
              <w:rPr>
                <w:rFonts w:hint="default" w:ascii="Times New Roman" w:hAnsi="Times New Roman" w:eastAsia="宋体" w:cs="Times New Roman"/>
                <w:b w:val="0"/>
                <w:bCs w:val="0"/>
                <w:color w:val="auto"/>
                <w:highlight w:val="none"/>
                <w:lang w:val="en-US" w:eastAsia="zh-CN"/>
              </w:rPr>
              <w:t>TSP委托新疆锡水金山环境科技有限公司</w:t>
            </w:r>
            <w:r>
              <w:rPr>
                <w:rFonts w:hint="default" w:ascii="Times New Roman" w:hAnsi="Times New Roman" w:eastAsia="宋体" w:cs="Times New Roman"/>
                <w:b w:val="0"/>
                <w:bCs w:val="0"/>
                <w:color w:val="auto"/>
                <w:highlight w:val="none"/>
              </w:rPr>
              <w:t>于20</w:t>
            </w:r>
            <w:r>
              <w:rPr>
                <w:rFonts w:hint="default" w:ascii="Times New Roman" w:hAnsi="Times New Roman" w:eastAsia="宋体" w:cs="Times New Roman"/>
                <w:b w:val="0"/>
                <w:bCs w:val="0"/>
                <w:color w:val="auto"/>
                <w:highlight w:val="none"/>
                <w:lang w:val="en-US" w:eastAsia="zh-CN"/>
              </w:rPr>
              <w:t>25</w:t>
            </w:r>
            <w:r>
              <w:rPr>
                <w:rFonts w:hint="default" w:ascii="Times New Roman" w:hAnsi="Times New Roman" w:eastAsia="宋体" w:cs="Times New Roman"/>
                <w:b w:val="0"/>
                <w:bCs w:val="0"/>
                <w:color w:val="auto"/>
                <w:highlight w:val="none"/>
              </w:rPr>
              <w:t>年</w:t>
            </w:r>
            <w:r>
              <w:rPr>
                <w:rFonts w:hint="default" w:ascii="Times New Roman" w:hAnsi="Times New Roman" w:eastAsia="宋体" w:cs="Times New Roman"/>
                <w:b w:val="0"/>
                <w:bCs w:val="0"/>
                <w:color w:val="auto"/>
                <w:highlight w:val="none"/>
                <w:lang w:val="en-US" w:eastAsia="zh-CN"/>
              </w:rPr>
              <w:t>9</w:t>
            </w:r>
            <w:r>
              <w:rPr>
                <w:rFonts w:hint="default" w:ascii="Times New Roman" w:hAnsi="Times New Roman" w:eastAsia="宋体" w:cs="Times New Roman"/>
                <w:b w:val="0"/>
                <w:bCs w:val="0"/>
                <w:color w:val="auto"/>
                <w:highlight w:val="none"/>
              </w:rPr>
              <w:t>月</w:t>
            </w:r>
            <w:r>
              <w:rPr>
                <w:rFonts w:hint="default" w:ascii="Times New Roman" w:hAnsi="Times New Roman" w:eastAsia="宋体" w:cs="Times New Roman"/>
                <w:b w:val="0"/>
                <w:bCs w:val="0"/>
                <w:color w:val="auto"/>
                <w:highlight w:val="none"/>
                <w:lang w:val="en-US" w:eastAsia="zh-CN"/>
              </w:rPr>
              <w:t>5</w:t>
            </w:r>
            <w:r>
              <w:rPr>
                <w:rFonts w:hint="default" w:ascii="Times New Roman" w:hAnsi="Times New Roman" w:eastAsia="宋体" w:cs="Times New Roman"/>
                <w:b w:val="0"/>
                <w:bCs w:val="0"/>
                <w:color w:val="auto"/>
                <w:highlight w:val="none"/>
              </w:rPr>
              <w:t>日至20</w:t>
            </w:r>
            <w:r>
              <w:rPr>
                <w:rFonts w:hint="default" w:ascii="Times New Roman" w:hAnsi="Times New Roman" w:eastAsia="宋体" w:cs="Times New Roman"/>
                <w:b w:val="0"/>
                <w:bCs w:val="0"/>
                <w:color w:val="auto"/>
                <w:highlight w:val="none"/>
                <w:lang w:val="en-US" w:eastAsia="zh-CN"/>
              </w:rPr>
              <w:t>25</w:t>
            </w:r>
            <w:r>
              <w:rPr>
                <w:rFonts w:hint="default" w:ascii="Times New Roman" w:hAnsi="Times New Roman" w:eastAsia="宋体" w:cs="Times New Roman"/>
                <w:b w:val="0"/>
                <w:bCs w:val="0"/>
                <w:color w:val="auto"/>
                <w:highlight w:val="none"/>
              </w:rPr>
              <w:t>年</w:t>
            </w:r>
            <w:r>
              <w:rPr>
                <w:rFonts w:hint="default" w:ascii="Times New Roman" w:hAnsi="Times New Roman" w:eastAsia="宋体" w:cs="Times New Roman"/>
                <w:b w:val="0"/>
                <w:bCs w:val="0"/>
                <w:color w:val="auto"/>
                <w:highlight w:val="none"/>
                <w:lang w:val="en-US" w:eastAsia="zh-CN"/>
              </w:rPr>
              <w:t>9</w:t>
            </w:r>
            <w:r>
              <w:rPr>
                <w:rFonts w:hint="default" w:ascii="Times New Roman" w:hAnsi="Times New Roman" w:eastAsia="宋体" w:cs="Times New Roman"/>
                <w:b w:val="0"/>
                <w:bCs w:val="0"/>
                <w:color w:val="auto"/>
                <w:highlight w:val="none"/>
              </w:rPr>
              <w:t>月</w:t>
            </w:r>
            <w:r>
              <w:rPr>
                <w:rFonts w:hint="default" w:ascii="Times New Roman" w:hAnsi="Times New Roman" w:eastAsia="宋体" w:cs="Times New Roman"/>
                <w:b w:val="0"/>
                <w:bCs w:val="0"/>
                <w:color w:val="auto"/>
                <w:highlight w:val="none"/>
                <w:lang w:val="en-US" w:eastAsia="zh-CN"/>
              </w:rPr>
              <w:t>7</w:t>
            </w:r>
            <w:r>
              <w:rPr>
                <w:rFonts w:hint="default" w:ascii="Times New Roman" w:hAnsi="Times New Roman" w:eastAsia="宋体" w:cs="Times New Roman"/>
                <w:b w:val="0"/>
                <w:bCs w:val="0"/>
                <w:color w:val="auto"/>
                <w:highlight w:val="none"/>
              </w:rPr>
              <w:t>日</w:t>
            </w:r>
            <w:r>
              <w:rPr>
                <w:rFonts w:hint="default" w:ascii="Times New Roman" w:hAnsi="Times New Roman" w:eastAsia="宋体" w:cs="Times New Roman"/>
                <w:b w:val="0"/>
                <w:bCs w:val="0"/>
                <w:color w:val="auto"/>
                <w:highlight w:val="none"/>
                <w:lang w:val="en-US" w:eastAsia="zh-CN"/>
              </w:rPr>
              <w:t>对项目区下风向处进行补充监测</w:t>
            </w:r>
            <w:r>
              <w:rPr>
                <w:rFonts w:hint="default" w:ascii="Times New Roman" w:hAnsi="Times New Roman" w:eastAsia="宋体" w:cs="Times New Roman"/>
                <w:color w:val="auto"/>
                <w:highlight w:val="none"/>
                <w:lang w:val="en-US" w:eastAsia="zh-CN"/>
              </w:rPr>
              <w:t>。</w:t>
            </w:r>
            <w:bookmarkStart w:id="20" w:name="_Toc402353750"/>
            <w:bookmarkStart w:id="21" w:name="_Toc402868644"/>
            <w:bookmarkStart w:id="22" w:name="_Toc376272149"/>
            <w:bookmarkStart w:id="23" w:name="_Toc399193215"/>
            <w:bookmarkStart w:id="24" w:name="_Toc394504991"/>
            <w:bookmarkStart w:id="25" w:name="_Toc263844417"/>
            <w:bookmarkStart w:id="26" w:name="_Toc394504649"/>
            <w:bookmarkStart w:id="27" w:name="_Toc376355358"/>
            <w:bookmarkStart w:id="28" w:name="_Toc402878758"/>
            <w:bookmarkStart w:id="29" w:name="_Toc402354076"/>
            <w:bookmarkStart w:id="30" w:name="_Toc404178063"/>
            <w:r>
              <w:rPr>
                <w:rFonts w:hint="default" w:ascii="Times New Roman" w:hAnsi="Times New Roman" w:eastAsia="宋体" w:cs="Times New Roman"/>
                <w:color w:val="auto"/>
                <w:highlight w:val="none"/>
                <w:lang w:val="en-US" w:eastAsia="zh-CN"/>
              </w:rPr>
              <w:t xml:space="preserve"> </w:t>
            </w:r>
          </w:p>
          <w:p w14:paraId="75867A54">
            <w:pPr>
              <w:keepNext w:val="0"/>
              <w:keepLines w:val="0"/>
              <w:pageBreakBefore w:val="0"/>
              <w:widowControl w:val="0"/>
              <w:wordWrap/>
              <w:overflowPunct/>
              <w:topLinePunct w:val="0"/>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A.监测因子</w:t>
            </w:r>
            <w:bookmarkEnd w:id="20"/>
            <w:bookmarkEnd w:id="21"/>
            <w:bookmarkEnd w:id="22"/>
            <w:bookmarkEnd w:id="23"/>
            <w:bookmarkEnd w:id="24"/>
            <w:bookmarkEnd w:id="25"/>
            <w:bookmarkEnd w:id="26"/>
            <w:bookmarkEnd w:id="27"/>
            <w:bookmarkEnd w:id="28"/>
            <w:bookmarkEnd w:id="29"/>
            <w:bookmarkEnd w:id="30"/>
          </w:p>
          <w:p w14:paraId="1F77462B">
            <w:pPr>
              <w:keepNext w:val="0"/>
              <w:keepLines w:val="0"/>
              <w:pageBreakBefore w:val="0"/>
              <w:widowControl w:val="0"/>
              <w:wordWrap/>
              <w:overflowPunct/>
              <w:topLinePunct w:val="0"/>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监测因子：TSP。</w:t>
            </w:r>
          </w:p>
          <w:p w14:paraId="372EDC7F">
            <w:pPr>
              <w:keepNext w:val="0"/>
              <w:keepLines w:val="0"/>
              <w:pageBreakBefore w:val="0"/>
              <w:widowControl w:val="0"/>
              <w:wordWrap/>
              <w:overflowPunct/>
              <w:topLinePunct w:val="0"/>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监测时间：</w:t>
            </w:r>
            <w:r>
              <w:rPr>
                <w:rFonts w:hint="default" w:ascii="Times New Roman" w:hAnsi="Times New Roman" w:eastAsia="宋体" w:cs="Times New Roman"/>
                <w:b w:val="0"/>
                <w:bCs w:val="0"/>
                <w:color w:val="auto"/>
                <w:highlight w:val="none"/>
              </w:rPr>
              <w:t>20</w:t>
            </w:r>
            <w:r>
              <w:rPr>
                <w:rFonts w:hint="default" w:ascii="Times New Roman" w:hAnsi="Times New Roman" w:eastAsia="宋体" w:cs="Times New Roman"/>
                <w:b w:val="0"/>
                <w:bCs w:val="0"/>
                <w:color w:val="auto"/>
                <w:highlight w:val="none"/>
                <w:lang w:val="en-US" w:eastAsia="zh-CN"/>
              </w:rPr>
              <w:t>25</w:t>
            </w:r>
            <w:r>
              <w:rPr>
                <w:rFonts w:hint="default" w:ascii="Times New Roman" w:hAnsi="Times New Roman" w:eastAsia="宋体" w:cs="Times New Roman"/>
                <w:b w:val="0"/>
                <w:bCs w:val="0"/>
                <w:color w:val="auto"/>
                <w:highlight w:val="none"/>
              </w:rPr>
              <w:t>年</w:t>
            </w:r>
            <w:r>
              <w:rPr>
                <w:rFonts w:hint="default" w:ascii="Times New Roman" w:hAnsi="Times New Roman" w:eastAsia="宋体" w:cs="Times New Roman"/>
                <w:b w:val="0"/>
                <w:bCs w:val="0"/>
                <w:color w:val="auto"/>
                <w:highlight w:val="none"/>
                <w:lang w:val="en-US" w:eastAsia="zh-CN"/>
              </w:rPr>
              <w:t>9</w:t>
            </w:r>
            <w:r>
              <w:rPr>
                <w:rFonts w:hint="default" w:ascii="Times New Roman" w:hAnsi="Times New Roman" w:eastAsia="宋体" w:cs="Times New Roman"/>
                <w:b w:val="0"/>
                <w:bCs w:val="0"/>
                <w:color w:val="auto"/>
                <w:highlight w:val="none"/>
              </w:rPr>
              <w:t>月</w:t>
            </w:r>
            <w:r>
              <w:rPr>
                <w:rFonts w:hint="default" w:ascii="Times New Roman" w:hAnsi="Times New Roman" w:eastAsia="宋体" w:cs="Times New Roman"/>
                <w:b w:val="0"/>
                <w:bCs w:val="0"/>
                <w:color w:val="auto"/>
                <w:highlight w:val="none"/>
                <w:lang w:val="en-US" w:eastAsia="zh-CN"/>
              </w:rPr>
              <w:t>5</w:t>
            </w:r>
            <w:r>
              <w:rPr>
                <w:rFonts w:hint="default" w:ascii="Times New Roman" w:hAnsi="Times New Roman" w:eastAsia="宋体" w:cs="Times New Roman"/>
                <w:b w:val="0"/>
                <w:bCs w:val="0"/>
                <w:color w:val="auto"/>
                <w:highlight w:val="none"/>
              </w:rPr>
              <w:t>日至20</w:t>
            </w:r>
            <w:r>
              <w:rPr>
                <w:rFonts w:hint="default" w:ascii="Times New Roman" w:hAnsi="Times New Roman" w:eastAsia="宋体" w:cs="Times New Roman"/>
                <w:b w:val="0"/>
                <w:bCs w:val="0"/>
                <w:color w:val="auto"/>
                <w:highlight w:val="none"/>
                <w:lang w:val="en-US" w:eastAsia="zh-CN"/>
              </w:rPr>
              <w:t>25</w:t>
            </w:r>
            <w:r>
              <w:rPr>
                <w:rFonts w:hint="default" w:ascii="Times New Roman" w:hAnsi="Times New Roman" w:eastAsia="宋体" w:cs="Times New Roman"/>
                <w:b w:val="0"/>
                <w:bCs w:val="0"/>
                <w:color w:val="auto"/>
                <w:highlight w:val="none"/>
              </w:rPr>
              <w:t>年</w:t>
            </w:r>
            <w:r>
              <w:rPr>
                <w:rFonts w:hint="default" w:ascii="Times New Roman" w:hAnsi="Times New Roman" w:eastAsia="宋体" w:cs="Times New Roman"/>
                <w:b w:val="0"/>
                <w:bCs w:val="0"/>
                <w:color w:val="auto"/>
                <w:highlight w:val="none"/>
                <w:lang w:val="en-US" w:eastAsia="zh-CN"/>
              </w:rPr>
              <w:t>9</w:t>
            </w:r>
            <w:r>
              <w:rPr>
                <w:rFonts w:hint="default" w:ascii="Times New Roman" w:hAnsi="Times New Roman" w:eastAsia="宋体" w:cs="Times New Roman"/>
                <w:b w:val="0"/>
                <w:bCs w:val="0"/>
                <w:color w:val="auto"/>
                <w:highlight w:val="none"/>
              </w:rPr>
              <w:t>月</w:t>
            </w:r>
            <w:r>
              <w:rPr>
                <w:rFonts w:hint="default" w:ascii="Times New Roman" w:hAnsi="Times New Roman" w:eastAsia="宋体" w:cs="Times New Roman"/>
                <w:b w:val="0"/>
                <w:bCs w:val="0"/>
                <w:color w:val="auto"/>
                <w:highlight w:val="none"/>
                <w:lang w:val="en-US" w:eastAsia="zh-CN"/>
              </w:rPr>
              <w:t>7</w:t>
            </w:r>
            <w:r>
              <w:rPr>
                <w:rFonts w:hint="default" w:ascii="Times New Roman" w:hAnsi="Times New Roman" w:eastAsia="宋体" w:cs="Times New Roman"/>
                <w:b w:val="0"/>
                <w:bCs w:val="0"/>
                <w:color w:val="auto"/>
                <w:highlight w:val="none"/>
              </w:rPr>
              <w:t>日</w:t>
            </w:r>
            <w:r>
              <w:rPr>
                <w:rFonts w:hint="default" w:ascii="Times New Roman" w:hAnsi="Times New Roman" w:eastAsia="宋体" w:cs="Times New Roman"/>
                <w:color w:val="auto"/>
                <w:lang w:val="en-US" w:eastAsia="zh-CN"/>
              </w:rPr>
              <w:t>；</w:t>
            </w:r>
          </w:p>
          <w:p w14:paraId="279E4DD5">
            <w:pPr>
              <w:keepNext w:val="0"/>
              <w:keepLines w:val="0"/>
              <w:pageBreakBefore w:val="0"/>
              <w:widowControl w:val="0"/>
              <w:wordWrap/>
              <w:overflowPunct/>
              <w:topLinePunct w:val="0"/>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监测频率：TSP每天24h连续监测。</w:t>
            </w:r>
          </w:p>
          <w:p w14:paraId="0FD35215">
            <w:pPr>
              <w:keepNext w:val="0"/>
              <w:keepLines w:val="0"/>
              <w:pageBreakBefore w:val="0"/>
              <w:widowControl w:val="0"/>
              <w:wordWrap/>
              <w:overflowPunct/>
              <w:topLinePunct w:val="0"/>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lang w:val="en-US" w:eastAsia="zh-CN"/>
              </w:rPr>
            </w:pPr>
            <w:bookmarkStart w:id="31" w:name="_Toc399193217"/>
            <w:bookmarkStart w:id="32" w:name="_Toc394504993"/>
            <w:bookmarkStart w:id="33" w:name="_Toc402354078"/>
            <w:bookmarkStart w:id="34" w:name="_Toc402878760"/>
            <w:bookmarkStart w:id="35" w:name="_Toc394504651"/>
            <w:bookmarkStart w:id="36" w:name="_Toc402868646"/>
            <w:bookmarkStart w:id="37" w:name="_Toc402353752"/>
            <w:r>
              <w:rPr>
                <w:rFonts w:hint="default" w:ascii="Times New Roman" w:hAnsi="Times New Roman" w:eastAsia="宋体" w:cs="Times New Roman"/>
                <w:color w:val="auto"/>
                <w:lang w:val="en-US" w:eastAsia="zh-CN"/>
              </w:rPr>
              <w:t>C.分析方法</w:t>
            </w:r>
            <w:bookmarkEnd w:id="31"/>
            <w:bookmarkEnd w:id="32"/>
            <w:bookmarkEnd w:id="33"/>
            <w:bookmarkEnd w:id="34"/>
            <w:bookmarkEnd w:id="35"/>
            <w:bookmarkEnd w:id="36"/>
            <w:bookmarkEnd w:id="37"/>
          </w:p>
          <w:p w14:paraId="34A9248C">
            <w:pPr>
              <w:keepNext w:val="0"/>
              <w:keepLines w:val="0"/>
              <w:pageBreakBefore w:val="0"/>
              <w:kinsoku w:val="0"/>
              <w:wordWrap/>
              <w:overflowPunct w:val="0"/>
              <w:topLinePunct w:val="0"/>
              <w:autoSpaceDE w:val="0"/>
              <w:autoSpaceDN w:val="0"/>
              <w:bidi w:val="0"/>
              <w:adjustRightInd/>
              <w:snapToGrid/>
              <w:spacing w:before="0" w:after="0" w:line="360" w:lineRule="auto"/>
              <w:ind w:left="0" w:right="0" w:firstLine="480" w:firstLineChars="200"/>
              <w:jc w:val="both"/>
              <w:rPr>
                <w:rFonts w:hint="default" w:ascii="Times New Roman" w:hAnsi="Times New Roman" w:eastAsia="宋体" w:cs="Times New Roman"/>
                <w:color w:val="auto"/>
              </w:rPr>
            </w:pPr>
            <w:r>
              <w:rPr>
                <w:rFonts w:hint="default" w:ascii="Times New Roman" w:hAnsi="Times New Roman" w:eastAsia="宋体" w:cs="Times New Roman"/>
                <w:color w:val="auto"/>
              </w:rPr>
              <w:t>分析方法：大气污染物监测分析方法见表</w:t>
            </w:r>
            <w:r>
              <w:rPr>
                <w:rFonts w:hint="default" w:ascii="Times New Roman" w:hAnsi="Times New Roman" w:eastAsia="宋体" w:cs="Times New Roman"/>
                <w:color w:val="auto"/>
                <w:lang w:val="en-US" w:eastAsia="zh-CN"/>
              </w:rPr>
              <w:t>3.1-2</w:t>
            </w:r>
            <w:r>
              <w:rPr>
                <w:rFonts w:hint="default" w:ascii="Times New Roman" w:hAnsi="Times New Roman" w:eastAsia="宋体" w:cs="Times New Roman"/>
                <w:color w:val="auto"/>
              </w:rPr>
              <w:t>。</w:t>
            </w:r>
          </w:p>
          <w:p w14:paraId="02E09FF3">
            <w:pPr>
              <w:keepNext w:val="0"/>
              <w:keepLines w:val="0"/>
              <w:pageBreakBefore w:val="0"/>
              <w:widowControl w:val="0"/>
              <w:wordWrap/>
              <w:overflowPunct/>
              <w:topLinePunct w:val="0"/>
              <w:autoSpaceDE/>
              <w:autoSpaceDN/>
              <w:bidi w:val="0"/>
              <w:adjustRightInd/>
              <w:snapToGrid/>
              <w:spacing w:before="0" w:beforeAutospacing="0" w:after="0" w:afterAutospacing="0" w:line="240" w:lineRule="auto"/>
              <w:ind w:left="0" w:right="0" w:firstLine="480" w:firstLineChars="0"/>
              <w:jc w:val="center"/>
              <w:textAlignment w:val="baseline"/>
              <w:rPr>
                <w:rFonts w:hint="default" w:ascii="Times New Roman" w:hAnsi="Times New Roman" w:eastAsia="宋体" w:cs="Times New Roman"/>
                <w:b/>
                <w:bCs/>
                <w:color w:val="auto"/>
                <w:sz w:val="21"/>
                <w:szCs w:val="20"/>
                <w:lang w:val="en-US" w:eastAsia="zh-CN"/>
              </w:rPr>
            </w:pPr>
            <w:r>
              <w:rPr>
                <w:rFonts w:hint="default" w:ascii="Times New Roman" w:hAnsi="Times New Roman" w:eastAsia="宋体" w:cs="Times New Roman"/>
                <w:b/>
                <w:bCs/>
                <w:color w:val="auto"/>
                <w:sz w:val="21"/>
                <w:szCs w:val="20"/>
                <w:lang w:val="en-US" w:eastAsia="zh-CN"/>
              </w:rPr>
              <w:t>表3.1-2大气监测项目分析方法</w:t>
            </w:r>
          </w:p>
          <w:tbl>
            <w:tblPr>
              <w:tblStyle w:val="22"/>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6104"/>
              <w:gridCol w:w="1319"/>
            </w:tblGrid>
            <w:tr w14:paraId="52FF0F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81" w:type="dxa"/>
                  <w:noWrap w:val="0"/>
                  <w:vAlign w:val="center"/>
                </w:tcPr>
                <w:p w14:paraId="6CAC07FB">
                  <w:pPr>
                    <w:keepNext w:val="0"/>
                    <w:keepLines w:val="0"/>
                    <w:pageBreakBefore w:val="0"/>
                    <w:widowControl w:val="0"/>
                    <w:kinsoku w:val="0"/>
                    <w:wordWrap/>
                    <w:overflowPunct w:val="0"/>
                    <w:topLinePunct w:val="0"/>
                    <w:autoSpaceDE w:val="0"/>
                    <w:autoSpaceDN w:val="0"/>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监测项目</w:t>
                  </w:r>
                </w:p>
              </w:tc>
              <w:tc>
                <w:tcPr>
                  <w:tcW w:w="6104" w:type="dxa"/>
                  <w:noWrap w:val="0"/>
                  <w:vAlign w:val="center"/>
                </w:tcPr>
                <w:p w14:paraId="7DAA2BFE">
                  <w:pPr>
                    <w:keepNext w:val="0"/>
                    <w:keepLines w:val="0"/>
                    <w:pageBreakBefore w:val="0"/>
                    <w:widowControl w:val="0"/>
                    <w:kinsoku w:val="0"/>
                    <w:wordWrap/>
                    <w:overflowPunct w:val="0"/>
                    <w:topLinePunct w:val="0"/>
                    <w:autoSpaceDE w:val="0"/>
                    <w:autoSpaceDN w:val="0"/>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分析方法（依据的标准）</w:t>
                  </w:r>
                </w:p>
              </w:tc>
              <w:tc>
                <w:tcPr>
                  <w:tcW w:w="1319" w:type="dxa"/>
                  <w:noWrap w:val="0"/>
                  <w:vAlign w:val="center"/>
                </w:tcPr>
                <w:p w14:paraId="304B3A47">
                  <w:pPr>
                    <w:keepNext w:val="0"/>
                    <w:keepLines w:val="0"/>
                    <w:pageBreakBefore w:val="0"/>
                    <w:widowControl w:val="0"/>
                    <w:kinsoku w:val="0"/>
                    <w:wordWrap/>
                    <w:overflowPunct w:val="0"/>
                    <w:topLinePunct w:val="0"/>
                    <w:autoSpaceDE w:val="0"/>
                    <w:autoSpaceDN w:val="0"/>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检出限</w:t>
                  </w:r>
                </w:p>
              </w:tc>
            </w:tr>
            <w:tr w14:paraId="6D9D86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454" w:hRule="atLeast"/>
                <w:jc w:val="center"/>
              </w:trPr>
              <w:tc>
                <w:tcPr>
                  <w:tcW w:w="1081" w:type="dxa"/>
                  <w:noWrap w:val="0"/>
                  <w:vAlign w:val="center"/>
                </w:tcPr>
                <w:p w14:paraId="782529C0">
                  <w:pPr>
                    <w:keepNext w:val="0"/>
                    <w:keepLines w:val="0"/>
                    <w:pageBreakBefore w:val="0"/>
                    <w:widowControl w:val="0"/>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bookmarkStart w:id="38" w:name="_Toc404178065"/>
                  <w:bookmarkStart w:id="39" w:name="_Toc394504994"/>
                  <w:bookmarkStart w:id="40" w:name="_Toc402878761"/>
                  <w:bookmarkStart w:id="41" w:name="_Toc402868647"/>
                  <w:bookmarkStart w:id="42" w:name="_Toc402354079"/>
                  <w:bookmarkStart w:id="43" w:name="_Toc394504652"/>
                  <w:bookmarkStart w:id="44" w:name="_Toc399193218"/>
                  <w:bookmarkStart w:id="45" w:name="_Toc402353753"/>
                  <w:bookmarkStart w:id="46" w:name="_Toc376272150"/>
                  <w:bookmarkStart w:id="47" w:name="_Toc263844419"/>
                  <w:bookmarkStart w:id="48" w:name="_Toc376355359"/>
                  <w:r>
                    <w:rPr>
                      <w:rFonts w:hint="default" w:ascii="Times New Roman" w:hAnsi="Times New Roman" w:eastAsia="宋体" w:cs="Times New Roman"/>
                      <w:color w:val="auto"/>
                      <w:sz w:val="21"/>
                      <w:szCs w:val="21"/>
                      <w:lang w:val="en-US" w:eastAsia="zh-CN"/>
                    </w:rPr>
                    <w:t xml:space="preserve">TSP </w:t>
                  </w:r>
                </w:p>
              </w:tc>
              <w:tc>
                <w:tcPr>
                  <w:tcW w:w="6104" w:type="dxa"/>
                  <w:noWrap w:val="0"/>
                  <w:vAlign w:val="center"/>
                </w:tcPr>
                <w:p w14:paraId="6EA0EA9B">
                  <w:pPr>
                    <w:keepNext w:val="0"/>
                    <w:keepLines w:val="0"/>
                    <w:pageBreakBefore w:val="0"/>
                    <w:widowControl w:val="0"/>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环境空气 总悬浮颗粒物的测定 重量法 GB/T 15432-1995</w:t>
                  </w:r>
                </w:p>
              </w:tc>
              <w:tc>
                <w:tcPr>
                  <w:tcW w:w="1319" w:type="dxa"/>
                  <w:noWrap w:val="0"/>
                  <w:vAlign w:val="center"/>
                </w:tcPr>
                <w:p w14:paraId="31C0AF8C">
                  <w:pPr>
                    <w:keepNext w:val="0"/>
                    <w:keepLines w:val="0"/>
                    <w:pageBreakBefore w:val="0"/>
                    <w:widowControl w:val="0"/>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w:t>
                  </w:r>
                  <w:r>
                    <w:rPr>
                      <w:rFonts w:hint="default" w:ascii="Times New Roman" w:hAnsi="Times New Roman" w:eastAsia="宋体" w:cs="Times New Roman"/>
                      <w:color w:val="auto"/>
                      <w:sz w:val="21"/>
                      <w:szCs w:val="21"/>
                      <w:lang w:val="en-US" w:eastAsia="zh-CN"/>
                    </w:rPr>
                    <w:t>01</w:t>
                  </w: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p>
              </w:tc>
            </w:tr>
          </w:tbl>
          <w:p w14:paraId="5B8F5840">
            <w:pPr>
              <w:keepNext w:val="0"/>
              <w:keepLines w:val="0"/>
              <w:pageBreakBefore w:val="0"/>
              <w:widowControl w:val="0"/>
              <w:wordWrap/>
              <w:overflowPunct/>
              <w:topLinePunct w:val="0"/>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④评价标准</w:t>
            </w:r>
            <w:bookmarkEnd w:id="38"/>
            <w:bookmarkEnd w:id="39"/>
            <w:bookmarkEnd w:id="40"/>
            <w:bookmarkEnd w:id="41"/>
            <w:bookmarkEnd w:id="42"/>
            <w:bookmarkEnd w:id="43"/>
            <w:bookmarkEnd w:id="44"/>
            <w:bookmarkEnd w:id="45"/>
            <w:bookmarkEnd w:id="46"/>
            <w:bookmarkEnd w:id="47"/>
            <w:bookmarkEnd w:id="48"/>
          </w:p>
          <w:p w14:paraId="2DE50455">
            <w:pPr>
              <w:keepNext w:val="0"/>
              <w:keepLines w:val="0"/>
              <w:pageBreakBefore w:val="0"/>
              <w:widowControl w:val="0"/>
              <w:wordWrap/>
              <w:overflowPunct/>
              <w:topLinePunct w:val="0"/>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lang w:val="en-US" w:eastAsia="zh-CN"/>
              </w:rPr>
            </w:pPr>
            <w:bookmarkStart w:id="49" w:name="_Toc399193219"/>
            <w:bookmarkStart w:id="50" w:name="_Toc394504995"/>
            <w:bookmarkStart w:id="51" w:name="_Toc402868648"/>
            <w:bookmarkStart w:id="52" w:name="_Toc263844420"/>
            <w:bookmarkStart w:id="53" w:name="_Toc402354080"/>
            <w:bookmarkStart w:id="54" w:name="_Toc376355360"/>
            <w:bookmarkStart w:id="55" w:name="_Toc402878762"/>
            <w:bookmarkStart w:id="56" w:name="_Toc394504653"/>
            <w:bookmarkStart w:id="57" w:name="_Toc402353754"/>
            <w:bookmarkStart w:id="58" w:name="_Toc404178066"/>
            <w:bookmarkStart w:id="59" w:name="_Toc376272151"/>
            <w:r>
              <w:rPr>
                <w:rFonts w:hint="default" w:ascii="Times New Roman" w:hAnsi="Times New Roman" w:eastAsia="宋体" w:cs="Times New Roman"/>
                <w:color w:val="auto"/>
                <w:lang w:val="en-US" w:eastAsia="zh-CN"/>
              </w:rPr>
              <w:t>TSP执行《环境空气质量标准》（GB 3095—2012）二级浓度限值（24h平均0.3</w:t>
            </w:r>
            <w:r>
              <w:rPr>
                <w:rFonts w:hint="default" w:ascii="Times New Roman" w:hAnsi="Times New Roman" w:eastAsia="宋体" w:cs="Times New Roman"/>
                <w:color w:val="auto"/>
              </w:rPr>
              <w:t>mg/m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lang w:val="en-US" w:eastAsia="zh-CN"/>
              </w:rPr>
              <w:t>）。</w:t>
            </w:r>
          </w:p>
          <w:p w14:paraId="637B9FBA">
            <w:pPr>
              <w:keepNext w:val="0"/>
              <w:keepLines w:val="0"/>
              <w:pageBreakBefore w:val="0"/>
              <w:widowControl w:val="0"/>
              <w:wordWrap/>
              <w:overflowPunct/>
              <w:topLinePunct w:val="0"/>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（5）评价方法</w:t>
            </w:r>
            <w:bookmarkEnd w:id="49"/>
            <w:bookmarkEnd w:id="50"/>
            <w:bookmarkEnd w:id="51"/>
            <w:bookmarkEnd w:id="52"/>
            <w:bookmarkEnd w:id="53"/>
            <w:bookmarkEnd w:id="54"/>
            <w:bookmarkEnd w:id="55"/>
            <w:bookmarkEnd w:id="56"/>
            <w:bookmarkEnd w:id="57"/>
            <w:bookmarkEnd w:id="58"/>
            <w:bookmarkEnd w:id="59"/>
          </w:p>
          <w:p w14:paraId="25DB5EB5">
            <w:pPr>
              <w:keepNext w:val="0"/>
              <w:keepLines w:val="0"/>
              <w:pageBreakBefore w:val="0"/>
              <w:widowControl w:val="0"/>
              <w:wordWrap/>
              <w:overflowPunct/>
              <w:topLinePunct w:val="0"/>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本次环评大气环境质量现状采用单因子评价法，计算公式为：</w:t>
            </w:r>
          </w:p>
          <w:p w14:paraId="6BDBD9AF">
            <w:pPr>
              <w:keepNext w:val="0"/>
              <w:keepLines w:val="0"/>
              <w:pageBreakBefore w:val="0"/>
              <w:widowControl w:val="0"/>
              <w:wordWrap/>
              <w:overflowPunct/>
              <w:topLinePunct w:val="0"/>
              <w:autoSpaceDE/>
              <w:autoSpaceDN/>
              <w:bidi w:val="0"/>
              <w:adjustRightInd/>
              <w:snapToGrid/>
              <w:spacing w:before="0" w:after="0" w:line="360" w:lineRule="auto"/>
              <w:ind w:left="0" w:right="0" w:firstLine="480" w:firstLineChars="20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drawing>
                <wp:inline distT="0" distB="0" distL="114300" distR="114300">
                  <wp:extent cx="1031240" cy="446405"/>
                  <wp:effectExtent l="0" t="0" r="0" b="12065"/>
                  <wp:docPr id="16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3"/>
                          <pic:cNvPicPr>
                            <a:picLocks noChangeAspect="1"/>
                          </pic:cNvPicPr>
                        </pic:nvPicPr>
                        <pic:blipFill>
                          <a:blip r:embed="rId25"/>
                          <a:stretch>
                            <a:fillRect/>
                          </a:stretch>
                        </pic:blipFill>
                        <pic:spPr>
                          <a:xfrm>
                            <a:off x="0" y="0"/>
                            <a:ext cx="1031240" cy="446405"/>
                          </a:xfrm>
                          <a:prstGeom prst="rect">
                            <a:avLst/>
                          </a:prstGeom>
                          <a:noFill/>
                          <a:ln>
                            <a:noFill/>
                          </a:ln>
                        </pic:spPr>
                      </pic:pic>
                    </a:graphicData>
                  </a:graphic>
                </wp:inline>
              </w:drawing>
            </w:r>
          </w:p>
          <w:p w14:paraId="08B6852B">
            <w:pPr>
              <w:keepNext w:val="0"/>
              <w:keepLines w:val="0"/>
              <w:pageBreakBefore w:val="0"/>
              <w:widowControl w:val="0"/>
              <w:wordWrap/>
              <w:overflowPunct/>
              <w:topLinePunct w:val="0"/>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式中：Pi——第i个污染物的监测最大浓度占相应标准浓度限值的百分比，%；</w:t>
            </w:r>
          </w:p>
          <w:p w14:paraId="1AC3DE25">
            <w:pPr>
              <w:keepNext w:val="0"/>
              <w:keepLines w:val="0"/>
              <w:pageBreakBefore w:val="0"/>
              <w:widowControl w:val="0"/>
              <w:wordWrap/>
              <w:overflowPunct/>
              <w:topLinePunct w:val="0"/>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 xml:space="preserve">  Ci——第i个污染物的监测最大浓度值，mg/m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lang w:val="en-US" w:eastAsia="zh-CN"/>
              </w:rPr>
              <w:t>；</w:t>
            </w:r>
          </w:p>
          <w:p w14:paraId="4043F94D">
            <w:pPr>
              <w:keepNext w:val="0"/>
              <w:keepLines w:val="0"/>
              <w:pageBreakBefore w:val="0"/>
              <w:widowControl w:val="0"/>
              <w:wordWrap/>
              <w:overflowPunct/>
              <w:topLinePunct w:val="0"/>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 xml:space="preserve">  C0i——第i个污染物的环境空气质量标准，mg/m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lang w:val="en-US" w:eastAsia="zh-CN"/>
              </w:rPr>
              <w:t>。</w:t>
            </w:r>
          </w:p>
          <w:p w14:paraId="0C5E463E">
            <w:pPr>
              <w:keepNext w:val="0"/>
              <w:keepLines w:val="0"/>
              <w:pageBreakBefore w:val="0"/>
              <w:widowControl w:val="0"/>
              <w:wordWrap/>
              <w:overflowPunct/>
              <w:topLinePunct w:val="0"/>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lang w:val="en-US" w:eastAsia="zh-CN"/>
              </w:rPr>
            </w:pPr>
            <w:bookmarkStart w:id="60" w:name="_Toc402354081"/>
            <w:bookmarkStart w:id="61" w:name="_Toc394504996"/>
            <w:bookmarkStart w:id="62" w:name="_Toc399193220"/>
            <w:bookmarkStart w:id="63" w:name="_Toc402353755"/>
            <w:bookmarkStart w:id="64" w:name="_Toc394504654"/>
            <w:bookmarkStart w:id="65" w:name="_Toc263844421"/>
            <w:bookmarkStart w:id="66" w:name="_Toc376355361"/>
            <w:bookmarkStart w:id="67" w:name="_Toc402878763"/>
            <w:bookmarkStart w:id="68" w:name="_Toc402868649"/>
            <w:bookmarkStart w:id="69" w:name="_Toc376272152"/>
            <w:bookmarkStart w:id="70" w:name="_Toc404178067"/>
            <w:r>
              <w:rPr>
                <w:rFonts w:hint="default" w:ascii="Times New Roman" w:hAnsi="Times New Roman" w:eastAsia="宋体" w:cs="Times New Roman"/>
                <w:color w:val="auto"/>
                <w:lang w:val="en-US" w:eastAsia="zh-CN"/>
              </w:rPr>
              <w:t>（6）监测及评价结果</w:t>
            </w:r>
            <w:bookmarkEnd w:id="60"/>
            <w:bookmarkEnd w:id="61"/>
            <w:bookmarkEnd w:id="62"/>
            <w:bookmarkEnd w:id="63"/>
            <w:bookmarkEnd w:id="64"/>
            <w:bookmarkEnd w:id="65"/>
            <w:bookmarkEnd w:id="66"/>
            <w:bookmarkEnd w:id="67"/>
            <w:bookmarkEnd w:id="68"/>
            <w:bookmarkEnd w:id="69"/>
            <w:bookmarkEnd w:id="70"/>
          </w:p>
          <w:p w14:paraId="3CF8CF5E">
            <w:pPr>
              <w:keepNext w:val="0"/>
              <w:keepLines w:val="0"/>
              <w:pageBreakBefore w:val="0"/>
              <w:widowControl w:val="0"/>
              <w:wordWrap/>
              <w:overflowPunct/>
              <w:topLinePunct w:val="0"/>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根据环境空气质量现状调查结果，常规大气污染物日均监测及评价结果见表3.1-3。</w:t>
            </w:r>
          </w:p>
          <w:p w14:paraId="20AAA7A3">
            <w:pPr>
              <w:keepNext w:val="0"/>
              <w:keepLines w:val="0"/>
              <w:pageBreakBefore w:val="0"/>
              <w:widowControl w:val="0"/>
              <w:wordWrap/>
              <w:overflowPunct/>
              <w:topLinePunct w:val="0"/>
              <w:autoSpaceDE/>
              <w:autoSpaceDN/>
              <w:bidi w:val="0"/>
              <w:adjustRightInd/>
              <w:snapToGrid/>
              <w:spacing w:before="0" w:after="0" w:line="240" w:lineRule="auto"/>
              <w:ind w:left="0" w:leftChars="0" w:right="0" w:firstLine="0" w:firstLineChars="0"/>
              <w:jc w:val="center"/>
              <w:rPr>
                <w:rFonts w:hint="default" w:ascii="Times New Roman" w:hAnsi="Times New Roman" w:eastAsia="宋体" w:cs="Times New Roman"/>
                <w:b/>
                <w:bCs/>
                <w:color w:val="auto"/>
                <w:sz w:val="21"/>
                <w:szCs w:val="20"/>
                <w:lang w:val="en-US" w:eastAsia="zh-CN"/>
              </w:rPr>
            </w:pPr>
            <w:r>
              <w:rPr>
                <w:rFonts w:hint="default" w:ascii="Times New Roman" w:hAnsi="Times New Roman" w:eastAsia="宋体" w:cs="Times New Roman"/>
                <w:b/>
                <w:bCs/>
                <w:color w:val="auto"/>
                <w:sz w:val="21"/>
                <w:szCs w:val="20"/>
                <w:lang w:val="en-US" w:eastAsia="zh-CN"/>
              </w:rPr>
              <w:t>表3.1-3环境空气质量特征因子现状监测与评价结果统计表</w:t>
            </w:r>
          </w:p>
          <w:tbl>
            <w:tblPr>
              <w:tblStyle w:val="22"/>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3725"/>
              <w:gridCol w:w="2512"/>
            </w:tblGrid>
            <w:tr w14:paraId="15ADBD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0" w:type="dxa"/>
                  <w:noWrap w:val="0"/>
                  <w:vAlign w:val="center"/>
                </w:tcPr>
                <w:p w14:paraId="678B1857">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监测点</w:t>
                  </w:r>
                </w:p>
              </w:tc>
              <w:tc>
                <w:tcPr>
                  <w:tcW w:w="2875" w:type="dxa"/>
                  <w:noWrap w:val="0"/>
                  <w:vAlign w:val="center"/>
                </w:tcPr>
                <w:p w14:paraId="5CB76924">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项目</w:t>
                  </w:r>
                </w:p>
              </w:tc>
              <w:tc>
                <w:tcPr>
                  <w:tcW w:w="1939" w:type="dxa"/>
                  <w:noWrap w:val="0"/>
                  <w:vAlign w:val="center"/>
                </w:tcPr>
                <w:p w14:paraId="661E38E2">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TSP</w:t>
                  </w:r>
                </w:p>
              </w:tc>
            </w:tr>
            <w:tr w14:paraId="10C773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0" w:type="dxa"/>
                  <w:vMerge w:val="restart"/>
                  <w:noWrap w:val="0"/>
                  <w:vAlign w:val="center"/>
                </w:tcPr>
                <w:p w14:paraId="3D7FC976">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项目区</w:t>
                  </w:r>
                </w:p>
              </w:tc>
              <w:tc>
                <w:tcPr>
                  <w:tcW w:w="2875" w:type="dxa"/>
                  <w:noWrap w:val="0"/>
                  <w:vAlign w:val="center"/>
                </w:tcPr>
                <w:p w14:paraId="095625C5">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有效日数</w:t>
                  </w:r>
                </w:p>
              </w:tc>
              <w:tc>
                <w:tcPr>
                  <w:tcW w:w="1939" w:type="dxa"/>
                  <w:noWrap w:val="0"/>
                  <w:vAlign w:val="center"/>
                </w:tcPr>
                <w:p w14:paraId="6CA911E4">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w:t>
                  </w:r>
                </w:p>
              </w:tc>
            </w:tr>
            <w:tr w14:paraId="477778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0" w:type="dxa"/>
                  <w:vMerge w:val="continue"/>
                  <w:noWrap w:val="0"/>
                  <w:vAlign w:val="center"/>
                </w:tcPr>
                <w:p w14:paraId="4C90EC98">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9"/>
                    <w:rPr>
                      <w:rFonts w:hint="default" w:ascii="Times New Roman" w:hAnsi="Times New Roman" w:eastAsia="宋体" w:cs="Times New Roman"/>
                      <w:color w:val="auto"/>
                      <w:sz w:val="21"/>
                      <w:szCs w:val="21"/>
                      <w:lang w:val="en-US" w:eastAsia="zh-CN"/>
                    </w:rPr>
                  </w:pPr>
                </w:p>
              </w:tc>
              <w:tc>
                <w:tcPr>
                  <w:tcW w:w="2875" w:type="dxa"/>
                  <w:noWrap w:val="0"/>
                  <w:vAlign w:val="center"/>
                </w:tcPr>
                <w:p w14:paraId="11DF2A19">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浓度范围（mg/m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lang w:val="en-US" w:eastAsia="zh-CN"/>
                    </w:rPr>
                    <w:t>）</w:t>
                  </w:r>
                </w:p>
              </w:tc>
              <w:tc>
                <w:tcPr>
                  <w:tcW w:w="1939" w:type="dxa"/>
                  <w:noWrap w:val="0"/>
                  <w:vAlign w:val="center"/>
                </w:tcPr>
                <w:p w14:paraId="01D5AB66">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0.194-0.197</w:t>
                  </w:r>
                </w:p>
              </w:tc>
            </w:tr>
            <w:tr w14:paraId="394FCB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0" w:type="dxa"/>
                  <w:vMerge w:val="continue"/>
                  <w:noWrap w:val="0"/>
                  <w:vAlign w:val="center"/>
                </w:tcPr>
                <w:p w14:paraId="0C5BAA50">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9"/>
                    <w:rPr>
                      <w:rFonts w:hint="default" w:ascii="Times New Roman" w:hAnsi="Times New Roman" w:eastAsia="宋体" w:cs="Times New Roman"/>
                      <w:color w:val="auto"/>
                      <w:sz w:val="21"/>
                      <w:szCs w:val="21"/>
                      <w:lang w:val="en-US" w:eastAsia="zh-CN"/>
                    </w:rPr>
                  </w:pPr>
                </w:p>
              </w:tc>
              <w:tc>
                <w:tcPr>
                  <w:tcW w:w="2875" w:type="dxa"/>
                  <w:noWrap w:val="0"/>
                  <w:vAlign w:val="center"/>
                </w:tcPr>
                <w:p w14:paraId="0C89EA0B">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超标率（%）</w:t>
                  </w:r>
                </w:p>
              </w:tc>
              <w:tc>
                <w:tcPr>
                  <w:tcW w:w="1939" w:type="dxa"/>
                  <w:noWrap w:val="0"/>
                  <w:vAlign w:val="center"/>
                </w:tcPr>
                <w:p w14:paraId="29475864">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p>
              </w:tc>
            </w:tr>
            <w:tr w14:paraId="5A7481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0" w:type="dxa"/>
                  <w:vMerge w:val="continue"/>
                  <w:noWrap w:val="0"/>
                  <w:vAlign w:val="center"/>
                </w:tcPr>
                <w:p w14:paraId="1E88B43E">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9"/>
                    <w:rPr>
                      <w:rFonts w:hint="default" w:ascii="Times New Roman" w:hAnsi="Times New Roman" w:eastAsia="宋体" w:cs="Times New Roman"/>
                      <w:color w:val="auto"/>
                      <w:sz w:val="21"/>
                      <w:szCs w:val="21"/>
                      <w:lang w:val="en-US" w:eastAsia="zh-CN"/>
                    </w:rPr>
                  </w:pPr>
                </w:p>
              </w:tc>
              <w:tc>
                <w:tcPr>
                  <w:tcW w:w="2875" w:type="dxa"/>
                  <w:noWrap w:val="0"/>
                  <w:vAlign w:val="center"/>
                </w:tcPr>
                <w:p w14:paraId="1D05E6AF">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最大超标倍数</w:t>
                  </w:r>
                </w:p>
              </w:tc>
              <w:tc>
                <w:tcPr>
                  <w:tcW w:w="1939" w:type="dxa"/>
                  <w:noWrap w:val="0"/>
                  <w:vAlign w:val="center"/>
                </w:tcPr>
                <w:p w14:paraId="55AA836D">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w:t>
                  </w:r>
                </w:p>
              </w:tc>
            </w:tr>
            <w:tr w14:paraId="147242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0" w:type="dxa"/>
                  <w:vMerge w:val="continue"/>
                  <w:noWrap w:val="0"/>
                  <w:vAlign w:val="center"/>
                </w:tcPr>
                <w:p w14:paraId="3FF895A5">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9"/>
                    <w:rPr>
                      <w:rFonts w:hint="default" w:ascii="Times New Roman" w:hAnsi="Times New Roman" w:eastAsia="宋体" w:cs="Times New Roman"/>
                      <w:color w:val="auto"/>
                      <w:sz w:val="21"/>
                      <w:szCs w:val="21"/>
                      <w:lang w:val="en-US" w:eastAsia="zh-CN"/>
                    </w:rPr>
                  </w:pPr>
                </w:p>
              </w:tc>
              <w:tc>
                <w:tcPr>
                  <w:tcW w:w="2875" w:type="dxa"/>
                  <w:noWrap w:val="0"/>
                  <w:vAlign w:val="center"/>
                </w:tcPr>
                <w:p w14:paraId="778FC0A7">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Pi</w:t>
                  </w:r>
                </w:p>
              </w:tc>
              <w:tc>
                <w:tcPr>
                  <w:tcW w:w="1939" w:type="dxa"/>
                  <w:noWrap w:val="0"/>
                  <w:vAlign w:val="center"/>
                </w:tcPr>
                <w:p w14:paraId="19C05787">
                  <w:pPr>
                    <w:keepNext w:val="0"/>
                    <w:keepLines w:val="0"/>
                    <w:pageBreakBefore w:val="0"/>
                    <w:widowControl w:val="0"/>
                    <w:kinsoku/>
                    <w:wordWrap/>
                    <w:overflowPunct/>
                    <w:topLinePunct w:val="0"/>
                    <w:autoSpaceDE/>
                    <w:autoSpaceDN/>
                    <w:bidi w:val="0"/>
                    <w:adjustRightInd/>
                    <w:snapToGrid/>
                    <w:spacing w:before="0" w:after="0" w:line="320" w:lineRule="exact"/>
                    <w:ind w:left="0" w:right="0" w:firstLine="0" w:firstLineChars="0"/>
                    <w:jc w:val="center"/>
                    <w:textAlignment w:val="auto"/>
                    <w:outlineLvl w:val="3"/>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0.65-0.67</w:t>
                  </w:r>
                </w:p>
              </w:tc>
            </w:tr>
          </w:tbl>
          <w:p w14:paraId="0727E6D1">
            <w:pPr>
              <w:keepNext w:val="0"/>
              <w:keepLines w:val="0"/>
              <w:pageBreakBefore w:val="0"/>
              <w:widowControl w:val="0"/>
              <w:wordWrap/>
              <w:topLinePunct w:val="0"/>
              <w:bidi w:val="0"/>
              <w:adjustRightInd/>
              <w:snapToGrid/>
              <w:spacing w:line="360" w:lineRule="auto"/>
              <w:ind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bCs/>
                <w:color w:val="auto"/>
                <w:kern w:val="2"/>
                <w:sz w:val="24"/>
                <w:szCs w:val="24"/>
                <w:lang w:val="en-US" w:eastAsia="zh-CN" w:bidi="ar-SA"/>
              </w:rPr>
              <w:t>由表3.1-3可知，评价区域现状监测点特征因子浓度值均能满足相关标准限值</w:t>
            </w:r>
            <w:r>
              <w:rPr>
                <w:rFonts w:hint="default" w:ascii="Times New Roman" w:hAnsi="Times New Roman" w:eastAsia="宋体" w:cs="Times New Roman"/>
                <w:color w:val="auto"/>
                <w:lang w:val="en-US" w:eastAsia="zh-CN"/>
              </w:rPr>
              <w:t>。</w:t>
            </w:r>
          </w:p>
          <w:p w14:paraId="0F228A62">
            <w:pPr>
              <w:keepNext w:val="0"/>
              <w:keepLines w:val="0"/>
              <w:pageBreakBefore w:val="0"/>
              <w:widowControl/>
              <w:wordWrap/>
              <w:overflowPunct/>
              <w:topLinePunct w:val="0"/>
              <w:autoSpaceDE/>
              <w:autoSpaceDN/>
              <w:bidi w:val="0"/>
              <w:adjustRightInd/>
              <w:snapToGrid/>
              <w:spacing w:before="0" w:after="0" w:line="360" w:lineRule="auto"/>
              <w:ind w:left="0" w:right="0" w:firstLine="480" w:firstLineChars="200"/>
              <w:jc w:val="left"/>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评价结果表明，根据基本污染源2024年玛纳斯县空气质量监测数据达标，为达标区，特征污染物在监测期间达标。</w:t>
            </w:r>
          </w:p>
          <w:p w14:paraId="3019C358">
            <w:pPr>
              <w:widowControl w:val="0"/>
              <w:overflowPunct w:val="0"/>
              <w:autoSpaceDE w:val="0"/>
              <w:autoSpaceDN w:val="0"/>
              <w:bidi w:val="0"/>
              <w:adjustRightInd w:val="0"/>
              <w:snapToGrid w:val="0"/>
              <w:spacing w:before="0" w:after="0" w:line="360" w:lineRule="auto"/>
              <w:ind w:right="0"/>
              <w:jc w:val="left"/>
              <w:outlineLvl w:val="1"/>
              <w:rPr>
                <w:rFonts w:hint="default" w:ascii="Times New Roman" w:hAnsi="Times New Roman" w:eastAsia="宋体" w:cs="Times New Roman"/>
                <w:b/>
                <w:color w:val="auto"/>
                <w:sz w:val="28"/>
                <w:szCs w:val="30"/>
                <w:lang w:val="en-US" w:eastAsia="zh-CN" w:bidi="ar-SA"/>
              </w:rPr>
            </w:pPr>
            <w:r>
              <w:rPr>
                <w:rFonts w:hint="default" w:ascii="Times New Roman" w:hAnsi="Times New Roman" w:eastAsia="宋体" w:cs="Times New Roman"/>
                <w:b/>
                <w:color w:val="auto"/>
                <w:sz w:val="28"/>
                <w:szCs w:val="30"/>
                <w:lang w:val="en-US" w:eastAsia="zh-CN" w:bidi="ar-SA"/>
              </w:rPr>
              <w:t>2、水环境质量现状调查与评价</w:t>
            </w:r>
          </w:p>
          <w:p w14:paraId="5EAF8B6B">
            <w:pPr>
              <w:overflowPunct w:val="0"/>
              <w:autoSpaceDE w:val="0"/>
              <w:autoSpaceDN w:val="0"/>
              <w:bidi w:val="0"/>
              <w:adjustRightInd w:val="0"/>
              <w:snapToGrid w:val="0"/>
              <w:spacing w:before="0" w:after="0" w:line="360" w:lineRule="auto"/>
              <w:ind w:left="0" w:leftChars="0" w:right="0" w:firstLine="480" w:firstLineChars="200"/>
              <w:jc w:val="left"/>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（1）地表水</w:t>
            </w:r>
          </w:p>
          <w:p w14:paraId="759005D6">
            <w:pPr>
              <w:widowControl/>
              <w:spacing w:line="360" w:lineRule="auto"/>
              <w:ind w:firstLine="480" w:firstLineChars="200"/>
              <w:jc w:val="left"/>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根据</w:t>
            </w:r>
            <w:r>
              <w:rPr>
                <w:rFonts w:hint="default" w:ascii="Times New Roman" w:hAnsi="Times New Roman" w:eastAsia="宋体" w:cs="Times New Roman"/>
                <w:color w:val="auto"/>
              </w:rPr>
              <w:t>《建设项目环境影响报告表编制技术指南》（污染影响类）</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引用与建设项目距离近的有效数据，包括近3年的规划环境影响评价的监测数据，所在流域控制单元内国家、地方控制断面监测数据，生态环境主管部门发布的水环境质量数据或地表水达标情况的结论</w:t>
            </w:r>
            <w:r>
              <w:rPr>
                <w:rFonts w:hint="default" w:ascii="Times New Roman" w:hAnsi="Times New Roman" w:eastAsia="宋体" w:cs="Times New Roman"/>
                <w:color w:val="auto"/>
                <w:lang w:eastAsia="zh-CN"/>
              </w:rPr>
              <w:t>。</w:t>
            </w:r>
          </w:p>
          <w:p w14:paraId="16AFEEB4">
            <w:pPr>
              <w:widowControl/>
              <w:spacing w:line="360" w:lineRule="auto"/>
              <w:ind w:firstLine="48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根据玛纳斯县人民政府公式的信息，按照《地表水环境质量标准》（GB3838-2002）评价，2024年10月-12月，塔西河上游石门子断面和下游马家庄断面水质类别均达到Ⅰ类标准，水质与去年同期相比均无明显变化。</w:t>
            </w:r>
          </w:p>
          <w:p w14:paraId="4F925D98">
            <w:pPr>
              <w:widowControl/>
              <w:spacing w:line="360" w:lineRule="auto"/>
              <w:ind w:firstLine="48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按照《地表水环境质量标准》（GB3838-2002）和《地下水质量标准》（GB/T14848-2017）评价，2024年10月-12月，我县监测了1个集中式饮用水源地。监测结果表明，玛纳斯县石门子水库水源地水质达到Ⅱ类标准。与上年同期相比，水源地水质状况无明显变化。</w:t>
            </w:r>
          </w:p>
          <w:p w14:paraId="705A348C">
            <w:pPr>
              <w:widowControl/>
              <w:spacing w:line="360" w:lineRule="auto"/>
              <w:ind w:firstLine="480" w:firstLineChars="20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本项目不产生生产废水，项目区不设置生活区，无生活污水产生，与地表水体无水力联系。</w:t>
            </w:r>
          </w:p>
          <w:p w14:paraId="1E2C4C57">
            <w:pPr>
              <w:overflowPunct w:val="0"/>
              <w:autoSpaceDE w:val="0"/>
              <w:autoSpaceDN w:val="0"/>
              <w:bidi w:val="0"/>
              <w:adjustRightInd w:val="0"/>
              <w:snapToGrid w:val="0"/>
              <w:spacing w:before="0" w:after="0" w:line="360" w:lineRule="auto"/>
              <w:ind w:left="0" w:leftChars="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（2）地下水</w:t>
            </w:r>
          </w:p>
          <w:p w14:paraId="3E9ED982">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color w:val="auto"/>
                <w:lang w:val="en-US" w:eastAsia="zh-CN"/>
              </w:rPr>
              <w:t>根据《建设项目环境影响报告表编制技术指南（污染影响类）（试行）》，建设项目不存在地下水环境污染途径，原则上不开展地下水环境质量现状调查。因此，本项目不开展地下水环境影响评价。</w:t>
            </w:r>
          </w:p>
          <w:p w14:paraId="7E7FF77A">
            <w:pPr>
              <w:widowControl w:val="0"/>
              <w:overflowPunct w:val="0"/>
              <w:autoSpaceDE w:val="0"/>
              <w:autoSpaceDN w:val="0"/>
              <w:bidi w:val="0"/>
              <w:adjustRightInd w:val="0"/>
              <w:snapToGrid w:val="0"/>
              <w:spacing w:before="0" w:after="0" w:line="560" w:lineRule="exact"/>
              <w:ind w:right="0"/>
              <w:jc w:val="left"/>
              <w:outlineLvl w:val="1"/>
              <w:rPr>
                <w:rFonts w:hint="default" w:ascii="Times New Roman" w:hAnsi="Times New Roman" w:eastAsia="宋体" w:cs="Times New Roman"/>
                <w:b/>
                <w:color w:val="auto"/>
                <w:sz w:val="28"/>
                <w:szCs w:val="30"/>
                <w:lang w:val="en-US" w:eastAsia="zh-CN" w:bidi="ar-SA"/>
              </w:rPr>
            </w:pPr>
            <w:r>
              <w:rPr>
                <w:rFonts w:hint="default" w:ascii="Times New Roman" w:hAnsi="Times New Roman" w:eastAsia="宋体" w:cs="Times New Roman"/>
                <w:b/>
                <w:color w:val="auto"/>
                <w:sz w:val="28"/>
                <w:szCs w:val="30"/>
                <w:lang w:val="en-US" w:eastAsia="zh-CN" w:bidi="ar-SA"/>
              </w:rPr>
              <w:t>3、噪声环境质量现状与评价</w:t>
            </w:r>
          </w:p>
          <w:p w14:paraId="4FFF8A30">
            <w:pPr>
              <w:overflowPunct w:val="0"/>
              <w:autoSpaceDE w:val="0"/>
              <w:autoSpaceDN w:val="0"/>
              <w:bidi w:val="0"/>
              <w:adjustRightInd w:val="0"/>
              <w:snapToGrid w:val="0"/>
              <w:spacing w:before="0" w:after="0" w:line="500" w:lineRule="exact"/>
              <w:ind w:left="0" w:right="0" w:firstLine="480" w:firstLineChars="200"/>
              <w:jc w:val="left"/>
              <w:rPr>
                <w:rFonts w:hint="default" w:ascii="Times New Roman" w:hAnsi="Times New Roman" w:eastAsia="宋体" w:cs="Times New Roman"/>
                <w:color w:val="auto"/>
                <w:lang w:val="en-US" w:eastAsia="zh-CN"/>
              </w:rPr>
            </w:pPr>
            <w:r>
              <w:rPr>
                <w:rFonts w:hint="default" w:ascii="Times New Roman" w:hAnsi="Times New Roman" w:eastAsia="宋体" w:cs="Times New Roman"/>
                <w:b w:val="0"/>
                <w:bCs/>
                <w:color w:val="auto"/>
                <w:kern w:val="2"/>
                <w:sz w:val="24"/>
                <w:szCs w:val="24"/>
                <w:highlight w:val="none"/>
                <w:lang w:val="en-US" w:eastAsia="zh-CN" w:bidi="ar-SA"/>
              </w:rPr>
              <w:t>本项目属于《声环境质量标准》（GB 3096-2008）中的2类声功能区。根据《建设项目环境影响报告表编制技术指南》（污染影响类）中的“声环境”，本项目周边50m范围内没有声环境保护目标，故无需进行声环境质量现状监测。</w:t>
            </w:r>
          </w:p>
          <w:p w14:paraId="1EF219D8">
            <w:pPr>
              <w:keepNext/>
              <w:keepLines/>
              <w:widowControl w:val="0"/>
              <w:overflowPunct w:val="0"/>
              <w:autoSpaceDE w:val="0"/>
              <w:autoSpaceDN w:val="0"/>
              <w:bidi w:val="0"/>
              <w:adjustRightInd w:val="0"/>
              <w:snapToGrid w:val="0"/>
              <w:spacing w:before="0" w:beforeLines="0" w:beforeAutospacing="0" w:after="0" w:afterLines="0" w:afterAutospacing="0" w:line="560" w:lineRule="atLeast"/>
              <w:ind w:right="0"/>
              <w:jc w:val="left"/>
              <w:outlineLvl w:val="2"/>
              <w:rPr>
                <w:rFonts w:hint="default" w:ascii="Times New Roman" w:hAnsi="Times New Roman" w:eastAsia="宋体" w:cs="Times New Roman"/>
                <w:b/>
                <w:color w:val="auto"/>
                <w:sz w:val="28"/>
                <w:szCs w:val="22"/>
                <w:lang w:val="en-US" w:eastAsia="zh-CN" w:bidi="ar-SA"/>
              </w:rPr>
            </w:pPr>
            <w:r>
              <w:rPr>
                <w:rFonts w:hint="default" w:ascii="Times New Roman" w:hAnsi="Times New Roman" w:eastAsia="宋体" w:cs="Times New Roman"/>
                <w:b/>
                <w:color w:val="auto"/>
                <w:sz w:val="28"/>
                <w:szCs w:val="22"/>
                <w:lang w:val="en-US" w:eastAsia="zh-CN" w:bidi="ar-SA"/>
              </w:rPr>
              <w:t>4、土壤环境质量现状</w:t>
            </w:r>
          </w:p>
          <w:p w14:paraId="181C9BC7">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kern w:val="0"/>
                <w:sz w:val="24"/>
                <w:szCs w:val="24"/>
                <w:lang w:val="en-US" w:eastAsia="zh-CN"/>
              </w:rPr>
              <w:t>本项目</w:t>
            </w:r>
            <w:r>
              <w:rPr>
                <w:rFonts w:hint="default" w:ascii="Times New Roman" w:hAnsi="Times New Roman" w:eastAsia="宋体" w:cs="Times New Roman"/>
                <w:color w:val="auto"/>
                <w:sz w:val="24"/>
                <w:szCs w:val="24"/>
                <w:lang w:val="en-US" w:eastAsia="zh-CN" w:bidi="ar-SA"/>
              </w:rPr>
              <w:t>采取分区防渗处理，</w:t>
            </w:r>
            <w:r>
              <w:rPr>
                <w:rFonts w:hint="default" w:ascii="Times New Roman" w:hAnsi="Times New Roman" w:eastAsia="宋体" w:cs="Times New Roman"/>
                <w:color w:val="auto"/>
                <w:kern w:val="2"/>
                <w:sz w:val="24"/>
                <w:szCs w:val="20"/>
                <w:highlight w:val="none"/>
                <w:lang w:val="en-US" w:eastAsia="zh-CN"/>
              </w:rPr>
              <w:t>发酵槽、半成品区</w:t>
            </w:r>
            <w:r>
              <w:rPr>
                <w:rFonts w:hint="default" w:ascii="Times New Roman" w:hAnsi="Times New Roman" w:eastAsia="宋体" w:cs="Times New Roman"/>
                <w:color w:val="auto"/>
                <w:sz w:val="24"/>
                <w:szCs w:val="24"/>
                <w:lang w:val="en-US" w:eastAsia="zh-CN" w:bidi="ar-SA"/>
              </w:rPr>
              <w:t>均设置重点防渗，</w:t>
            </w:r>
            <w:r>
              <w:rPr>
                <w:rFonts w:hint="default" w:ascii="Times New Roman" w:hAnsi="Times New Roman" w:eastAsia="宋体" w:cs="Times New Roman"/>
                <w:color w:val="auto"/>
                <w:kern w:val="2"/>
                <w:sz w:val="24"/>
                <w:szCs w:val="20"/>
                <w:highlight w:val="none"/>
                <w:lang w:val="en-US" w:eastAsia="zh-CN"/>
              </w:rPr>
              <w:t>渗透系数K≤10</w:t>
            </w:r>
            <w:r>
              <w:rPr>
                <w:rFonts w:hint="default" w:ascii="Times New Roman" w:hAnsi="Times New Roman" w:eastAsia="宋体" w:cs="Times New Roman"/>
                <w:color w:val="auto"/>
                <w:kern w:val="2"/>
                <w:sz w:val="24"/>
                <w:szCs w:val="20"/>
                <w:highlight w:val="none"/>
                <w:vertAlign w:val="superscript"/>
                <w:lang w:val="en-US" w:eastAsia="zh-CN"/>
              </w:rPr>
              <w:t>-7</w:t>
            </w:r>
            <w:r>
              <w:rPr>
                <w:rFonts w:hint="default" w:ascii="Times New Roman" w:hAnsi="Times New Roman" w:eastAsia="宋体" w:cs="Times New Roman"/>
                <w:color w:val="auto"/>
                <w:kern w:val="2"/>
                <w:sz w:val="24"/>
                <w:szCs w:val="20"/>
                <w:highlight w:val="none"/>
                <w:lang w:val="en-US" w:eastAsia="zh-CN"/>
              </w:rPr>
              <w:t>cm/s，</w:t>
            </w:r>
            <w:r>
              <w:rPr>
                <w:rFonts w:hint="default" w:ascii="Times New Roman" w:hAnsi="Times New Roman" w:eastAsia="宋体" w:cs="Times New Roman"/>
                <w:color w:val="auto"/>
                <w:sz w:val="24"/>
                <w:szCs w:val="24"/>
                <w:highlight w:val="none"/>
                <w:lang w:val="en-US" w:eastAsia="zh-CN" w:bidi="ar-SA"/>
              </w:rPr>
              <w:t>目前项目区生产车间、发酵罐区以及进出场道路均已建成25cm厚P4等级混凝土防渗措施，</w:t>
            </w:r>
            <w:r>
              <w:rPr>
                <w:rFonts w:hint="default" w:ascii="Times New Roman" w:hAnsi="Times New Roman" w:eastAsia="宋体" w:cs="Times New Roman"/>
                <w:color w:val="auto"/>
                <w:sz w:val="24"/>
                <w:szCs w:val="24"/>
                <w:lang w:val="en-US" w:eastAsia="zh-CN" w:bidi="ar-SA"/>
              </w:rPr>
              <w:t>不存在土壤环境污染途径，</w:t>
            </w:r>
            <w:r>
              <w:rPr>
                <w:rFonts w:hint="default" w:ascii="Times New Roman" w:hAnsi="Times New Roman" w:eastAsia="宋体" w:cs="Times New Roman"/>
                <w:color w:val="auto"/>
                <w:kern w:val="0"/>
                <w:sz w:val="24"/>
                <w:szCs w:val="24"/>
                <w:lang w:val="en-US" w:eastAsia="zh-CN"/>
              </w:rPr>
              <w:t>根据</w:t>
            </w:r>
            <w:r>
              <w:rPr>
                <w:rFonts w:hint="default" w:ascii="Times New Roman" w:hAnsi="Times New Roman" w:eastAsia="宋体" w:cs="Times New Roman"/>
                <w:b w:val="0"/>
                <w:bCs/>
                <w:color w:val="auto"/>
                <w:kern w:val="2"/>
                <w:sz w:val="24"/>
                <w:szCs w:val="24"/>
                <w:highlight w:val="none"/>
                <w:lang w:val="en-US" w:eastAsia="zh-CN" w:bidi="ar-SA"/>
              </w:rPr>
              <w:t>《建设项目环境影响报告表编制技术指南》（污染影响类），原则上不开展环境质量现状调查。</w:t>
            </w:r>
          </w:p>
          <w:p w14:paraId="6DE4570D">
            <w:pPr>
              <w:widowControl w:val="0"/>
              <w:overflowPunct w:val="0"/>
              <w:autoSpaceDE w:val="0"/>
              <w:autoSpaceDN w:val="0"/>
              <w:bidi w:val="0"/>
              <w:adjustRightInd w:val="0"/>
              <w:snapToGrid w:val="0"/>
              <w:spacing w:before="0" w:after="0" w:line="560" w:lineRule="exact"/>
              <w:ind w:right="0"/>
              <w:jc w:val="left"/>
              <w:outlineLvl w:val="1"/>
              <w:rPr>
                <w:rFonts w:hint="default" w:ascii="Times New Roman" w:hAnsi="Times New Roman" w:eastAsia="宋体" w:cs="Times New Roman"/>
                <w:b/>
                <w:color w:val="auto"/>
                <w:sz w:val="24"/>
                <w:szCs w:val="24"/>
                <w:lang w:val="en-US" w:eastAsia="zh-CN" w:bidi="ar-SA"/>
              </w:rPr>
            </w:pPr>
            <w:r>
              <w:rPr>
                <w:rFonts w:hint="default" w:ascii="Times New Roman" w:hAnsi="Times New Roman" w:eastAsia="宋体" w:cs="Times New Roman"/>
                <w:b/>
                <w:color w:val="auto"/>
                <w:sz w:val="28"/>
                <w:szCs w:val="30"/>
                <w:lang w:val="en-US" w:eastAsia="zh-CN" w:bidi="ar-SA"/>
              </w:rPr>
              <w:t>5、生态环境</w:t>
            </w:r>
          </w:p>
          <w:p w14:paraId="78E07CDD">
            <w:pPr>
              <w:overflowPunct/>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eastAsia="zh-CN"/>
              </w:rPr>
            </w:pPr>
            <w:r>
              <w:rPr>
                <w:rFonts w:hint="default" w:ascii="Times New Roman" w:hAnsi="Times New Roman" w:eastAsia="宋体" w:cs="Times New Roman"/>
                <w:color w:val="auto"/>
                <w:kern w:val="2"/>
                <w:sz w:val="24"/>
                <w:szCs w:val="24"/>
              </w:rPr>
              <w:t>根据</w:t>
            </w:r>
            <w:r>
              <w:rPr>
                <w:rFonts w:hint="default" w:ascii="Times New Roman" w:hAnsi="Times New Roman" w:eastAsia="宋体" w:cs="Times New Roman"/>
                <w:color w:val="auto"/>
                <w:lang w:val="en-US" w:eastAsia="zh-CN"/>
              </w:rPr>
              <w:t>《建设项目环境影响报告表编制技术指南（污染影响类）（试行）》产业园区外建设项目新增用地且用地范围内含有生态环境保护目标时</w:t>
            </w:r>
            <w:r>
              <w:rPr>
                <w:rFonts w:hint="default" w:ascii="Times New Roman" w:hAnsi="Times New Roman" w:eastAsia="宋体" w:cs="Times New Roman"/>
                <w:color w:val="auto"/>
                <w:kern w:val="2"/>
                <w:sz w:val="24"/>
                <w:szCs w:val="24"/>
                <w:lang w:val="en-US" w:eastAsia="zh-CN"/>
              </w:rPr>
              <w:t>，应进行生态现状调查</w:t>
            </w:r>
            <w:r>
              <w:rPr>
                <w:rFonts w:hint="default" w:ascii="Times New Roman" w:hAnsi="Times New Roman" w:eastAsia="宋体" w:cs="Times New Roman"/>
                <w:color w:val="auto"/>
                <w:kern w:val="2"/>
                <w:sz w:val="24"/>
                <w:szCs w:val="24"/>
                <w:lang w:eastAsia="zh-CN"/>
              </w:rPr>
              <w:t>。</w:t>
            </w:r>
          </w:p>
          <w:p w14:paraId="07CACB14">
            <w:pPr>
              <w:keepNext w:val="0"/>
              <w:keepLines w:val="0"/>
              <w:pageBreakBefore w:val="0"/>
              <w:wordWrap/>
              <w:overflowPunct w:val="0"/>
              <w:topLinePunct w:val="0"/>
              <w:autoSpaceDE/>
              <w:autoSpaceDN/>
              <w:bidi w:val="0"/>
              <w:adjustRightInd/>
              <w:snapToGrid/>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sz w:val="24"/>
                <w:szCs w:val="24"/>
                <w:lang w:val="en-US" w:eastAsia="zh-CN"/>
              </w:rPr>
              <w:t>本项目用地范围内无生态保护目标，进行简单分析即可。</w:t>
            </w:r>
            <w:r>
              <w:rPr>
                <w:rFonts w:hint="default" w:ascii="Times New Roman" w:hAnsi="Times New Roman" w:eastAsia="宋体" w:cs="Times New Roman"/>
                <w:color w:val="auto"/>
                <w:sz w:val="24"/>
                <w:szCs w:val="24"/>
              </w:rPr>
              <w:t>评价范围内环境的功能具有一定的稳定性及可持续发展性，具有一定的承受干扰的能力及生态完整性。</w:t>
            </w:r>
          </w:p>
          <w:p w14:paraId="7BA5F799">
            <w:pPr>
              <w:widowControl w:val="0"/>
              <w:overflowPunct w:val="0"/>
              <w:autoSpaceDE w:val="0"/>
              <w:autoSpaceDN w:val="0"/>
              <w:bidi w:val="0"/>
              <w:adjustRightInd w:val="0"/>
              <w:snapToGrid w:val="0"/>
              <w:spacing w:before="0" w:after="0" w:line="560" w:lineRule="exact"/>
              <w:ind w:right="0"/>
              <w:jc w:val="left"/>
              <w:outlineLvl w:val="1"/>
              <w:rPr>
                <w:rFonts w:hint="default" w:ascii="Times New Roman" w:hAnsi="Times New Roman" w:eastAsia="宋体" w:cs="Times New Roman"/>
                <w:b/>
                <w:color w:val="auto"/>
                <w:sz w:val="28"/>
                <w:szCs w:val="30"/>
                <w:lang w:val="en-US" w:eastAsia="zh-CN" w:bidi="ar-SA"/>
              </w:rPr>
            </w:pPr>
            <w:r>
              <w:rPr>
                <w:rFonts w:hint="default" w:ascii="Times New Roman" w:hAnsi="Times New Roman" w:eastAsia="宋体" w:cs="Times New Roman"/>
                <w:b/>
                <w:color w:val="auto"/>
                <w:sz w:val="28"/>
                <w:szCs w:val="30"/>
                <w:lang w:val="en-US" w:eastAsia="zh-CN" w:bidi="ar-SA"/>
              </w:rPr>
              <w:t>6、电磁辐射</w:t>
            </w:r>
          </w:p>
          <w:p w14:paraId="60E0FB4C">
            <w:pPr>
              <w:keepNext w:val="0"/>
              <w:keepLines w:val="0"/>
              <w:pageBreakBefore w:val="0"/>
              <w:widowControl w:val="0"/>
              <w:kinsoku/>
              <w:wordWrap/>
              <w:overflowPunct w:val="0"/>
              <w:topLinePunct w:val="0"/>
              <w:autoSpaceDE w:val="0"/>
              <w:autoSpaceDN w:val="0"/>
              <w:bidi w:val="0"/>
              <w:adjustRightInd w:val="0"/>
              <w:snapToGrid w:val="0"/>
              <w:spacing w:before="0" w:after="0" w:line="560" w:lineRule="exact"/>
              <w:ind w:right="0" w:firstLine="480" w:firstLineChars="200"/>
              <w:jc w:val="left"/>
              <w:textAlignment w:val="auto"/>
              <w:outlineLvl w:val="1"/>
              <w:rPr>
                <w:rFonts w:hint="default" w:ascii="Times New Roman" w:hAnsi="Times New Roman" w:eastAsia="宋体" w:cs="Times New Roman"/>
                <w:snapToGrid/>
                <w:color w:val="auto"/>
                <w:kern w:val="2"/>
                <w:sz w:val="24"/>
                <w:szCs w:val="24"/>
                <w:lang w:val="en-US" w:eastAsia="zh-CN" w:bidi="ar-SA"/>
              </w:rPr>
            </w:pPr>
            <w:r>
              <w:rPr>
                <w:rFonts w:hint="default" w:ascii="Times New Roman" w:hAnsi="Times New Roman" w:eastAsia="宋体" w:cs="Times New Roman"/>
                <w:color w:val="auto"/>
                <w:sz w:val="24"/>
                <w:szCs w:val="22"/>
                <w:lang w:val="en-US" w:eastAsia="zh-CN" w:bidi="ar-SA"/>
              </w:rPr>
              <w:t>本项目建设不含有电磁辐射内容。</w:t>
            </w:r>
          </w:p>
        </w:tc>
      </w:tr>
    </w:tbl>
    <w:p w14:paraId="2C70E933">
      <w:pPr>
        <w:rPr>
          <w:rFonts w:hint="default" w:ascii="Times New Roman" w:hAnsi="Times New Roman" w:eastAsia="宋体" w:cs="Times New Roman"/>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8645"/>
      </w:tblGrid>
      <w:tr w14:paraId="3AA16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9" w:hRule="atLeast"/>
          <w:jc w:val="center"/>
        </w:trPr>
        <w:tc>
          <w:tcPr>
            <w:tcW w:w="426" w:type="dxa"/>
            <w:vAlign w:val="center"/>
          </w:tcPr>
          <w:p w14:paraId="062EAE4A">
            <w:pPr>
              <w:numPr>
                <w:ilvl w:val="0"/>
                <w:numId w:val="0"/>
              </w:numPr>
              <w:overflowPunct w:val="0"/>
              <w:autoSpaceDE w:val="0"/>
              <w:autoSpaceDN w:val="0"/>
              <w:adjustRightInd w:val="0"/>
              <w:snapToGrid w:val="0"/>
              <w:spacing w:before="0" w:after="0" w:line="500" w:lineRule="exact"/>
              <w:ind w:left="0" w:leftChars="0" w:right="0" w:rightChars="0" w:firstLine="0" w:firstLineChars="0"/>
              <w:jc w:val="center"/>
              <w:rPr>
                <w:rFonts w:hint="default" w:ascii="Times New Roman" w:hAnsi="Times New Roman" w:eastAsia="宋体" w:cs="Times New Roman"/>
                <w:color w:val="auto"/>
                <w:vertAlign w:val="baseline"/>
              </w:rPr>
            </w:pPr>
            <w:r>
              <w:rPr>
                <w:rFonts w:hint="default" w:ascii="Times New Roman" w:hAnsi="Times New Roman" w:eastAsia="宋体" w:cs="Times New Roman"/>
                <w:color w:val="auto"/>
                <w:lang w:val="en-US" w:eastAsia="zh-Hans"/>
              </w:rPr>
              <w:t>环境保护目标</w:t>
            </w:r>
          </w:p>
        </w:tc>
        <w:tc>
          <w:tcPr>
            <w:tcW w:w="8645" w:type="dxa"/>
            <w:vAlign w:val="top"/>
          </w:tcPr>
          <w:p w14:paraId="1A93557A">
            <w:pPr>
              <w:widowControl w:val="0"/>
              <w:overflowPunct w:val="0"/>
              <w:autoSpaceDE w:val="0"/>
              <w:autoSpaceDN w:val="0"/>
              <w:bidi w:val="0"/>
              <w:adjustRightInd w:val="0"/>
              <w:snapToGrid w:val="0"/>
              <w:spacing w:before="0" w:after="0" w:line="560" w:lineRule="exact"/>
              <w:ind w:right="0"/>
              <w:jc w:val="left"/>
              <w:outlineLvl w:val="1"/>
              <w:rPr>
                <w:rFonts w:hint="default" w:ascii="Times New Roman" w:hAnsi="Times New Roman" w:eastAsia="宋体" w:cs="Times New Roman"/>
                <w:b/>
                <w:color w:val="auto"/>
                <w:sz w:val="28"/>
                <w:szCs w:val="30"/>
                <w:lang w:val="en-US" w:eastAsia="zh-CN" w:bidi="ar-SA"/>
              </w:rPr>
            </w:pPr>
            <w:r>
              <w:rPr>
                <w:rFonts w:hint="default" w:ascii="Times New Roman" w:hAnsi="Times New Roman" w:eastAsia="宋体" w:cs="Times New Roman"/>
                <w:b/>
                <w:color w:val="auto"/>
                <w:sz w:val="28"/>
                <w:szCs w:val="30"/>
                <w:lang w:val="en-US" w:eastAsia="zh-CN" w:bidi="ar-SA"/>
              </w:rPr>
              <w:t>7、主要环境敏感目标</w:t>
            </w:r>
          </w:p>
          <w:p w14:paraId="40D6EFC3">
            <w:pPr>
              <w:overflowPunct w:val="0"/>
              <w:autoSpaceDE w:val="0"/>
              <w:autoSpaceDN w:val="0"/>
              <w:bidi w:val="0"/>
              <w:adjustRightInd w:val="0"/>
              <w:snapToGrid w:val="0"/>
              <w:spacing w:before="0" w:after="0" w:line="500" w:lineRule="exact"/>
              <w:ind w:left="0" w:right="0" w:firstLine="480" w:firstLineChars="200"/>
              <w:jc w:val="left"/>
              <w:rPr>
                <w:rFonts w:hint="default" w:ascii="Times New Roman" w:hAnsi="Times New Roman" w:eastAsia="宋体" w:cs="Times New Roman"/>
                <w:color w:val="auto"/>
              </w:rPr>
            </w:pPr>
            <w:r>
              <w:rPr>
                <w:rFonts w:hint="default" w:ascii="Times New Roman" w:hAnsi="Times New Roman" w:eastAsia="宋体" w:cs="Times New Roman"/>
                <w:color w:val="auto"/>
              </w:rPr>
              <w:t>根据本项目特点和外环境特征确定环境保护目标如下：</w:t>
            </w:r>
          </w:p>
          <w:p w14:paraId="2E1D1417">
            <w:pPr>
              <w:overflowPunct w:val="0"/>
              <w:autoSpaceDE w:val="0"/>
              <w:autoSpaceDN w:val="0"/>
              <w:bidi w:val="0"/>
              <w:adjustRightInd w:val="0"/>
              <w:snapToGrid w:val="0"/>
              <w:spacing w:before="0" w:after="0" w:line="500" w:lineRule="exact"/>
              <w:ind w:left="0" w:right="0" w:firstLine="480" w:firstLineChars="200"/>
              <w:jc w:val="left"/>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w:t>
            </w:r>
            <w:r>
              <w:rPr>
                <w:rFonts w:hint="default" w:ascii="Times New Roman" w:hAnsi="Times New Roman" w:eastAsia="宋体" w:cs="Times New Roman"/>
                <w:color w:val="auto"/>
              </w:rPr>
              <w:t>空气环境：保护项目区所在的区域环境空气质量，不因本项目实施而降低空气质量级别。</w:t>
            </w:r>
            <w:r>
              <w:rPr>
                <w:rFonts w:hint="default" w:ascii="Times New Roman" w:hAnsi="Times New Roman" w:eastAsia="宋体" w:cs="Times New Roman"/>
                <w:color w:val="auto"/>
                <w:lang w:val="en-US" w:eastAsia="zh-CN"/>
              </w:rPr>
              <w:t>根据现场调查，厂界外500米范围内不存在大气环境保护目标。</w:t>
            </w:r>
          </w:p>
          <w:p w14:paraId="218BA0C0">
            <w:pPr>
              <w:overflowPunct w:val="0"/>
              <w:autoSpaceDE w:val="0"/>
              <w:autoSpaceDN w:val="0"/>
              <w:bidi w:val="0"/>
              <w:adjustRightInd w:val="0"/>
              <w:snapToGrid w:val="0"/>
              <w:spacing w:before="0" w:after="0" w:line="500" w:lineRule="exact"/>
              <w:ind w:left="0" w:right="0" w:firstLine="480" w:firstLineChars="200"/>
              <w:jc w:val="left"/>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声环境：</w:t>
            </w:r>
            <w:r>
              <w:rPr>
                <w:rFonts w:hint="default" w:ascii="Times New Roman" w:hAnsi="Times New Roman" w:eastAsia="宋体" w:cs="Times New Roman"/>
                <w:color w:val="auto"/>
                <w:lang w:val="en-US" w:eastAsia="zh-CN"/>
              </w:rPr>
              <w:t>根据现场调查，厂界50米范围内无声环境保护目标；</w:t>
            </w:r>
          </w:p>
          <w:p w14:paraId="5C5B5ED2">
            <w:pPr>
              <w:overflowPunct w:val="0"/>
              <w:autoSpaceDE w:val="0"/>
              <w:autoSpaceDN w:val="0"/>
              <w:bidi w:val="0"/>
              <w:adjustRightInd w:val="0"/>
              <w:snapToGrid w:val="0"/>
              <w:spacing w:before="0" w:after="0" w:line="500" w:lineRule="exact"/>
              <w:ind w:left="0" w:right="0" w:firstLine="480" w:firstLineChars="200"/>
              <w:jc w:val="left"/>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3</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地下</w:t>
            </w:r>
            <w:r>
              <w:rPr>
                <w:rFonts w:hint="default" w:ascii="Times New Roman" w:hAnsi="Times New Roman" w:eastAsia="宋体" w:cs="Times New Roman"/>
                <w:color w:val="auto"/>
              </w:rPr>
              <w:t>水环境：</w:t>
            </w:r>
            <w:r>
              <w:rPr>
                <w:rFonts w:hint="default" w:ascii="Times New Roman" w:hAnsi="Times New Roman" w:eastAsia="宋体" w:cs="Times New Roman"/>
                <w:color w:val="auto"/>
                <w:lang w:val="en-US" w:eastAsia="zh-CN"/>
              </w:rPr>
              <w:t>根据现场调查，厂界外500米范围内无地下水集中式饮用水源和热水、矿泉水、温泉等特殊地下水资源</w:t>
            </w:r>
            <w:r>
              <w:rPr>
                <w:rFonts w:hint="default" w:ascii="Times New Roman" w:hAnsi="Times New Roman" w:eastAsia="宋体" w:cs="Times New Roman"/>
                <w:color w:val="auto"/>
              </w:rPr>
              <w:t>；</w:t>
            </w:r>
          </w:p>
          <w:p w14:paraId="5959302E">
            <w:pPr>
              <w:overflowPunct w:val="0"/>
              <w:autoSpaceDE w:val="0"/>
              <w:autoSpaceDN w:val="0"/>
              <w:bidi w:val="0"/>
              <w:adjustRightInd w:val="0"/>
              <w:snapToGrid w:val="0"/>
              <w:spacing w:before="0" w:after="0" w:line="500" w:lineRule="exact"/>
              <w:ind w:left="0" w:right="0" w:firstLine="480" w:firstLineChars="200"/>
              <w:jc w:val="left"/>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4</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生态环境：根据《建设项目环境影响报告表编制技术指南（污染影响类）（试行）》“产业园区外建设项目新增用地的，应明确新增用地范围内生态环境保护目标。”本项目新增用地均属于设施农用地，项目用地范围内无生态环境保护目标。</w:t>
            </w:r>
            <w:r>
              <w:rPr>
                <w:rFonts w:hint="default" w:ascii="Times New Roman" w:hAnsi="Times New Roman" w:eastAsia="宋体" w:cs="Times New Roman"/>
                <w:color w:val="auto"/>
              </w:rPr>
              <w:t>环境敏感点分布见表</w:t>
            </w:r>
            <w:r>
              <w:rPr>
                <w:rFonts w:hint="default" w:ascii="Times New Roman" w:hAnsi="Times New Roman" w:eastAsia="宋体" w:cs="Times New Roman"/>
                <w:color w:val="auto"/>
                <w:lang w:val="en-US" w:eastAsia="zh-CN"/>
              </w:rPr>
              <w:t>3.7-1</w:t>
            </w:r>
            <w:r>
              <w:rPr>
                <w:rFonts w:hint="default" w:ascii="Times New Roman" w:hAnsi="Times New Roman" w:eastAsia="宋体" w:cs="Times New Roman"/>
                <w:color w:val="auto"/>
              </w:rPr>
              <w:t>。</w:t>
            </w:r>
          </w:p>
          <w:p w14:paraId="4F522A77">
            <w:pPr>
              <w:widowControl w:val="0"/>
              <w:overflowPunct w:val="0"/>
              <w:autoSpaceDE w:val="0"/>
              <w:autoSpaceDN w:val="0"/>
              <w:adjustRightInd w:val="0"/>
              <w:snapToGrid w:val="0"/>
              <w:spacing w:before="0" w:after="0" w:line="400" w:lineRule="exact"/>
              <w:ind w:left="0" w:right="0" w:firstLine="0" w:firstLineChars="0"/>
              <w:jc w:val="center"/>
              <w:rPr>
                <w:rFonts w:hint="default" w:ascii="Times New Roman" w:hAnsi="Times New Roman" w:eastAsia="宋体" w:cs="Times New Roman"/>
                <w:b/>
                <w:color w:val="0000FF"/>
                <w:sz w:val="21"/>
                <w:szCs w:val="21"/>
                <w:highlight w:val="none"/>
                <w:lang w:val="en-US" w:eastAsia="zh-CN" w:bidi="ar-SA"/>
              </w:rPr>
            </w:pPr>
            <w:r>
              <w:rPr>
                <w:rFonts w:hint="default" w:ascii="Times New Roman" w:hAnsi="Times New Roman" w:eastAsia="宋体" w:cs="Times New Roman"/>
                <w:b/>
                <w:color w:val="0000FF"/>
                <w:sz w:val="21"/>
                <w:szCs w:val="21"/>
                <w:lang w:val="en-US" w:eastAsia="zh-CN" w:bidi="ar-SA"/>
              </w:rPr>
              <w:t>表3.7-1</w:t>
            </w:r>
            <w:r>
              <w:rPr>
                <w:rFonts w:hint="default" w:ascii="Times New Roman" w:hAnsi="Times New Roman" w:eastAsia="宋体" w:cs="Times New Roman"/>
                <w:b/>
                <w:color w:val="0000FF"/>
                <w:sz w:val="21"/>
                <w:szCs w:val="21"/>
                <w:highlight w:val="none"/>
                <w:lang w:val="en-US" w:eastAsia="zh-CN" w:bidi="ar-SA"/>
              </w:rPr>
              <w:t>主要环境保护目标一览表</w:t>
            </w:r>
          </w:p>
          <w:tbl>
            <w:tblPr>
              <w:tblStyle w:val="22"/>
              <w:tblW w:w="850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50"/>
              <w:gridCol w:w="360"/>
              <w:gridCol w:w="458"/>
              <w:gridCol w:w="460"/>
              <w:gridCol w:w="505"/>
              <w:gridCol w:w="655"/>
              <w:gridCol w:w="709"/>
              <w:gridCol w:w="797"/>
              <w:gridCol w:w="1085"/>
              <w:gridCol w:w="3125"/>
            </w:tblGrid>
            <w:tr w14:paraId="343D85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50" w:type="dxa"/>
                  <w:vMerge w:val="restart"/>
                  <w:noWrap w:val="0"/>
                  <w:vAlign w:val="center"/>
                </w:tcPr>
                <w:p w14:paraId="5980616E">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序号</w:t>
                  </w:r>
                </w:p>
              </w:tc>
              <w:tc>
                <w:tcPr>
                  <w:tcW w:w="360" w:type="dxa"/>
                  <w:vMerge w:val="restart"/>
                  <w:noWrap w:val="0"/>
                  <w:vAlign w:val="center"/>
                </w:tcPr>
                <w:p w14:paraId="271E40C7">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环境要素</w:t>
                  </w:r>
                </w:p>
              </w:tc>
              <w:tc>
                <w:tcPr>
                  <w:tcW w:w="458" w:type="dxa"/>
                  <w:vMerge w:val="restart"/>
                  <w:noWrap w:val="0"/>
                  <w:vAlign w:val="center"/>
                </w:tcPr>
                <w:p w14:paraId="53E518D6">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名称</w:t>
                  </w:r>
                </w:p>
              </w:tc>
              <w:tc>
                <w:tcPr>
                  <w:tcW w:w="965" w:type="dxa"/>
                  <w:gridSpan w:val="2"/>
                  <w:noWrap w:val="0"/>
                  <w:vAlign w:val="center"/>
                </w:tcPr>
                <w:p w14:paraId="7E0BF124">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坐标</w:t>
                  </w:r>
                </w:p>
              </w:tc>
              <w:tc>
                <w:tcPr>
                  <w:tcW w:w="655" w:type="dxa"/>
                  <w:vMerge w:val="restart"/>
                  <w:noWrap w:val="0"/>
                  <w:vAlign w:val="center"/>
                </w:tcPr>
                <w:p w14:paraId="70E7603F">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保护对象</w:t>
                  </w:r>
                </w:p>
              </w:tc>
              <w:tc>
                <w:tcPr>
                  <w:tcW w:w="709" w:type="dxa"/>
                  <w:vMerge w:val="restart"/>
                  <w:noWrap w:val="0"/>
                  <w:vAlign w:val="center"/>
                </w:tcPr>
                <w:p w14:paraId="3FD9DDE8">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保护内容</w:t>
                  </w:r>
                </w:p>
              </w:tc>
              <w:tc>
                <w:tcPr>
                  <w:tcW w:w="797" w:type="dxa"/>
                  <w:vMerge w:val="restart"/>
                  <w:noWrap w:val="0"/>
                  <w:vAlign w:val="center"/>
                </w:tcPr>
                <w:p w14:paraId="0F59B85E">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相对厂址方位</w:t>
                  </w:r>
                </w:p>
              </w:tc>
              <w:tc>
                <w:tcPr>
                  <w:tcW w:w="1085" w:type="dxa"/>
                  <w:vMerge w:val="restart"/>
                  <w:noWrap w:val="0"/>
                  <w:vAlign w:val="center"/>
                </w:tcPr>
                <w:p w14:paraId="290D2E62">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相对距离（m）</w:t>
                  </w:r>
                </w:p>
              </w:tc>
              <w:tc>
                <w:tcPr>
                  <w:tcW w:w="3125" w:type="dxa"/>
                  <w:vMerge w:val="restart"/>
                  <w:noWrap w:val="0"/>
                  <w:vAlign w:val="center"/>
                </w:tcPr>
                <w:p w14:paraId="6BAC2018">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备注</w:t>
                  </w:r>
                </w:p>
              </w:tc>
            </w:tr>
            <w:tr w14:paraId="00FD92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50" w:type="dxa"/>
                  <w:vMerge w:val="continue"/>
                  <w:noWrap w:val="0"/>
                  <w:vAlign w:val="center"/>
                </w:tcPr>
                <w:p w14:paraId="709AB9C2">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0000FF"/>
                    </w:rPr>
                  </w:pPr>
                </w:p>
              </w:tc>
              <w:tc>
                <w:tcPr>
                  <w:tcW w:w="360" w:type="dxa"/>
                  <w:vMerge w:val="continue"/>
                  <w:noWrap w:val="0"/>
                  <w:vAlign w:val="center"/>
                </w:tcPr>
                <w:p w14:paraId="4365CD88">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0000FF"/>
                    </w:rPr>
                  </w:pPr>
                </w:p>
              </w:tc>
              <w:tc>
                <w:tcPr>
                  <w:tcW w:w="458" w:type="dxa"/>
                  <w:vMerge w:val="continue"/>
                  <w:noWrap w:val="0"/>
                  <w:vAlign w:val="center"/>
                </w:tcPr>
                <w:p w14:paraId="70B00B24">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0000FF"/>
                    </w:rPr>
                  </w:pPr>
                </w:p>
              </w:tc>
              <w:tc>
                <w:tcPr>
                  <w:tcW w:w="460" w:type="dxa"/>
                  <w:noWrap w:val="0"/>
                  <w:vAlign w:val="center"/>
                </w:tcPr>
                <w:p w14:paraId="1D927EA3">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E</w:t>
                  </w:r>
                </w:p>
              </w:tc>
              <w:tc>
                <w:tcPr>
                  <w:tcW w:w="505" w:type="dxa"/>
                  <w:noWrap w:val="0"/>
                  <w:vAlign w:val="center"/>
                </w:tcPr>
                <w:p w14:paraId="7CAA646C">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N</w:t>
                  </w:r>
                </w:p>
              </w:tc>
              <w:tc>
                <w:tcPr>
                  <w:tcW w:w="655" w:type="dxa"/>
                  <w:vMerge w:val="continue"/>
                  <w:noWrap w:val="0"/>
                  <w:vAlign w:val="center"/>
                </w:tcPr>
                <w:p w14:paraId="52EB4AA7">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p>
              </w:tc>
              <w:tc>
                <w:tcPr>
                  <w:tcW w:w="709" w:type="dxa"/>
                  <w:vMerge w:val="continue"/>
                  <w:noWrap w:val="0"/>
                  <w:vAlign w:val="center"/>
                </w:tcPr>
                <w:p w14:paraId="19248A00">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p>
              </w:tc>
              <w:tc>
                <w:tcPr>
                  <w:tcW w:w="797" w:type="dxa"/>
                  <w:vMerge w:val="continue"/>
                  <w:noWrap w:val="0"/>
                  <w:vAlign w:val="center"/>
                </w:tcPr>
                <w:p w14:paraId="31C65379">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p>
              </w:tc>
              <w:tc>
                <w:tcPr>
                  <w:tcW w:w="1085" w:type="dxa"/>
                  <w:vMerge w:val="continue"/>
                  <w:noWrap w:val="0"/>
                  <w:vAlign w:val="center"/>
                </w:tcPr>
                <w:p w14:paraId="0F35604B">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p>
              </w:tc>
              <w:tc>
                <w:tcPr>
                  <w:tcW w:w="3125" w:type="dxa"/>
                  <w:vMerge w:val="continue"/>
                  <w:noWrap w:val="0"/>
                  <w:vAlign w:val="center"/>
                </w:tcPr>
                <w:p w14:paraId="1CF4F2D1">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p>
              </w:tc>
            </w:tr>
            <w:tr w14:paraId="1DF484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6" w:hRule="atLeast"/>
                <w:jc w:val="center"/>
              </w:trPr>
              <w:tc>
                <w:tcPr>
                  <w:tcW w:w="350" w:type="dxa"/>
                  <w:noWrap w:val="0"/>
                  <w:vAlign w:val="center"/>
                </w:tcPr>
                <w:p w14:paraId="4C917475">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1</w:t>
                  </w:r>
                </w:p>
              </w:tc>
              <w:tc>
                <w:tcPr>
                  <w:tcW w:w="818" w:type="dxa"/>
                  <w:gridSpan w:val="2"/>
                  <w:noWrap w:val="0"/>
                  <w:vAlign w:val="center"/>
                </w:tcPr>
                <w:p w14:paraId="09F2CF49">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环境空气</w:t>
                  </w:r>
                </w:p>
              </w:tc>
              <w:tc>
                <w:tcPr>
                  <w:tcW w:w="4211" w:type="dxa"/>
                  <w:gridSpan w:val="6"/>
                  <w:noWrap w:val="0"/>
                  <w:vAlign w:val="center"/>
                </w:tcPr>
                <w:p w14:paraId="022D8971">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厂址附近50m范围内无环境空气环境敏感目标</w:t>
                  </w:r>
                </w:p>
              </w:tc>
              <w:tc>
                <w:tcPr>
                  <w:tcW w:w="3125" w:type="dxa"/>
                  <w:noWrap w:val="0"/>
                  <w:vAlign w:val="center"/>
                </w:tcPr>
                <w:p w14:paraId="5F7DAD15">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《环境空气质量标准》（GB3095-2012）二级标准</w:t>
                  </w:r>
                </w:p>
              </w:tc>
            </w:tr>
            <w:tr w14:paraId="70C8D0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50" w:type="dxa"/>
                  <w:noWrap w:val="0"/>
                  <w:vAlign w:val="center"/>
                </w:tcPr>
                <w:p w14:paraId="6AD6D445">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2</w:t>
                  </w:r>
                </w:p>
              </w:tc>
              <w:tc>
                <w:tcPr>
                  <w:tcW w:w="818" w:type="dxa"/>
                  <w:gridSpan w:val="2"/>
                  <w:noWrap w:val="0"/>
                  <w:vAlign w:val="center"/>
                </w:tcPr>
                <w:p w14:paraId="446A3866">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声环境</w:t>
                  </w:r>
                </w:p>
              </w:tc>
              <w:tc>
                <w:tcPr>
                  <w:tcW w:w="4211" w:type="dxa"/>
                  <w:gridSpan w:val="6"/>
                  <w:noWrap w:val="0"/>
                  <w:vAlign w:val="center"/>
                </w:tcPr>
                <w:p w14:paraId="639511C6">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厂址附近50m范围内无声环境敏感目标</w:t>
                  </w:r>
                </w:p>
              </w:tc>
              <w:tc>
                <w:tcPr>
                  <w:tcW w:w="3125" w:type="dxa"/>
                  <w:noWrap w:val="0"/>
                  <w:vAlign w:val="center"/>
                </w:tcPr>
                <w:p w14:paraId="68636EFD">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w:t>
                  </w:r>
                </w:p>
              </w:tc>
            </w:tr>
            <w:tr w14:paraId="06E320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50" w:type="dxa"/>
                  <w:noWrap w:val="0"/>
                  <w:vAlign w:val="center"/>
                </w:tcPr>
                <w:p w14:paraId="3819D949">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3</w:t>
                  </w:r>
                </w:p>
              </w:tc>
              <w:tc>
                <w:tcPr>
                  <w:tcW w:w="818" w:type="dxa"/>
                  <w:gridSpan w:val="2"/>
                  <w:noWrap w:val="0"/>
                  <w:vAlign w:val="center"/>
                </w:tcPr>
                <w:p w14:paraId="36196F27">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地下水环境</w:t>
                  </w:r>
                </w:p>
              </w:tc>
              <w:tc>
                <w:tcPr>
                  <w:tcW w:w="4211" w:type="dxa"/>
                  <w:gridSpan w:val="6"/>
                  <w:noWrap w:val="0"/>
                  <w:vAlign w:val="center"/>
                </w:tcPr>
                <w:p w14:paraId="3550A107">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厂界500米范围内无地表水环境敏感目标</w:t>
                  </w:r>
                </w:p>
              </w:tc>
              <w:tc>
                <w:tcPr>
                  <w:tcW w:w="3125" w:type="dxa"/>
                  <w:noWrap w:val="0"/>
                  <w:vAlign w:val="center"/>
                </w:tcPr>
                <w:p w14:paraId="0DE74F5D">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w:t>
                  </w:r>
                </w:p>
              </w:tc>
            </w:tr>
            <w:tr w14:paraId="4ECE83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50" w:type="dxa"/>
                  <w:noWrap w:val="0"/>
                  <w:vAlign w:val="center"/>
                </w:tcPr>
                <w:p w14:paraId="4E924551">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4</w:t>
                  </w:r>
                </w:p>
              </w:tc>
              <w:tc>
                <w:tcPr>
                  <w:tcW w:w="818" w:type="dxa"/>
                  <w:gridSpan w:val="2"/>
                  <w:noWrap w:val="0"/>
                  <w:vAlign w:val="center"/>
                </w:tcPr>
                <w:p w14:paraId="55450E1F">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地表水</w:t>
                  </w:r>
                </w:p>
              </w:tc>
              <w:tc>
                <w:tcPr>
                  <w:tcW w:w="4211" w:type="dxa"/>
                  <w:gridSpan w:val="6"/>
                  <w:noWrap w:val="0"/>
                  <w:vAlign w:val="center"/>
                </w:tcPr>
                <w:p w14:paraId="1A605058">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厂界3000米范围内无地表水环境敏感目标</w:t>
                  </w:r>
                </w:p>
              </w:tc>
              <w:tc>
                <w:tcPr>
                  <w:tcW w:w="3125" w:type="dxa"/>
                  <w:noWrap w:val="0"/>
                  <w:vAlign w:val="center"/>
                </w:tcPr>
                <w:p w14:paraId="368543DB">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项目运行后与地表水无直接水力联系</w:t>
                  </w:r>
                </w:p>
              </w:tc>
            </w:tr>
            <w:tr w14:paraId="6FCE3E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 w:hRule="atLeast"/>
                <w:jc w:val="center"/>
              </w:trPr>
              <w:tc>
                <w:tcPr>
                  <w:tcW w:w="350" w:type="dxa"/>
                  <w:vMerge w:val="restart"/>
                  <w:noWrap w:val="0"/>
                  <w:vAlign w:val="center"/>
                </w:tcPr>
                <w:p w14:paraId="34CBA82A">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eastAsia" w:ascii="Times New Roman" w:hAnsi="Times New Roman" w:eastAsia="宋体" w:cs="Times New Roman"/>
                      <w:b w:val="0"/>
                      <w:bCs w:val="0"/>
                      <w:color w:val="0000FF"/>
                      <w:sz w:val="21"/>
                      <w:szCs w:val="21"/>
                      <w:lang w:val="en-US" w:eastAsia="zh-CN"/>
                    </w:rPr>
                    <w:t>5</w:t>
                  </w:r>
                </w:p>
              </w:tc>
              <w:tc>
                <w:tcPr>
                  <w:tcW w:w="818" w:type="dxa"/>
                  <w:gridSpan w:val="2"/>
                  <w:vMerge w:val="restart"/>
                  <w:noWrap w:val="0"/>
                  <w:vAlign w:val="center"/>
                </w:tcPr>
                <w:p w14:paraId="68FD98B5">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eastAsia="宋体" w:cs="Times New Roman"/>
                      <w:b w:val="0"/>
                      <w:bCs w:val="0"/>
                      <w:color w:val="0000FF"/>
                      <w:sz w:val="21"/>
                      <w:szCs w:val="21"/>
                      <w:lang w:val="en-US" w:eastAsia="zh-CN"/>
                    </w:rPr>
                    <w:t>生态环境</w:t>
                  </w:r>
                </w:p>
              </w:tc>
              <w:tc>
                <w:tcPr>
                  <w:tcW w:w="2329" w:type="dxa"/>
                  <w:gridSpan w:val="4"/>
                  <w:noWrap w:val="0"/>
                  <w:vAlign w:val="center"/>
                </w:tcPr>
                <w:p w14:paraId="7D998823">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eastAsia" w:ascii="Times New Roman" w:hAnsi="Times New Roman" w:eastAsia="宋体" w:cs="Times New Roman"/>
                      <w:b w:val="0"/>
                      <w:bCs w:val="0"/>
                      <w:color w:val="0000FF"/>
                      <w:sz w:val="21"/>
                      <w:szCs w:val="21"/>
                      <w:lang w:val="en-US" w:eastAsia="zh-CN"/>
                    </w:rPr>
                    <w:t>基本农田</w:t>
                  </w:r>
                </w:p>
              </w:tc>
              <w:tc>
                <w:tcPr>
                  <w:tcW w:w="797" w:type="dxa"/>
                  <w:noWrap w:val="0"/>
                  <w:vAlign w:val="center"/>
                </w:tcPr>
                <w:p w14:paraId="560EA807">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eastAsia" w:ascii="Times New Roman" w:hAnsi="Times New Roman" w:eastAsia="宋体" w:cs="Times New Roman"/>
                      <w:b w:val="0"/>
                      <w:bCs w:val="0"/>
                      <w:color w:val="0000FF"/>
                      <w:sz w:val="21"/>
                      <w:szCs w:val="21"/>
                      <w:lang w:val="en-US" w:eastAsia="zh-CN"/>
                    </w:rPr>
                    <w:t>N</w:t>
                  </w:r>
                </w:p>
              </w:tc>
              <w:tc>
                <w:tcPr>
                  <w:tcW w:w="1085" w:type="dxa"/>
                  <w:noWrap w:val="0"/>
                  <w:vAlign w:val="center"/>
                </w:tcPr>
                <w:p w14:paraId="68BC9048">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eastAsia" w:ascii="Times New Roman" w:hAnsi="Times New Roman" w:eastAsia="宋体" w:cs="Times New Roman"/>
                      <w:b w:val="0"/>
                      <w:bCs w:val="0"/>
                      <w:color w:val="0000FF"/>
                      <w:sz w:val="21"/>
                      <w:szCs w:val="21"/>
                      <w:lang w:val="en-US" w:eastAsia="zh-CN"/>
                    </w:rPr>
                    <w:t>10</w:t>
                  </w:r>
                </w:p>
              </w:tc>
              <w:tc>
                <w:tcPr>
                  <w:tcW w:w="3125" w:type="dxa"/>
                  <w:vMerge w:val="restart"/>
                  <w:noWrap w:val="0"/>
                  <w:vAlign w:val="center"/>
                </w:tcPr>
                <w:p w14:paraId="1E0FC0DB">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default" w:ascii="Times New Roman" w:hAnsi="Times New Roman" w:cs="Times New Roman"/>
                      <w:color w:val="0000FF"/>
                      <w:sz w:val="21"/>
                      <w:szCs w:val="21"/>
                      <w:lang w:val="en-US" w:eastAsia="zh-CN"/>
                    </w:rPr>
                    <w:t>《土壤环境质量 农用地土壤污染风险管控标准》（GB15618</w:t>
                  </w:r>
                </w:p>
              </w:tc>
            </w:tr>
            <w:tr w14:paraId="4DE39E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 w:hRule="atLeast"/>
                <w:jc w:val="center"/>
              </w:trPr>
              <w:tc>
                <w:tcPr>
                  <w:tcW w:w="350" w:type="dxa"/>
                  <w:vMerge w:val="continue"/>
                  <w:noWrap w:val="0"/>
                  <w:vAlign w:val="center"/>
                </w:tcPr>
                <w:p w14:paraId="12978C62">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pPr>
                </w:p>
              </w:tc>
              <w:tc>
                <w:tcPr>
                  <w:tcW w:w="818" w:type="dxa"/>
                  <w:gridSpan w:val="2"/>
                  <w:vMerge w:val="continue"/>
                  <w:noWrap w:val="0"/>
                  <w:vAlign w:val="center"/>
                </w:tcPr>
                <w:p w14:paraId="4C532073">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pPr>
                </w:p>
              </w:tc>
              <w:tc>
                <w:tcPr>
                  <w:tcW w:w="2329" w:type="dxa"/>
                  <w:gridSpan w:val="4"/>
                  <w:noWrap w:val="0"/>
                  <w:vAlign w:val="center"/>
                </w:tcPr>
                <w:p w14:paraId="7363DBF0">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eastAsia" w:ascii="Times New Roman" w:hAnsi="Times New Roman" w:eastAsia="宋体" w:cs="Times New Roman"/>
                      <w:b w:val="0"/>
                      <w:bCs w:val="0"/>
                      <w:color w:val="0000FF"/>
                      <w:sz w:val="21"/>
                      <w:szCs w:val="21"/>
                      <w:lang w:val="en-US" w:eastAsia="zh-CN"/>
                    </w:rPr>
                    <w:t>基本农田</w:t>
                  </w:r>
                </w:p>
              </w:tc>
              <w:tc>
                <w:tcPr>
                  <w:tcW w:w="797" w:type="dxa"/>
                  <w:noWrap w:val="0"/>
                  <w:vAlign w:val="center"/>
                </w:tcPr>
                <w:p w14:paraId="5DDDE0B5">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eastAsia" w:ascii="Times New Roman" w:hAnsi="Times New Roman" w:eastAsia="宋体" w:cs="Times New Roman"/>
                      <w:b w:val="0"/>
                      <w:bCs w:val="0"/>
                      <w:color w:val="0000FF"/>
                      <w:sz w:val="21"/>
                      <w:szCs w:val="21"/>
                      <w:lang w:val="en-US" w:eastAsia="zh-CN"/>
                    </w:rPr>
                    <w:t>N</w:t>
                  </w:r>
                </w:p>
              </w:tc>
              <w:tc>
                <w:tcPr>
                  <w:tcW w:w="1085" w:type="dxa"/>
                  <w:noWrap w:val="0"/>
                  <w:vAlign w:val="center"/>
                </w:tcPr>
                <w:p w14:paraId="6F06D59A">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eastAsia" w:ascii="Times New Roman" w:hAnsi="Times New Roman" w:eastAsia="宋体" w:cs="Times New Roman"/>
                      <w:b w:val="0"/>
                      <w:bCs w:val="0"/>
                      <w:color w:val="0000FF"/>
                      <w:sz w:val="21"/>
                      <w:szCs w:val="21"/>
                      <w:lang w:val="en-US" w:eastAsia="zh-CN"/>
                    </w:rPr>
                    <w:t>80</w:t>
                  </w:r>
                </w:p>
              </w:tc>
              <w:tc>
                <w:tcPr>
                  <w:tcW w:w="3125" w:type="dxa"/>
                  <w:vMerge w:val="continue"/>
                  <w:noWrap w:val="0"/>
                  <w:vAlign w:val="center"/>
                </w:tcPr>
                <w:p w14:paraId="076C74D4">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auto"/>
                      <w:sz w:val="21"/>
                      <w:szCs w:val="21"/>
                      <w:lang w:val="en-US" w:eastAsia="zh-CN"/>
                    </w:rPr>
                  </w:pPr>
                </w:p>
              </w:tc>
            </w:tr>
            <w:tr w14:paraId="0B23A1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 w:hRule="atLeast"/>
                <w:jc w:val="center"/>
              </w:trPr>
              <w:tc>
                <w:tcPr>
                  <w:tcW w:w="350" w:type="dxa"/>
                  <w:vMerge w:val="continue"/>
                  <w:noWrap w:val="0"/>
                  <w:vAlign w:val="center"/>
                </w:tcPr>
                <w:p w14:paraId="228D83D9">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auto"/>
                      <w:sz w:val="21"/>
                      <w:szCs w:val="21"/>
                      <w:lang w:val="en-US" w:eastAsia="zh-CN"/>
                    </w:rPr>
                  </w:pPr>
                </w:p>
              </w:tc>
              <w:tc>
                <w:tcPr>
                  <w:tcW w:w="818" w:type="dxa"/>
                  <w:gridSpan w:val="2"/>
                  <w:vMerge w:val="continue"/>
                  <w:noWrap w:val="0"/>
                  <w:vAlign w:val="center"/>
                </w:tcPr>
                <w:p w14:paraId="4AE5ECED">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auto"/>
                      <w:sz w:val="21"/>
                      <w:szCs w:val="21"/>
                      <w:lang w:val="en-US" w:eastAsia="zh-CN"/>
                    </w:rPr>
                  </w:pPr>
                </w:p>
              </w:tc>
              <w:tc>
                <w:tcPr>
                  <w:tcW w:w="2329" w:type="dxa"/>
                  <w:gridSpan w:val="4"/>
                  <w:noWrap w:val="0"/>
                  <w:vAlign w:val="center"/>
                </w:tcPr>
                <w:p w14:paraId="40ABE44C">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eastAsia" w:ascii="Times New Roman" w:hAnsi="Times New Roman" w:eastAsia="宋体" w:cs="Times New Roman"/>
                      <w:b w:val="0"/>
                      <w:bCs w:val="0"/>
                      <w:color w:val="0000FF"/>
                      <w:sz w:val="21"/>
                      <w:szCs w:val="21"/>
                      <w:lang w:val="en-US" w:eastAsia="zh-CN"/>
                    </w:rPr>
                    <w:t>基本农田</w:t>
                  </w:r>
                </w:p>
              </w:tc>
              <w:tc>
                <w:tcPr>
                  <w:tcW w:w="797" w:type="dxa"/>
                  <w:noWrap w:val="0"/>
                  <w:vAlign w:val="center"/>
                </w:tcPr>
                <w:p w14:paraId="1943C7D6">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eastAsia" w:ascii="Times New Roman" w:hAnsi="Times New Roman" w:eastAsia="宋体" w:cs="Times New Roman"/>
                      <w:b w:val="0"/>
                      <w:bCs w:val="0"/>
                      <w:color w:val="0000FF"/>
                      <w:sz w:val="21"/>
                      <w:szCs w:val="21"/>
                      <w:lang w:val="en-US" w:eastAsia="zh-CN"/>
                    </w:rPr>
                    <w:t>S</w:t>
                  </w:r>
                </w:p>
              </w:tc>
              <w:tc>
                <w:tcPr>
                  <w:tcW w:w="1085" w:type="dxa"/>
                  <w:noWrap w:val="0"/>
                  <w:vAlign w:val="center"/>
                </w:tcPr>
                <w:p w14:paraId="49FC3272">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eastAsia" w:ascii="Times New Roman" w:hAnsi="Times New Roman" w:eastAsia="宋体" w:cs="Times New Roman"/>
                      <w:b w:val="0"/>
                      <w:bCs w:val="0"/>
                      <w:color w:val="0000FF"/>
                      <w:sz w:val="21"/>
                      <w:szCs w:val="21"/>
                      <w:lang w:val="en-US" w:eastAsia="zh-CN"/>
                    </w:rPr>
                    <w:t>20</w:t>
                  </w:r>
                </w:p>
              </w:tc>
              <w:tc>
                <w:tcPr>
                  <w:tcW w:w="3125" w:type="dxa"/>
                  <w:vMerge w:val="continue"/>
                  <w:noWrap w:val="0"/>
                  <w:vAlign w:val="center"/>
                </w:tcPr>
                <w:p w14:paraId="16330192">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auto"/>
                      <w:sz w:val="21"/>
                      <w:szCs w:val="21"/>
                      <w:lang w:val="en-US" w:eastAsia="zh-CN"/>
                    </w:rPr>
                  </w:pPr>
                </w:p>
              </w:tc>
            </w:tr>
            <w:tr w14:paraId="106B77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 w:hRule="atLeast"/>
                <w:jc w:val="center"/>
              </w:trPr>
              <w:tc>
                <w:tcPr>
                  <w:tcW w:w="350" w:type="dxa"/>
                  <w:vMerge w:val="continue"/>
                  <w:noWrap w:val="0"/>
                  <w:vAlign w:val="center"/>
                </w:tcPr>
                <w:p w14:paraId="08F25D32">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auto"/>
                      <w:sz w:val="21"/>
                      <w:szCs w:val="21"/>
                      <w:lang w:val="en-US" w:eastAsia="zh-CN"/>
                    </w:rPr>
                  </w:pPr>
                </w:p>
              </w:tc>
              <w:tc>
                <w:tcPr>
                  <w:tcW w:w="818" w:type="dxa"/>
                  <w:gridSpan w:val="2"/>
                  <w:vMerge w:val="continue"/>
                  <w:noWrap w:val="0"/>
                  <w:vAlign w:val="center"/>
                </w:tcPr>
                <w:p w14:paraId="10CA91ED">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auto"/>
                      <w:sz w:val="21"/>
                      <w:szCs w:val="21"/>
                      <w:lang w:val="en-US" w:eastAsia="zh-CN"/>
                    </w:rPr>
                  </w:pPr>
                </w:p>
              </w:tc>
              <w:tc>
                <w:tcPr>
                  <w:tcW w:w="2329" w:type="dxa"/>
                  <w:gridSpan w:val="4"/>
                  <w:noWrap w:val="0"/>
                  <w:vAlign w:val="center"/>
                </w:tcPr>
                <w:p w14:paraId="61DEDCAB">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eastAsia" w:ascii="Times New Roman" w:hAnsi="Times New Roman" w:eastAsia="宋体" w:cs="Times New Roman"/>
                      <w:b w:val="0"/>
                      <w:bCs w:val="0"/>
                      <w:color w:val="0000FF"/>
                      <w:sz w:val="21"/>
                      <w:szCs w:val="21"/>
                      <w:lang w:val="en-US" w:eastAsia="zh-CN"/>
                    </w:rPr>
                    <w:t>基本农田</w:t>
                  </w:r>
                </w:p>
              </w:tc>
              <w:tc>
                <w:tcPr>
                  <w:tcW w:w="797" w:type="dxa"/>
                  <w:noWrap w:val="0"/>
                  <w:vAlign w:val="center"/>
                </w:tcPr>
                <w:p w14:paraId="33D62BA9">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eastAsia" w:ascii="Times New Roman" w:hAnsi="Times New Roman" w:eastAsia="宋体" w:cs="Times New Roman"/>
                      <w:b w:val="0"/>
                      <w:bCs w:val="0"/>
                      <w:color w:val="0000FF"/>
                      <w:sz w:val="21"/>
                      <w:szCs w:val="21"/>
                      <w:lang w:val="en-US" w:eastAsia="zh-CN"/>
                    </w:rPr>
                    <w:t>E</w:t>
                  </w:r>
                </w:p>
              </w:tc>
              <w:tc>
                <w:tcPr>
                  <w:tcW w:w="1085" w:type="dxa"/>
                  <w:noWrap w:val="0"/>
                  <w:vAlign w:val="center"/>
                </w:tcPr>
                <w:p w14:paraId="3915C1D2">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eastAsia" w:ascii="Times New Roman" w:hAnsi="Times New Roman" w:eastAsia="宋体" w:cs="Times New Roman"/>
                      <w:b w:val="0"/>
                      <w:bCs w:val="0"/>
                      <w:color w:val="0000FF"/>
                      <w:sz w:val="21"/>
                      <w:szCs w:val="21"/>
                      <w:lang w:val="en-US" w:eastAsia="zh-CN"/>
                    </w:rPr>
                    <w:t>100</w:t>
                  </w:r>
                </w:p>
              </w:tc>
              <w:tc>
                <w:tcPr>
                  <w:tcW w:w="3125" w:type="dxa"/>
                  <w:vMerge w:val="continue"/>
                  <w:noWrap w:val="0"/>
                  <w:vAlign w:val="center"/>
                </w:tcPr>
                <w:p w14:paraId="312AE641">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auto"/>
                      <w:sz w:val="21"/>
                      <w:szCs w:val="21"/>
                      <w:lang w:val="en-US" w:eastAsia="zh-CN"/>
                    </w:rPr>
                  </w:pPr>
                </w:p>
              </w:tc>
            </w:tr>
            <w:tr w14:paraId="033B3D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124" w:hRule="atLeast"/>
                <w:jc w:val="center"/>
              </w:trPr>
              <w:tc>
                <w:tcPr>
                  <w:tcW w:w="350" w:type="dxa"/>
                  <w:vMerge w:val="continue"/>
                  <w:noWrap w:val="0"/>
                  <w:vAlign w:val="center"/>
                </w:tcPr>
                <w:p w14:paraId="5163EB00">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auto"/>
                      <w:sz w:val="21"/>
                      <w:szCs w:val="21"/>
                      <w:lang w:val="en-US" w:eastAsia="zh-CN"/>
                    </w:rPr>
                  </w:pPr>
                </w:p>
              </w:tc>
              <w:tc>
                <w:tcPr>
                  <w:tcW w:w="818" w:type="dxa"/>
                  <w:gridSpan w:val="2"/>
                  <w:vMerge w:val="continue"/>
                  <w:noWrap w:val="0"/>
                  <w:vAlign w:val="center"/>
                </w:tcPr>
                <w:p w14:paraId="45CDA373">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auto"/>
                      <w:sz w:val="21"/>
                      <w:szCs w:val="21"/>
                      <w:lang w:val="en-US" w:eastAsia="zh-CN"/>
                    </w:rPr>
                  </w:pPr>
                </w:p>
              </w:tc>
              <w:tc>
                <w:tcPr>
                  <w:tcW w:w="2329" w:type="dxa"/>
                  <w:gridSpan w:val="4"/>
                  <w:noWrap w:val="0"/>
                  <w:vAlign w:val="center"/>
                </w:tcPr>
                <w:p w14:paraId="01A8A96D">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eastAsia" w:ascii="Times New Roman" w:hAnsi="Times New Roman" w:eastAsia="宋体" w:cs="Times New Roman"/>
                      <w:b w:val="0"/>
                      <w:bCs w:val="0"/>
                      <w:color w:val="0000FF"/>
                      <w:sz w:val="21"/>
                      <w:szCs w:val="21"/>
                      <w:lang w:val="en-US" w:eastAsia="zh-CN"/>
                    </w:rPr>
                    <w:t>基本农田</w:t>
                  </w:r>
                </w:p>
              </w:tc>
              <w:tc>
                <w:tcPr>
                  <w:tcW w:w="797" w:type="dxa"/>
                  <w:noWrap w:val="0"/>
                  <w:vAlign w:val="center"/>
                </w:tcPr>
                <w:p w14:paraId="70F2ACD0">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eastAsia" w:ascii="Times New Roman" w:hAnsi="Times New Roman" w:eastAsia="宋体" w:cs="Times New Roman"/>
                      <w:b w:val="0"/>
                      <w:bCs w:val="0"/>
                      <w:color w:val="0000FF"/>
                      <w:sz w:val="21"/>
                      <w:szCs w:val="21"/>
                      <w:lang w:val="en-US" w:eastAsia="zh-CN"/>
                    </w:rPr>
                    <w:t>W</w:t>
                  </w:r>
                </w:p>
              </w:tc>
              <w:tc>
                <w:tcPr>
                  <w:tcW w:w="1085" w:type="dxa"/>
                  <w:noWrap w:val="0"/>
                  <w:vAlign w:val="center"/>
                </w:tcPr>
                <w:p w14:paraId="2B49FADE">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eastAsia" w:ascii="Times New Roman" w:hAnsi="Times New Roman" w:eastAsia="宋体" w:cs="Times New Roman"/>
                      <w:b w:val="0"/>
                      <w:bCs w:val="0"/>
                      <w:color w:val="0000FF"/>
                      <w:sz w:val="21"/>
                      <w:szCs w:val="21"/>
                      <w:lang w:val="en-US" w:eastAsia="zh-CN"/>
                    </w:rPr>
                    <w:t>68</w:t>
                  </w:r>
                </w:p>
              </w:tc>
              <w:tc>
                <w:tcPr>
                  <w:tcW w:w="3125" w:type="dxa"/>
                  <w:vMerge w:val="continue"/>
                  <w:noWrap w:val="0"/>
                  <w:vAlign w:val="center"/>
                </w:tcPr>
                <w:p w14:paraId="1D06CDBF">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auto"/>
                      <w:sz w:val="21"/>
                      <w:szCs w:val="21"/>
                      <w:lang w:val="en-US" w:eastAsia="zh-CN"/>
                    </w:rPr>
                  </w:pPr>
                </w:p>
              </w:tc>
            </w:tr>
            <w:tr w14:paraId="2463F8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 w:hRule="atLeast"/>
                <w:jc w:val="center"/>
              </w:trPr>
              <w:tc>
                <w:tcPr>
                  <w:tcW w:w="350" w:type="dxa"/>
                  <w:vMerge w:val="continue"/>
                  <w:noWrap w:val="0"/>
                  <w:vAlign w:val="center"/>
                </w:tcPr>
                <w:p w14:paraId="45FDB06D">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auto"/>
                      <w:sz w:val="21"/>
                      <w:szCs w:val="21"/>
                      <w:lang w:val="en-US" w:eastAsia="zh-CN"/>
                    </w:rPr>
                  </w:pPr>
                </w:p>
              </w:tc>
              <w:tc>
                <w:tcPr>
                  <w:tcW w:w="818" w:type="dxa"/>
                  <w:gridSpan w:val="2"/>
                  <w:vMerge w:val="continue"/>
                  <w:noWrap w:val="0"/>
                  <w:vAlign w:val="center"/>
                </w:tcPr>
                <w:p w14:paraId="62C7779B">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auto"/>
                      <w:sz w:val="21"/>
                      <w:szCs w:val="21"/>
                      <w:lang w:val="en-US" w:eastAsia="zh-CN"/>
                    </w:rPr>
                  </w:pPr>
                </w:p>
              </w:tc>
              <w:tc>
                <w:tcPr>
                  <w:tcW w:w="2329" w:type="dxa"/>
                  <w:gridSpan w:val="4"/>
                  <w:noWrap w:val="0"/>
                  <w:vAlign w:val="center"/>
                </w:tcPr>
                <w:p w14:paraId="73547112">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eastAsia" w:ascii="Times New Roman" w:hAnsi="Times New Roman" w:eastAsia="宋体" w:cs="Times New Roman"/>
                      <w:b w:val="0"/>
                      <w:bCs w:val="0"/>
                      <w:color w:val="0000FF"/>
                      <w:sz w:val="21"/>
                      <w:szCs w:val="21"/>
                      <w:lang w:val="en-US" w:eastAsia="zh-CN"/>
                    </w:rPr>
                  </w:pPr>
                  <w:r>
                    <w:rPr>
                      <w:rFonts w:hint="eastAsia" w:ascii="Times New Roman" w:hAnsi="Times New Roman" w:eastAsia="宋体" w:cs="Times New Roman"/>
                      <w:b w:val="0"/>
                      <w:bCs w:val="0"/>
                      <w:color w:val="0000FF"/>
                      <w:sz w:val="21"/>
                      <w:szCs w:val="21"/>
                      <w:lang w:val="en-US" w:eastAsia="zh-CN"/>
                    </w:rPr>
                    <w:t>基本农田</w:t>
                  </w:r>
                </w:p>
              </w:tc>
              <w:tc>
                <w:tcPr>
                  <w:tcW w:w="797" w:type="dxa"/>
                  <w:noWrap w:val="0"/>
                  <w:vAlign w:val="center"/>
                </w:tcPr>
                <w:p w14:paraId="60EB468E">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eastAsia" w:ascii="Times New Roman" w:hAnsi="Times New Roman" w:eastAsia="宋体" w:cs="Times New Roman"/>
                      <w:b w:val="0"/>
                      <w:bCs w:val="0"/>
                      <w:color w:val="0000FF"/>
                      <w:sz w:val="21"/>
                      <w:szCs w:val="21"/>
                      <w:lang w:val="en-US" w:eastAsia="zh-CN"/>
                    </w:rPr>
                    <w:t>W</w:t>
                  </w:r>
                </w:p>
              </w:tc>
              <w:tc>
                <w:tcPr>
                  <w:tcW w:w="1085" w:type="dxa"/>
                  <w:noWrap w:val="0"/>
                  <w:vAlign w:val="center"/>
                </w:tcPr>
                <w:p w14:paraId="6DEDBD0A">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0000FF"/>
                      <w:sz w:val="21"/>
                      <w:szCs w:val="21"/>
                      <w:lang w:val="en-US" w:eastAsia="zh-CN"/>
                    </w:rPr>
                  </w:pPr>
                  <w:r>
                    <w:rPr>
                      <w:rFonts w:hint="eastAsia" w:ascii="Times New Roman" w:hAnsi="Times New Roman" w:eastAsia="宋体" w:cs="Times New Roman"/>
                      <w:b w:val="0"/>
                      <w:bCs w:val="0"/>
                      <w:color w:val="0000FF"/>
                      <w:sz w:val="21"/>
                      <w:szCs w:val="21"/>
                      <w:lang w:val="en-US" w:eastAsia="zh-CN"/>
                    </w:rPr>
                    <w:t>600</w:t>
                  </w:r>
                </w:p>
              </w:tc>
              <w:tc>
                <w:tcPr>
                  <w:tcW w:w="3125" w:type="dxa"/>
                  <w:vMerge w:val="continue"/>
                  <w:noWrap w:val="0"/>
                  <w:vAlign w:val="center"/>
                </w:tcPr>
                <w:p w14:paraId="229FD5D5">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val="0"/>
                      <w:bCs w:val="0"/>
                      <w:color w:val="auto"/>
                      <w:sz w:val="21"/>
                      <w:szCs w:val="21"/>
                      <w:lang w:val="en-US" w:eastAsia="zh-CN"/>
                    </w:rPr>
                  </w:pPr>
                </w:p>
              </w:tc>
            </w:tr>
          </w:tbl>
          <w:p w14:paraId="3C1294F5">
            <w:pPr>
              <w:widowControl w:val="0"/>
              <w:overflowPunct w:val="0"/>
              <w:autoSpaceDE w:val="0"/>
              <w:autoSpaceDN w:val="0"/>
              <w:adjustRightInd w:val="0"/>
              <w:snapToGrid w:val="0"/>
              <w:spacing w:before="0" w:after="0" w:line="560" w:lineRule="exact"/>
              <w:ind w:left="0" w:leftChars="0" w:right="0" w:rightChars="0" w:firstLine="562" w:firstLineChars="200"/>
              <w:jc w:val="left"/>
              <w:outlineLvl w:val="9"/>
              <w:rPr>
                <w:rFonts w:hint="default" w:ascii="Times New Roman" w:hAnsi="Times New Roman" w:eastAsia="宋体" w:cs="Times New Roman"/>
                <w:b/>
                <w:color w:val="auto"/>
                <w:sz w:val="28"/>
                <w:szCs w:val="30"/>
                <w:vertAlign w:val="baseline"/>
                <w:lang w:val="en-US" w:eastAsia="zh-CN" w:bidi="ar-SA"/>
              </w:rPr>
            </w:pPr>
          </w:p>
        </w:tc>
      </w:tr>
      <w:tr w14:paraId="02394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1D2419CC">
            <w:pPr>
              <w:numPr>
                <w:ilvl w:val="0"/>
                <w:numId w:val="0"/>
              </w:numPr>
              <w:overflowPunct w:val="0"/>
              <w:autoSpaceDE w:val="0"/>
              <w:autoSpaceDN w:val="0"/>
              <w:adjustRightInd w:val="0"/>
              <w:snapToGrid w:val="0"/>
              <w:spacing w:before="0" w:after="0" w:line="500" w:lineRule="exact"/>
              <w:ind w:left="0" w:leftChars="0" w:right="0" w:rightChars="0" w:firstLine="0" w:firstLineChars="0"/>
              <w:jc w:val="center"/>
              <w:rPr>
                <w:rFonts w:hint="default" w:ascii="Times New Roman" w:hAnsi="Times New Roman" w:eastAsia="宋体" w:cs="Times New Roman"/>
                <w:color w:val="auto"/>
                <w:vertAlign w:val="baseline"/>
              </w:rPr>
            </w:pPr>
            <w:r>
              <w:rPr>
                <w:rFonts w:hint="default" w:ascii="Times New Roman" w:hAnsi="Times New Roman" w:eastAsia="宋体" w:cs="Times New Roman"/>
                <w:color w:val="auto"/>
              </w:rPr>
              <w:t>污染</w:t>
            </w:r>
            <w:r>
              <w:rPr>
                <w:rFonts w:hint="default" w:ascii="Times New Roman" w:hAnsi="Times New Roman" w:eastAsia="宋体" w:cs="Times New Roman"/>
                <w:color w:val="auto"/>
                <w:lang w:val="en-US" w:eastAsia="zh-Hans"/>
              </w:rPr>
              <w:t>物排放控制标准</w:t>
            </w:r>
          </w:p>
        </w:tc>
        <w:tc>
          <w:tcPr>
            <w:tcW w:w="8645" w:type="dxa"/>
            <w:vAlign w:val="top"/>
          </w:tcPr>
          <w:p w14:paraId="675A8739">
            <w:pPr>
              <w:widowControl w:val="0"/>
              <w:overflowPunct w:val="0"/>
              <w:autoSpaceDE w:val="0"/>
              <w:autoSpaceDN w:val="0"/>
              <w:bidi w:val="0"/>
              <w:adjustRightInd w:val="0"/>
              <w:snapToGrid w:val="0"/>
              <w:spacing w:before="0" w:after="0" w:line="360" w:lineRule="auto"/>
              <w:ind w:right="0"/>
              <w:jc w:val="left"/>
              <w:outlineLvl w:val="1"/>
              <w:rPr>
                <w:rFonts w:hint="default" w:ascii="Times New Roman" w:hAnsi="Times New Roman" w:eastAsia="宋体" w:cs="Times New Roman"/>
                <w:b/>
                <w:color w:val="auto"/>
                <w:sz w:val="28"/>
                <w:szCs w:val="30"/>
                <w:highlight w:val="none"/>
                <w:lang w:val="en-US" w:eastAsia="zh-CN" w:bidi="ar-SA"/>
              </w:rPr>
            </w:pPr>
            <w:r>
              <w:rPr>
                <w:rFonts w:hint="default" w:ascii="Times New Roman" w:hAnsi="Times New Roman" w:eastAsia="宋体" w:cs="Times New Roman"/>
                <w:b/>
                <w:color w:val="auto"/>
                <w:sz w:val="28"/>
                <w:szCs w:val="30"/>
                <w:highlight w:val="none"/>
                <w:lang w:val="en-US" w:eastAsia="zh-CN" w:bidi="ar-SA"/>
              </w:rPr>
              <w:t>8、污染物排放控制标准</w:t>
            </w:r>
          </w:p>
          <w:p w14:paraId="4B9131FB">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leftChars="0" w:right="0" w:rightChars="0" w:firstLine="480" w:firstLineChars="200"/>
              <w:jc w:val="left"/>
              <w:textAlignment w:val="auto"/>
              <w:outlineLvl w:val="9"/>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1</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大气污染物排放标准</w:t>
            </w:r>
          </w:p>
          <w:p w14:paraId="7C3B44E1">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运营期</w:t>
            </w:r>
            <w:r>
              <w:rPr>
                <w:rFonts w:hint="default" w:ascii="Times New Roman" w:hAnsi="Times New Roman" w:eastAsia="宋体" w:cs="Times New Roman"/>
                <w:color w:val="auto"/>
                <w:lang w:val="en-US" w:eastAsia="zh-CN"/>
              </w:rPr>
              <w:t>发酵工段产生的恶臭污染物氨、硫化氢、臭气浓度经生物除臭塔（滴滤法）处理后满足《恶臭污染物排放标准》（GB14554-93）表2 恶臭污染物排放标准值排放；生产车间筛分、包装等过程产生的颗粒物经袋式除尘处理后满足《大气污染物综合排放标准》（GB 16297-1996）表2 新污染源大气污染物排放限值后排放；厂界无组织排放的颗粒物执行《大气污染物综合排放标准》（GB 16297-1996）表2 新污染源大气污染物排放限值，臭气浓度、氨、硫化氢执行《恶臭污染物排放标准》（GB14554-93）表1 恶臭污染物厂界标准值中二级标准限值。</w:t>
            </w:r>
          </w:p>
          <w:p w14:paraId="1117FB30">
            <w:pPr>
              <w:widowControl w:val="0"/>
              <w:overflowPunct w:val="0"/>
              <w:autoSpaceDE w:val="0"/>
              <w:autoSpaceDN w:val="0"/>
              <w:bidi w:val="0"/>
              <w:adjustRightInd w:val="0"/>
              <w:snapToGrid w:val="0"/>
              <w:spacing w:line="400" w:lineRule="exact"/>
              <w:ind w:firstLine="0" w:firstLineChars="0"/>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表3.8-1大气污染物排放所执行的标准</w:t>
            </w:r>
          </w:p>
          <w:tbl>
            <w:tblPr>
              <w:tblStyle w:val="22"/>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67"/>
              <w:gridCol w:w="457"/>
              <w:gridCol w:w="1043"/>
              <w:gridCol w:w="682"/>
              <w:gridCol w:w="1198"/>
              <w:gridCol w:w="984"/>
              <w:gridCol w:w="2573"/>
            </w:tblGrid>
            <w:tr w14:paraId="4082C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567" w:type="dxa"/>
                  <w:noWrap w:val="0"/>
                  <w:vAlign w:val="center"/>
                </w:tcPr>
                <w:p w14:paraId="34DF65BE">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污染源</w:t>
                  </w:r>
                </w:p>
              </w:tc>
              <w:tc>
                <w:tcPr>
                  <w:tcW w:w="1500" w:type="dxa"/>
                  <w:gridSpan w:val="2"/>
                  <w:noWrap w:val="0"/>
                  <w:vAlign w:val="center"/>
                </w:tcPr>
                <w:p w14:paraId="71028223">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污染物</w:t>
                  </w:r>
                </w:p>
              </w:tc>
              <w:tc>
                <w:tcPr>
                  <w:tcW w:w="682" w:type="dxa"/>
                  <w:noWrap w:val="0"/>
                  <w:vAlign w:val="center"/>
                </w:tcPr>
                <w:p w14:paraId="0D6D6697">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排放浓度mg/m</w:t>
                  </w:r>
                  <w:r>
                    <w:rPr>
                      <w:rFonts w:hint="default" w:ascii="Times New Roman" w:hAnsi="Times New Roman" w:eastAsia="宋体" w:cs="Times New Roman"/>
                      <w:color w:val="auto"/>
                      <w:kern w:val="2"/>
                      <w:sz w:val="21"/>
                      <w:szCs w:val="21"/>
                      <w:vertAlign w:val="superscript"/>
                      <w:lang w:val="en-US" w:eastAsia="zh-CN" w:bidi="ar-SA"/>
                    </w:rPr>
                    <w:t>3</w:t>
                  </w:r>
                </w:p>
              </w:tc>
              <w:tc>
                <w:tcPr>
                  <w:tcW w:w="1198" w:type="dxa"/>
                  <w:noWrap w:val="0"/>
                  <w:vAlign w:val="center"/>
                </w:tcPr>
                <w:p w14:paraId="7E18CB00">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排放速率kg/h</w:t>
                  </w:r>
                </w:p>
              </w:tc>
              <w:tc>
                <w:tcPr>
                  <w:tcW w:w="984" w:type="dxa"/>
                  <w:noWrap w:val="0"/>
                  <w:vAlign w:val="center"/>
                </w:tcPr>
                <w:p w14:paraId="65DA2565">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排气筒高度（m）</w:t>
                  </w:r>
                </w:p>
              </w:tc>
              <w:tc>
                <w:tcPr>
                  <w:tcW w:w="2573" w:type="dxa"/>
                  <w:noWrap w:val="0"/>
                  <w:vAlign w:val="center"/>
                </w:tcPr>
                <w:p w14:paraId="4A0246BA">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标准来源</w:t>
                  </w:r>
                </w:p>
              </w:tc>
            </w:tr>
            <w:tr w14:paraId="01727A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7" w:type="dxa"/>
                  <w:vMerge w:val="restart"/>
                  <w:noWrap w:val="0"/>
                  <w:vAlign w:val="center"/>
                </w:tcPr>
                <w:p w14:paraId="1E9578A3">
                  <w:pPr>
                    <w:widowControl w:val="0"/>
                    <w:autoSpaceDE w:val="0"/>
                    <w:autoSpaceDN w:val="0"/>
                    <w:spacing w:line="240" w:lineRule="auto"/>
                    <w:ind w:left="0" w:leftChars="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DA001（发酵罐区排放口）</w:t>
                  </w:r>
                </w:p>
              </w:tc>
              <w:tc>
                <w:tcPr>
                  <w:tcW w:w="457" w:type="dxa"/>
                  <w:vMerge w:val="restart"/>
                  <w:noWrap w:val="0"/>
                  <w:vAlign w:val="center"/>
                </w:tcPr>
                <w:p w14:paraId="3CC4DC4A">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有组织</w:t>
                  </w:r>
                </w:p>
              </w:tc>
              <w:tc>
                <w:tcPr>
                  <w:tcW w:w="1043" w:type="dxa"/>
                  <w:noWrap w:val="0"/>
                  <w:vAlign w:val="center"/>
                </w:tcPr>
                <w:p w14:paraId="34C3212C">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Hans" w:bidi="ar-SA"/>
                    </w:rPr>
                    <w:t>氨</w:t>
                  </w:r>
                </w:p>
              </w:tc>
              <w:tc>
                <w:tcPr>
                  <w:tcW w:w="682" w:type="dxa"/>
                  <w:noWrap w:val="0"/>
                  <w:vAlign w:val="center"/>
                </w:tcPr>
                <w:p w14:paraId="113B4F4A">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w:t>
                  </w:r>
                </w:p>
              </w:tc>
              <w:tc>
                <w:tcPr>
                  <w:tcW w:w="1198" w:type="dxa"/>
                  <w:noWrap w:val="0"/>
                  <w:vAlign w:val="center"/>
                </w:tcPr>
                <w:p w14:paraId="7985487B">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4.9</w:t>
                  </w:r>
                </w:p>
              </w:tc>
              <w:tc>
                <w:tcPr>
                  <w:tcW w:w="984" w:type="dxa"/>
                  <w:vMerge w:val="restart"/>
                  <w:noWrap w:val="0"/>
                  <w:vAlign w:val="center"/>
                </w:tcPr>
                <w:p w14:paraId="1E16AD87">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15</w:t>
                  </w:r>
                </w:p>
              </w:tc>
              <w:tc>
                <w:tcPr>
                  <w:tcW w:w="2573" w:type="dxa"/>
                  <w:vMerge w:val="restart"/>
                  <w:noWrap w:val="0"/>
                  <w:vAlign w:val="center"/>
                </w:tcPr>
                <w:p w14:paraId="5F683871">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《恶臭污染物排放标准》（GB14554-93）表2 恶臭污染物排放标准值</w:t>
                  </w:r>
                </w:p>
              </w:tc>
            </w:tr>
            <w:tr w14:paraId="4A64F5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567" w:type="dxa"/>
                  <w:vMerge w:val="continue"/>
                  <w:noWrap w:val="0"/>
                  <w:vAlign w:val="center"/>
                </w:tcPr>
                <w:p w14:paraId="712CCC97">
                  <w:pPr>
                    <w:widowControl w:val="0"/>
                    <w:autoSpaceDE w:val="0"/>
                    <w:autoSpaceDN w:val="0"/>
                    <w:spacing w:line="240" w:lineRule="auto"/>
                    <w:ind w:left="0" w:leftChars="0" w:firstLine="0" w:firstLineChars="0"/>
                    <w:jc w:val="center"/>
                    <w:rPr>
                      <w:rFonts w:hint="default" w:ascii="Times New Roman" w:hAnsi="Times New Roman" w:eastAsia="宋体" w:cs="Times New Roman"/>
                      <w:color w:val="auto"/>
                      <w:kern w:val="2"/>
                      <w:sz w:val="21"/>
                      <w:szCs w:val="21"/>
                      <w:lang w:val="en-US" w:eastAsia="zh-CN" w:bidi="ar-SA"/>
                    </w:rPr>
                  </w:pPr>
                </w:p>
              </w:tc>
              <w:tc>
                <w:tcPr>
                  <w:tcW w:w="457" w:type="dxa"/>
                  <w:vMerge w:val="continue"/>
                  <w:noWrap w:val="0"/>
                  <w:vAlign w:val="center"/>
                </w:tcPr>
                <w:p w14:paraId="7C605B49">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1043" w:type="dxa"/>
                  <w:noWrap w:val="0"/>
                  <w:vAlign w:val="center"/>
                </w:tcPr>
                <w:p w14:paraId="1AB16DA5">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Hans" w:bidi="ar-SA"/>
                    </w:rPr>
                    <w:t>硫化氢</w:t>
                  </w:r>
                </w:p>
              </w:tc>
              <w:tc>
                <w:tcPr>
                  <w:tcW w:w="682" w:type="dxa"/>
                  <w:noWrap w:val="0"/>
                  <w:vAlign w:val="center"/>
                </w:tcPr>
                <w:p w14:paraId="5B6E9161">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w:t>
                  </w:r>
                </w:p>
              </w:tc>
              <w:tc>
                <w:tcPr>
                  <w:tcW w:w="1198" w:type="dxa"/>
                  <w:noWrap w:val="0"/>
                  <w:vAlign w:val="center"/>
                </w:tcPr>
                <w:p w14:paraId="4AD31D3E">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0.33</w:t>
                  </w:r>
                </w:p>
              </w:tc>
              <w:tc>
                <w:tcPr>
                  <w:tcW w:w="984" w:type="dxa"/>
                  <w:vMerge w:val="continue"/>
                  <w:noWrap w:val="0"/>
                  <w:vAlign w:val="center"/>
                </w:tcPr>
                <w:p w14:paraId="713AF4C6">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2573" w:type="dxa"/>
                  <w:vMerge w:val="continue"/>
                  <w:noWrap w:val="0"/>
                  <w:vAlign w:val="center"/>
                </w:tcPr>
                <w:p w14:paraId="1AA4B323">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r>
            <w:tr w14:paraId="3510F0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7" w:type="dxa"/>
                  <w:vMerge w:val="continue"/>
                  <w:noWrap w:val="0"/>
                  <w:vAlign w:val="center"/>
                </w:tcPr>
                <w:p w14:paraId="02D1264E">
                  <w:pPr>
                    <w:widowControl w:val="0"/>
                    <w:autoSpaceDE w:val="0"/>
                    <w:autoSpaceDN w:val="0"/>
                    <w:spacing w:line="240" w:lineRule="auto"/>
                    <w:ind w:left="0" w:leftChars="0" w:firstLine="0" w:firstLineChars="0"/>
                    <w:jc w:val="center"/>
                    <w:rPr>
                      <w:rFonts w:hint="default" w:ascii="Times New Roman" w:hAnsi="Times New Roman" w:eastAsia="宋体" w:cs="Times New Roman"/>
                      <w:color w:val="auto"/>
                      <w:kern w:val="2"/>
                      <w:sz w:val="21"/>
                      <w:szCs w:val="21"/>
                      <w:lang w:val="en-US" w:eastAsia="zh-CN" w:bidi="ar-SA"/>
                    </w:rPr>
                  </w:pPr>
                </w:p>
              </w:tc>
              <w:tc>
                <w:tcPr>
                  <w:tcW w:w="457" w:type="dxa"/>
                  <w:vMerge w:val="continue"/>
                  <w:noWrap w:val="0"/>
                  <w:vAlign w:val="center"/>
                </w:tcPr>
                <w:p w14:paraId="489AB0F4">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1043" w:type="dxa"/>
                  <w:noWrap w:val="0"/>
                  <w:vAlign w:val="center"/>
                </w:tcPr>
                <w:p w14:paraId="2690E715">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Hans" w:bidi="ar-SA"/>
                    </w:rPr>
                    <w:t>臭气浓度</w:t>
                  </w:r>
                </w:p>
              </w:tc>
              <w:tc>
                <w:tcPr>
                  <w:tcW w:w="682" w:type="dxa"/>
                  <w:noWrap w:val="0"/>
                  <w:vAlign w:val="center"/>
                </w:tcPr>
                <w:p w14:paraId="20636B13">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w:t>
                  </w:r>
                </w:p>
              </w:tc>
              <w:tc>
                <w:tcPr>
                  <w:tcW w:w="1198" w:type="dxa"/>
                  <w:noWrap w:val="0"/>
                  <w:vAlign w:val="center"/>
                </w:tcPr>
                <w:p w14:paraId="2A39078F">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2000</w:t>
                  </w:r>
                  <w:r>
                    <w:rPr>
                      <w:rFonts w:hint="default" w:ascii="Times New Roman" w:hAnsi="Times New Roman" w:eastAsia="宋体" w:cs="Times New Roman"/>
                      <w:color w:val="auto"/>
                      <w:kern w:val="2"/>
                      <w:sz w:val="21"/>
                      <w:szCs w:val="21"/>
                      <w:lang w:val="en-US" w:eastAsia="zh-CN" w:bidi="ar-SA"/>
                    </w:rPr>
                    <w:t>（无量纲）</w:t>
                  </w:r>
                </w:p>
              </w:tc>
              <w:tc>
                <w:tcPr>
                  <w:tcW w:w="984" w:type="dxa"/>
                  <w:vMerge w:val="continue"/>
                  <w:noWrap w:val="0"/>
                  <w:vAlign w:val="center"/>
                </w:tcPr>
                <w:p w14:paraId="324A7429">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p>
              </w:tc>
              <w:tc>
                <w:tcPr>
                  <w:tcW w:w="2573" w:type="dxa"/>
                  <w:vMerge w:val="continue"/>
                  <w:noWrap w:val="0"/>
                  <w:vAlign w:val="center"/>
                </w:tcPr>
                <w:p w14:paraId="1191A2D0">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r>
            <w:tr w14:paraId="391BEC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7" w:type="dxa"/>
                  <w:noWrap w:val="0"/>
                  <w:vAlign w:val="center"/>
                </w:tcPr>
                <w:p w14:paraId="32DB0A5B">
                  <w:pPr>
                    <w:widowControl w:val="0"/>
                    <w:autoSpaceDE w:val="0"/>
                    <w:autoSpaceDN w:val="0"/>
                    <w:spacing w:line="240" w:lineRule="auto"/>
                    <w:ind w:left="0" w:leftChars="0" w:firstLine="0" w:firstLineChars="0"/>
                    <w:jc w:val="center"/>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color w:val="auto"/>
                      <w:kern w:val="2"/>
                      <w:sz w:val="21"/>
                      <w:szCs w:val="21"/>
                      <w:lang w:val="en-US" w:eastAsia="zh-CN" w:bidi="ar-SA"/>
                    </w:rPr>
                    <w:t>DA002（生产车间排放口）</w:t>
                  </w:r>
                </w:p>
              </w:tc>
              <w:tc>
                <w:tcPr>
                  <w:tcW w:w="457" w:type="dxa"/>
                  <w:vMerge w:val="continue"/>
                  <w:noWrap w:val="0"/>
                  <w:vAlign w:val="center"/>
                </w:tcPr>
                <w:p w14:paraId="1BF53BC5">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1043" w:type="dxa"/>
                  <w:noWrap w:val="0"/>
                  <w:vAlign w:val="center"/>
                </w:tcPr>
                <w:p w14:paraId="5D0CFF02">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颗粒物</w:t>
                  </w:r>
                </w:p>
              </w:tc>
              <w:tc>
                <w:tcPr>
                  <w:tcW w:w="682" w:type="dxa"/>
                  <w:noWrap w:val="0"/>
                  <w:vAlign w:val="center"/>
                </w:tcPr>
                <w:p w14:paraId="5BD056FF">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shd w:val="clear" w:color="auto" w:fill="auto"/>
                      <w:lang w:val="en-US" w:eastAsia="zh-CN" w:bidi="ar-SA"/>
                    </w:rPr>
                  </w:pPr>
                  <w:r>
                    <w:rPr>
                      <w:rFonts w:hint="default" w:ascii="Times New Roman" w:hAnsi="Times New Roman" w:eastAsia="宋体" w:cs="Times New Roman"/>
                      <w:color w:val="auto"/>
                      <w:kern w:val="2"/>
                      <w:sz w:val="21"/>
                      <w:szCs w:val="21"/>
                      <w:shd w:val="clear" w:color="auto" w:fill="auto"/>
                      <w:lang w:val="en-US" w:eastAsia="zh-CN" w:bidi="ar-SA"/>
                    </w:rPr>
                    <w:t>120</w:t>
                  </w:r>
                </w:p>
              </w:tc>
              <w:tc>
                <w:tcPr>
                  <w:tcW w:w="1198" w:type="dxa"/>
                  <w:noWrap w:val="0"/>
                  <w:vAlign w:val="center"/>
                </w:tcPr>
                <w:p w14:paraId="3C9EDFE7">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3.5</w:t>
                  </w:r>
                </w:p>
              </w:tc>
              <w:tc>
                <w:tcPr>
                  <w:tcW w:w="984" w:type="dxa"/>
                  <w:noWrap w:val="0"/>
                  <w:vAlign w:val="center"/>
                </w:tcPr>
                <w:p w14:paraId="5112B31B">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15</w:t>
                  </w:r>
                </w:p>
              </w:tc>
              <w:tc>
                <w:tcPr>
                  <w:tcW w:w="2573" w:type="dxa"/>
                  <w:vMerge w:val="restart"/>
                  <w:noWrap w:val="0"/>
                  <w:vAlign w:val="center"/>
                </w:tcPr>
                <w:p w14:paraId="4D00FE33">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《大气污染物综合排放标准》（GB 16297-1996）表2 新污染源大气污染物排放限值</w:t>
                  </w:r>
                </w:p>
              </w:tc>
            </w:tr>
            <w:tr w14:paraId="40A456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7" w:type="dxa"/>
                  <w:vMerge w:val="restart"/>
                  <w:noWrap w:val="0"/>
                  <w:vAlign w:val="center"/>
                </w:tcPr>
                <w:p w14:paraId="5280866A">
                  <w:pPr>
                    <w:widowControl w:val="0"/>
                    <w:autoSpaceDE w:val="0"/>
                    <w:autoSpaceDN w:val="0"/>
                    <w:spacing w:line="240" w:lineRule="auto"/>
                    <w:ind w:left="0" w:leftChars="0" w:firstLine="0" w:firstLineChars="0"/>
                    <w:jc w:val="center"/>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color w:val="auto"/>
                      <w:sz w:val="21"/>
                      <w:szCs w:val="22"/>
                      <w:lang w:val="en-US" w:eastAsia="zh-CN" w:bidi="ar-SA"/>
                    </w:rPr>
                    <w:t>厂界</w:t>
                  </w:r>
                </w:p>
              </w:tc>
              <w:tc>
                <w:tcPr>
                  <w:tcW w:w="457" w:type="dxa"/>
                  <w:vMerge w:val="restart"/>
                  <w:noWrap w:val="0"/>
                  <w:vAlign w:val="center"/>
                </w:tcPr>
                <w:p w14:paraId="0CBEBDB1">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无组织</w:t>
                  </w:r>
                </w:p>
              </w:tc>
              <w:tc>
                <w:tcPr>
                  <w:tcW w:w="1043" w:type="dxa"/>
                  <w:noWrap w:val="0"/>
                  <w:vAlign w:val="center"/>
                </w:tcPr>
                <w:p w14:paraId="695087AA">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颗粒物</w:t>
                  </w:r>
                </w:p>
              </w:tc>
              <w:tc>
                <w:tcPr>
                  <w:tcW w:w="682" w:type="dxa"/>
                  <w:noWrap w:val="0"/>
                  <w:vAlign w:val="center"/>
                </w:tcPr>
                <w:p w14:paraId="1D660AE3">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1.0</w:t>
                  </w:r>
                </w:p>
              </w:tc>
              <w:tc>
                <w:tcPr>
                  <w:tcW w:w="1198" w:type="dxa"/>
                  <w:noWrap w:val="0"/>
                  <w:vAlign w:val="center"/>
                </w:tcPr>
                <w:p w14:paraId="2D697BE6">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984" w:type="dxa"/>
                  <w:noWrap w:val="0"/>
                  <w:vAlign w:val="center"/>
                </w:tcPr>
                <w:p w14:paraId="664FEB68">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2573" w:type="dxa"/>
                  <w:vMerge w:val="continue"/>
                  <w:noWrap w:val="0"/>
                  <w:vAlign w:val="center"/>
                </w:tcPr>
                <w:p w14:paraId="32549346">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r>
            <w:tr w14:paraId="6727F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7" w:type="dxa"/>
                  <w:vMerge w:val="continue"/>
                  <w:noWrap w:val="0"/>
                  <w:vAlign w:val="center"/>
                </w:tcPr>
                <w:p w14:paraId="3A41C92B">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457" w:type="dxa"/>
                  <w:vMerge w:val="continue"/>
                  <w:noWrap w:val="0"/>
                  <w:vAlign w:val="center"/>
                </w:tcPr>
                <w:p w14:paraId="2F4CC5B6">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1043" w:type="dxa"/>
                  <w:noWrap w:val="0"/>
                  <w:vAlign w:val="center"/>
                </w:tcPr>
                <w:p w14:paraId="226F32CC">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Hans" w:bidi="ar-SA"/>
                    </w:rPr>
                    <w:t>臭气浓度</w:t>
                  </w:r>
                </w:p>
              </w:tc>
              <w:tc>
                <w:tcPr>
                  <w:tcW w:w="682" w:type="dxa"/>
                  <w:noWrap w:val="0"/>
                  <w:vAlign w:val="center"/>
                </w:tcPr>
                <w:p w14:paraId="7A602D6E">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20（无量纲）</w:t>
                  </w:r>
                </w:p>
              </w:tc>
              <w:tc>
                <w:tcPr>
                  <w:tcW w:w="1198" w:type="dxa"/>
                  <w:noWrap w:val="0"/>
                  <w:vAlign w:val="center"/>
                </w:tcPr>
                <w:p w14:paraId="18BE83C9">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984" w:type="dxa"/>
                  <w:noWrap w:val="0"/>
                  <w:vAlign w:val="center"/>
                </w:tcPr>
                <w:p w14:paraId="568DFB0B">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2573" w:type="dxa"/>
                  <w:vMerge w:val="restart"/>
                  <w:noWrap w:val="0"/>
                  <w:vAlign w:val="center"/>
                </w:tcPr>
                <w:p w14:paraId="538CB759">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《恶臭污染物排放标准》（GB14554-93）表1 恶臭污染物厂界标准值中二级标准限值</w:t>
                  </w:r>
                </w:p>
              </w:tc>
            </w:tr>
            <w:tr w14:paraId="483CAC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7" w:type="dxa"/>
                  <w:vMerge w:val="continue"/>
                  <w:noWrap w:val="0"/>
                  <w:vAlign w:val="center"/>
                </w:tcPr>
                <w:p w14:paraId="5F04BF87">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457" w:type="dxa"/>
                  <w:vMerge w:val="continue"/>
                  <w:noWrap w:val="0"/>
                  <w:vAlign w:val="center"/>
                </w:tcPr>
                <w:p w14:paraId="37CC90DA">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1043" w:type="dxa"/>
                  <w:noWrap w:val="0"/>
                  <w:vAlign w:val="center"/>
                </w:tcPr>
                <w:p w14:paraId="3D8B5E5A">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Hans" w:bidi="ar-SA"/>
                    </w:rPr>
                    <w:t>氨</w:t>
                  </w:r>
                </w:p>
              </w:tc>
              <w:tc>
                <w:tcPr>
                  <w:tcW w:w="682" w:type="dxa"/>
                  <w:noWrap w:val="0"/>
                  <w:vAlign w:val="center"/>
                </w:tcPr>
                <w:p w14:paraId="62D2622B">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1.5</w:t>
                  </w:r>
                </w:p>
              </w:tc>
              <w:tc>
                <w:tcPr>
                  <w:tcW w:w="1198" w:type="dxa"/>
                  <w:noWrap w:val="0"/>
                  <w:vAlign w:val="center"/>
                </w:tcPr>
                <w:p w14:paraId="366DD3FC">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984" w:type="dxa"/>
                  <w:noWrap w:val="0"/>
                  <w:vAlign w:val="center"/>
                </w:tcPr>
                <w:p w14:paraId="73B92039">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2573" w:type="dxa"/>
                  <w:vMerge w:val="continue"/>
                  <w:noWrap w:val="0"/>
                  <w:vAlign w:val="center"/>
                </w:tcPr>
                <w:p w14:paraId="4E830D80">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r>
            <w:tr w14:paraId="01710D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7" w:type="dxa"/>
                  <w:vMerge w:val="continue"/>
                  <w:noWrap w:val="0"/>
                  <w:vAlign w:val="center"/>
                </w:tcPr>
                <w:p w14:paraId="2785ADF7">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457" w:type="dxa"/>
                  <w:vMerge w:val="continue"/>
                  <w:noWrap w:val="0"/>
                  <w:vAlign w:val="center"/>
                </w:tcPr>
                <w:p w14:paraId="6AAE8BC7">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c>
                <w:tcPr>
                  <w:tcW w:w="1043" w:type="dxa"/>
                  <w:noWrap w:val="0"/>
                  <w:vAlign w:val="center"/>
                </w:tcPr>
                <w:p w14:paraId="33A9B82A">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Hans" w:bidi="ar-SA"/>
                    </w:rPr>
                    <w:t>硫化氢</w:t>
                  </w:r>
                </w:p>
              </w:tc>
              <w:tc>
                <w:tcPr>
                  <w:tcW w:w="682" w:type="dxa"/>
                  <w:noWrap w:val="0"/>
                  <w:vAlign w:val="center"/>
                </w:tcPr>
                <w:p w14:paraId="7AC25919">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0.06</w:t>
                  </w:r>
                </w:p>
              </w:tc>
              <w:tc>
                <w:tcPr>
                  <w:tcW w:w="1198" w:type="dxa"/>
                  <w:noWrap w:val="0"/>
                  <w:vAlign w:val="center"/>
                </w:tcPr>
                <w:p w14:paraId="46836C22">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984" w:type="dxa"/>
                  <w:noWrap w:val="0"/>
                  <w:vAlign w:val="center"/>
                </w:tcPr>
                <w:p w14:paraId="213BED45">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w:t>
                  </w:r>
                </w:p>
              </w:tc>
              <w:tc>
                <w:tcPr>
                  <w:tcW w:w="2573" w:type="dxa"/>
                  <w:vMerge w:val="continue"/>
                  <w:noWrap w:val="0"/>
                  <w:vAlign w:val="center"/>
                </w:tcPr>
                <w:p w14:paraId="0736876B">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p>
              </w:tc>
            </w:tr>
          </w:tbl>
          <w:p w14:paraId="4D29F490">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leftChars="0" w:right="0" w:rightChars="0" w:firstLine="480" w:firstLineChars="200"/>
              <w:jc w:val="both"/>
              <w:textAlignment w:val="auto"/>
              <w:outlineLvl w:val="9"/>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噪声排放标准</w:t>
            </w:r>
          </w:p>
          <w:p w14:paraId="75A95365">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leftChars="0" w:right="0" w:rightChars="0" w:firstLine="480" w:firstLineChars="200"/>
              <w:jc w:val="both"/>
              <w:textAlignment w:val="auto"/>
              <w:outlineLvl w:val="9"/>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施工期执行</w:t>
            </w:r>
            <w:r>
              <w:rPr>
                <w:rFonts w:hint="default" w:ascii="Times New Roman" w:hAnsi="Times New Roman" w:eastAsia="宋体" w:cs="Times New Roman"/>
                <w:color w:val="auto"/>
              </w:rPr>
              <w:t>《建筑施工场界环境噪声排放标准》(GB12523-2011)</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昼间：70dB（A）、夜间：55dB（A）</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运营期执行《工业企业厂界环境噪声排放标准》（GB12348-2008）</w:t>
            </w: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rPr>
              <w:t>类的标准限值</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昼间：60dB（A）、夜间：50dB（A）</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w:t>
            </w:r>
          </w:p>
          <w:p w14:paraId="5097ED69">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leftChars="0" w:right="0" w:rightChars="0" w:firstLine="480" w:firstLineChars="200"/>
              <w:jc w:val="both"/>
              <w:textAlignment w:val="auto"/>
              <w:outlineLvl w:val="9"/>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（3）水污染物排放标准</w:t>
            </w:r>
          </w:p>
          <w:p w14:paraId="4206682F">
            <w:pPr>
              <w:keepNext w:val="0"/>
              <w:keepLines w:val="0"/>
              <w:pageBreakBefore w:val="0"/>
              <w:widowControl w:val="0"/>
              <w:kinsoku/>
              <w:wordWrap/>
              <w:overflowPunct w:val="0"/>
              <w:topLinePunct w:val="0"/>
              <w:autoSpaceDE w:val="0"/>
              <w:autoSpaceDN w:val="0"/>
              <w:bidi w:val="0"/>
              <w:adjustRightInd w:val="0"/>
              <w:snapToGrid w:val="0"/>
              <w:spacing w:before="0" w:after="0" w:line="360" w:lineRule="auto"/>
              <w:ind w:left="0" w:leftChars="0" w:right="0" w:rightChars="0" w:firstLine="480" w:firstLineChars="200"/>
              <w:jc w:val="both"/>
              <w:textAlignment w:val="auto"/>
              <w:outlineLvl w:val="9"/>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本项目生产过程中不产生生产废水，项目区不设置生活区，不产生生活污水。</w:t>
            </w:r>
          </w:p>
          <w:p w14:paraId="285D5836">
            <w:pPr>
              <w:overflowPunct w:val="0"/>
              <w:autoSpaceDE w:val="0"/>
              <w:autoSpaceDN w:val="0"/>
              <w:bidi w:val="0"/>
              <w:adjustRightInd w:val="0"/>
              <w:snapToGrid w:val="0"/>
              <w:spacing w:before="0" w:after="0" w:line="360" w:lineRule="auto"/>
              <w:ind w:left="0" w:right="0" w:firstLine="480" w:firstLineChars="200"/>
              <w:jc w:val="left"/>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（4）</w:t>
            </w:r>
            <w:r>
              <w:rPr>
                <w:rFonts w:hint="default" w:ascii="Times New Roman" w:hAnsi="Times New Roman" w:eastAsia="宋体" w:cs="Times New Roman"/>
                <w:color w:val="auto"/>
              </w:rPr>
              <w:t>固体废物</w:t>
            </w:r>
            <w:r>
              <w:rPr>
                <w:rFonts w:hint="default" w:ascii="Times New Roman" w:hAnsi="Times New Roman" w:eastAsia="宋体" w:cs="Times New Roman"/>
                <w:color w:val="auto"/>
                <w:lang w:eastAsia="zh-CN"/>
              </w:rPr>
              <w:t>排放执行标准</w:t>
            </w:r>
          </w:p>
          <w:p w14:paraId="4AABD455">
            <w:pPr>
              <w:overflowPunct w:val="0"/>
              <w:autoSpaceDE w:val="0"/>
              <w:autoSpaceDN w:val="0"/>
              <w:bidi w:val="0"/>
              <w:adjustRightInd w:val="0"/>
              <w:snapToGrid w:val="0"/>
              <w:spacing w:before="0" w:after="0" w:line="360" w:lineRule="auto"/>
              <w:ind w:left="0" w:leftChars="0" w:right="0" w:rightChars="0" w:firstLine="480" w:firstLineChars="200"/>
              <w:jc w:val="left"/>
              <w:rPr>
                <w:rFonts w:hint="default" w:ascii="Times New Roman" w:hAnsi="Times New Roman" w:eastAsia="宋体" w:cs="Times New Roman"/>
                <w:color w:val="auto"/>
                <w:vertAlign w:val="baseline"/>
              </w:rPr>
            </w:pPr>
            <w:r>
              <w:rPr>
                <w:rFonts w:hint="default" w:ascii="Times New Roman" w:hAnsi="Times New Roman" w:eastAsia="宋体" w:cs="Times New Roman"/>
                <w:color w:val="auto"/>
              </w:rPr>
              <w:t>一般固体废物执行</w:t>
            </w:r>
            <w:r>
              <w:rPr>
                <w:rFonts w:hint="default" w:ascii="Times New Roman" w:hAnsi="Times New Roman" w:eastAsia="宋体" w:cs="Times New Roman"/>
                <w:color w:val="auto"/>
                <w:lang w:eastAsia="zh-CN"/>
              </w:rPr>
              <w:t>《一般工业固体废物贮存和填埋场污染控制标准》（GB18599-2020）。</w:t>
            </w:r>
          </w:p>
        </w:tc>
      </w:tr>
      <w:tr w14:paraId="1DACD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722B8788">
            <w:pPr>
              <w:numPr>
                <w:ilvl w:val="0"/>
                <w:numId w:val="0"/>
              </w:numPr>
              <w:overflowPunct w:val="0"/>
              <w:autoSpaceDE w:val="0"/>
              <w:autoSpaceDN w:val="0"/>
              <w:adjustRightInd w:val="0"/>
              <w:snapToGrid w:val="0"/>
              <w:spacing w:before="0" w:after="0" w:line="500" w:lineRule="exact"/>
              <w:ind w:left="0" w:leftChars="0" w:right="0" w:rightChars="0" w:firstLine="0" w:firstLineChars="0"/>
              <w:jc w:val="center"/>
              <w:rPr>
                <w:rFonts w:hint="default" w:ascii="Times New Roman" w:hAnsi="Times New Roman" w:eastAsia="宋体" w:cs="Times New Roman"/>
                <w:color w:val="auto"/>
                <w:vertAlign w:val="baseline"/>
              </w:rPr>
            </w:pPr>
            <w:r>
              <w:rPr>
                <w:rFonts w:hint="default" w:ascii="Times New Roman" w:hAnsi="Times New Roman" w:eastAsia="宋体" w:cs="Times New Roman"/>
                <w:color w:val="auto"/>
              </w:rPr>
              <w:t>总量控制标准</w:t>
            </w:r>
          </w:p>
        </w:tc>
        <w:tc>
          <w:tcPr>
            <w:tcW w:w="8645" w:type="dxa"/>
            <w:vAlign w:val="top"/>
          </w:tcPr>
          <w:p w14:paraId="6F9855C6">
            <w:pPr>
              <w:widowControl w:val="0"/>
              <w:overflowPunct w:val="0"/>
              <w:autoSpaceDE w:val="0"/>
              <w:autoSpaceDN w:val="0"/>
              <w:bidi w:val="0"/>
              <w:adjustRightInd w:val="0"/>
              <w:snapToGrid w:val="0"/>
              <w:spacing w:before="0" w:after="0" w:line="560" w:lineRule="exact"/>
              <w:ind w:right="0"/>
              <w:jc w:val="left"/>
              <w:outlineLvl w:val="1"/>
              <w:rPr>
                <w:rFonts w:hint="default" w:ascii="Times New Roman" w:hAnsi="Times New Roman" w:eastAsia="宋体" w:cs="Times New Roman"/>
                <w:b/>
                <w:color w:val="0000FF"/>
                <w:sz w:val="28"/>
                <w:szCs w:val="30"/>
                <w:lang w:val="en-US" w:eastAsia="zh-CN" w:bidi="ar-SA"/>
              </w:rPr>
            </w:pPr>
            <w:r>
              <w:rPr>
                <w:rFonts w:hint="default" w:ascii="Times New Roman" w:hAnsi="Times New Roman" w:eastAsia="宋体" w:cs="Times New Roman"/>
                <w:b/>
                <w:color w:val="0000FF"/>
                <w:sz w:val="28"/>
                <w:szCs w:val="30"/>
                <w:lang w:val="en-US" w:eastAsia="zh-CN" w:bidi="ar-SA"/>
              </w:rPr>
              <w:t>9、总量控制标准</w:t>
            </w:r>
          </w:p>
          <w:p w14:paraId="5F021D4A">
            <w:pPr>
              <w:keepNext w:val="0"/>
              <w:keepLines w:val="0"/>
              <w:suppressLineNumbers w:val="0"/>
              <w:overflowPunct w:val="0"/>
              <w:autoSpaceDE w:val="0"/>
              <w:autoSpaceDN w:val="0"/>
              <w:adjustRightInd w:val="0"/>
              <w:snapToGrid w:val="0"/>
              <w:spacing w:before="0" w:beforeAutospacing="0" w:after="0" w:afterAutospacing="0" w:line="500" w:lineRule="exact"/>
              <w:ind w:left="0" w:right="0" w:firstLine="480" w:firstLineChars="200"/>
              <w:jc w:val="left"/>
              <w:rPr>
                <w:rFonts w:hint="default" w:cs="Times New Roman"/>
                <w:color w:val="0000FF"/>
                <w:highlight w:val="none"/>
              </w:rPr>
            </w:pPr>
            <w:r>
              <w:rPr>
                <w:rFonts w:hint="default" w:cs="Times New Roman"/>
                <w:color w:val="0000FF"/>
                <w:highlight w:val="none"/>
              </w:rPr>
              <w:t>根据新疆</w:t>
            </w:r>
            <w:r>
              <w:rPr>
                <w:rFonts w:hint="eastAsia" w:cs="Times New Roman"/>
                <w:color w:val="0000FF"/>
                <w:highlight w:val="none"/>
                <w:lang w:val="en-US" w:eastAsia="zh-CN"/>
              </w:rPr>
              <w:t>生态环境</w:t>
            </w:r>
            <w:r>
              <w:rPr>
                <w:rFonts w:hint="default" w:cs="Times New Roman"/>
                <w:color w:val="0000FF"/>
                <w:highlight w:val="none"/>
              </w:rPr>
              <w:t>厅下发的《主要污染物排放总量控制</w:t>
            </w:r>
            <w:r>
              <w:rPr>
                <w:rFonts w:hint="eastAsia" w:cs="Times New Roman"/>
                <w:color w:val="0000FF"/>
                <w:highlight w:val="none"/>
              </w:rPr>
              <w:t>“</w:t>
            </w:r>
            <w:r>
              <w:rPr>
                <w:rFonts w:hint="default" w:cs="Times New Roman"/>
                <w:color w:val="0000FF"/>
                <w:highlight w:val="none"/>
              </w:rPr>
              <w:t>十</w:t>
            </w:r>
            <w:r>
              <w:rPr>
                <w:rFonts w:hint="eastAsia" w:cs="Times New Roman"/>
                <w:color w:val="0000FF"/>
                <w:highlight w:val="none"/>
                <w:lang w:val="en-US" w:eastAsia="zh-CN"/>
              </w:rPr>
              <w:t>四</w:t>
            </w:r>
            <w:r>
              <w:rPr>
                <w:rFonts w:hint="default" w:cs="Times New Roman"/>
                <w:color w:val="0000FF"/>
                <w:highlight w:val="none"/>
              </w:rPr>
              <w:t>五</w:t>
            </w:r>
            <w:r>
              <w:rPr>
                <w:rFonts w:hint="eastAsia" w:cs="Times New Roman"/>
                <w:color w:val="0000FF"/>
                <w:highlight w:val="none"/>
              </w:rPr>
              <w:t>”</w:t>
            </w:r>
            <w:r>
              <w:rPr>
                <w:rFonts w:hint="default" w:cs="Times New Roman"/>
                <w:color w:val="0000FF"/>
                <w:highlight w:val="none"/>
              </w:rPr>
              <w:t>规划编制工作方案》和相关规定，明确规定了要对</w:t>
            </w:r>
            <w:r>
              <w:rPr>
                <w:rFonts w:hint="eastAsia" w:cs="Times New Roman"/>
                <w:color w:val="0000FF"/>
                <w:highlight w:val="none"/>
                <w:lang w:val="en-US" w:eastAsia="zh-CN"/>
              </w:rPr>
              <w:t>4</w:t>
            </w:r>
            <w:r>
              <w:rPr>
                <w:rFonts w:hint="default" w:cs="Times New Roman"/>
                <w:color w:val="0000FF"/>
                <w:highlight w:val="none"/>
              </w:rPr>
              <w:t>种污染物实施总量控制，即COD、氨氮、氮氧化物和VOCs。</w:t>
            </w:r>
          </w:p>
          <w:p w14:paraId="3984490D">
            <w:pPr>
              <w:overflowPunct w:val="0"/>
              <w:autoSpaceDE w:val="0"/>
              <w:autoSpaceDN w:val="0"/>
              <w:adjustRightInd w:val="0"/>
              <w:snapToGrid w:val="0"/>
              <w:spacing w:before="0" w:after="0" w:line="500" w:lineRule="exact"/>
              <w:ind w:left="0" w:right="0" w:firstLine="480" w:firstLineChars="200"/>
              <w:jc w:val="left"/>
              <w:rPr>
                <w:rFonts w:hint="default" w:ascii="Times New Roman" w:hAnsi="Times New Roman" w:eastAsia="宋体" w:cs="Times New Roman"/>
                <w:snapToGrid w:val="0"/>
                <w:color w:val="auto"/>
                <w:sz w:val="24"/>
                <w:szCs w:val="21"/>
                <w:vertAlign w:val="baseline"/>
                <w:lang w:val="en-US" w:eastAsia="zh-CN" w:bidi="ar-SA"/>
              </w:rPr>
            </w:pPr>
            <w:r>
              <w:rPr>
                <w:rFonts w:hint="default" w:ascii="Times New Roman" w:hAnsi="Times New Roman" w:eastAsia="宋体" w:cs="Times New Roman"/>
                <w:b w:val="0"/>
                <w:bCs w:val="0"/>
                <w:color w:val="0000FF"/>
                <w:kern w:val="2"/>
                <w:sz w:val="24"/>
                <w:szCs w:val="24"/>
                <w:highlight w:val="none"/>
                <w:lang w:val="en-US" w:eastAsia="zh-CN" w:bidi="ar-SA"/>
              </w:rPr>
              <w:t>本项目</w:t>
            </w:r>
            <w:r>
              <w:rPr>
                <w:rFonts w:hint="eastAsia" w:cs="Times New Roman"/>
                <w:b w:val="0"/>
                <w:bCs w:val="0"/>
                <w:color w:val="0000FF"/>
                <w:kern w:val="2"/>
                <w:sz w:val="24"/>
                <w:szCs w:val="24"/>
                <w:highlight w:val="none"/>
                <w:lang w:val="en-US" w:eastAsia="zh-CN" w:bidi="ar-SA"/>
              </w:rPr>
              <w:t>无生产废水产生，场内不设置生活区，无生活污水产生</w:t>
            </w:r>
            <w:r>
              <w:rPr>
                <w:rFonts w:hint="default" w:ascii="Times New Roman" w:hAnsi="Times New Roman" w:eastAsia="宋体" w:cs="Times New Roman"/>
                <w:color w:val="0000FF"/>
                <w:kern w:val="2"/>
                <w:sz w:val="24"/>
                <w:szCs w:val="24"/>
                <w:highlight w:val="none"/>
                <w:lang w:val="en-US" w:eastAsia="zh-CN" w:bidi="ar-SA"/>
              </w:rPr>
              <w:t>。</w:t>
            </w:r>
            <w:r>
              <w:rPr>
                <w:rFonts w:hint="eastAsia" w:cs="Times New Roman"/>
                <w:color w:val="0000FF"/>
                <w:highlight w:val="none"/>
                <w:lang w:val="en-US" w:eastAsia="zh-CN"/>
              </w:rPr>
              <w:t>本项目可不申请水污染物总量指标</w:t>
            </w:r>
            <w:r>
              <w:rPr>
                <w:rFonts w:hint="eastAsia" w:ascii="Times New Roman" w:hAnsi="Times New Roman" w:eastAsia="宋体" w:cs="Times New Roman"/>
                <w:color w:val="0000FF"/>
                <w:kern w:val="2"/>
                <w:sz w:val="24"/>
                <w:szCs w:val="24"/>
                <w:highlight w:val="none"/>
                <w:lang w:val="en-US" w:eastAsia="zh-CN" w:bidi="ar-SA"/>
              </w:rPr>
              <w:t>。</w:t>
            </w:r>
            <w:r>
              <w:rPr>
                <w:rFonts w:hint="eastAsia" w:cs="Times New Roman"/>
                <w:color w:val="0000FF"/>
                <w:kern w:val="2"/>
                <w:sz w:val="24"/>
                <w:szCs w:val="24"/>
                <w:highlight w:val="none"/>
                <w:lang w:val="en-US" w:eastAsia="zh-CN" w:bidi="ar-SA"/>
              </w:rPr>
              <w:t>因此，根据《新疆生态环境保护“十四五”规划》，</w:t>
            </w:r>
            <w:r>
              <w:rPr>
                <w:rFonts w:hint="default" w:ascii="Times New Roman" w:hAnsi="Times New Roman" w:eastAsia="宋体" w:cs="Times New Roman"/>
                <w:color w:val="0000FF"/>
                <w:sz w:val="24"/>
                <w:szCs w:val="24"/>
                <w:highlight w:val="none"/>
                <w:lang w:val="en-US" w:eastAsia="zh-CN"/>
              </w:rPr>
              <w:t>重新报批后</w:t>
            </w:r>
            <w:r>
              <w:rPr>
                <w:rFonts w:hint="default" w:ascii="Times New Roman" w:hAnsi="Times New Roman" w:eastAsia="宋体" w:cs="Times New Roman"/>
                <w:color w:val="0000FF"/>
                <w:kern w:val="2"/>
                <w:sz w:val="24"/>
                <w:szCs w:val="24"/>
                <w:highlight w:val="none"/>
                <w:lang w:val="en-US" w:eastAsia="zh-CN" w:bidi="ar-SA"/>
              </w:rPr>
              <w:t>本项目大气污染物总量申请颗粒物：</w:t>
            </w:r>
            <w:r>
              <w:rPr>
                <w:rFonts w:hint="eastAsia" w:ascii="Times New Roman" w:hAnsi="Times New Roman" w:eastAsia="宋体" w:cs="Times New Roman"/>
                <w:i w:val="0"/>
                <w:iCs w:val="0"/>
                <w:color w:val="0000FF"/>
                <w:kern w:val="0"/>
                <w:sz w:val="24"/>
                <w:szCs w:val="24"/>
                <w:highlight w:val="none"/>
                <w:u w:val="none"/>
                <w:lang w:val="en-US" w:eastAsia="zh-CN" w:bidi="ar"/>
              </w:rPr>
              <w:t>0.1332</w:t>
            </w:r>
            <w:r>
              <w:rPr>
                <w:rFonts w:hint="default" w:ascii="Times New Roman" w:hAnsi="Times New Roman" w:eastAsia="宋体" w:cs="Times New Roman"/>
                <w:color w:val="0000FF"/>
                <w:kern w:val="2"/>
                <w:sz w:val="24"/>
                <w:szCs w:val="24"/>
                <w:highlight w:val="none"/>
                <w:lang w:val="en-US" w:eastAsia="zh-CN" w:bidi="ar-SA"/>
              </w:rPr>
              <w:t>t/a</w:t>
            </w:r>
            <w:r>
              <w:rPr>
                <w:rFonts w:hint="default" w:ascii="Times New Roman" w:hAnsi="Times New Roman" w:eastAsia="宋体" w:cs="Times New Roman"/>
                <w:color w:val="0000FF"/>
                <w:kern w:val="2"/>
                <w:sz w:val="24"/>
                <w:szCs w:val="24"/>
                <w:highlight w:val="none"/>
                <w:vertAlign w:val="baseline"/>
                <w:lang w:val="en-US" w:eastAsia="zh-CN" w:bidi="ar-SA"/>
              </w:rPr>
              <w:t>，由当地环保部门调控进行倍量替代，替代总量</w:t>
            </w:r>
            <w:r>
              <w:rPr>
                <w:rFonts w:hint="default" w:ascii="Times New Roman" w:hAnsi="Times New Roman" w:eastAsia="宋体" w:cs="Times New Roman"/>
                <w:color w:val="0000FF"/>
                <w:kern w:val="2"/>
                <w:sz w:val="24"/>
                <w:szCs w:val="24"/>
                <w:highlight w:val="none"/>
                <w:lang w:val="en-US" w:eastAsia="zh-CN" w:bidi="ar-SA"/>
              </w:rPr>
              <w:t>颗粒物：</w:t>
            </w:r>
            <w:r>
              <w:rPr>
                <w:rFonts w:hint="eastAsia" w:cs="Times New Roman"/>
                <w:color w:val="0000FF"/>
                <w:kern w:val="2"/>
                <w:sz w:val="24"/>
                <w:szCs w:val="24"/>
                <w:highlight w:val="none"/>
                <w:vertAlign w:val="baseline"/>
                <w:lang w:val="en-US" w:eastAsia="zh-CN" w:bidi="ar-SA"/>
              </w:rPr>
              <w:t>0.2664</w:t>
            </w:r>
            <w:r>
              <w:rPr>
                <w:rFonts w:hint="default" w:ascii="Times New Roman" w:hAnsi="Times New Roman" w:eastAsia="宋体" w:cs="Times New Roman"/>
                <w:color w:val="0000FF"/>
                <w:kern w:val="2"/>
                <w:sz w:val="24"/>
                <w:szCs w:val="24"/>
                <w:highlight w:val="none"/>
                <w:vertAlign w:val="baseline"/>
                <w:lang w:val="en-US" w:eastAsia="zh-CN" w:bidi="ar-SA"/>
              </w:rPr>
              <w:t>t/a</w:t>
            </w:r>
            <w:r>
              <w:rPr>
                <w:rFonts w:hint="eastAsia" w:cs="Times New Roman"/>
                <w:color w:val="0000FF"/>
                <w:kern w:val="2"/>
                <w:sz w:val="24"/>
                <w:szCs w:val="24"/>
                <w:highlight w:val="none"/>
                <w:vertAlign w:val="baseline"/>
                <w:lang w:val="en-US" w:eastAsia="zh-CN" w:bidi="ar-SA"/>
              </w:rPr>
              <w:t>。</w:t>
            </w:r>
          </w:p>
        </w:tc>
      </w:tr>
    </w:tbl>
    <w:p w14:paraId="662DA2F0">
      <w:pPr>
        <w:widowControl w:val="0"/>
        <w:numPr>
          <w:ilvl w:val="0"/>
          <w:numId w:val="3"/>
        </w:numPr>
        <w:overflowPunct w:val="0"/>
        <w:autoSpaceDE w:val="0"/>
        <w:autoSpaceDN w:val="0"/>
        <w:bidi w:val="0"/>
        <w:adjustRightInd w:val="0"/>
        <w:snapToGrid w:val="0"/>
        <w:spacing w:before="0" w:after="0" w:line="560" w:lineRule="exact"/>
        <w:ind w:left="0" w:right="0" w:firstLine="0" w:firstLineChars="0"/>
        <w:jc w:val="center"/>
        <w:outlineLvl w:val="0"/>
        <w:rPr>
          <w:rFonts w:hint="default" w:ascii="Times New Roman" w:hAnsi="Times New Roman" w:eastAsia="宋体" w:cs="Times New Roman"/>
          <w:b/>
          <w:color w:val="auto"/>
          <w:kern w:val="44"/>
          <w:sz w:val="28"/>
          <w:szCs w:val="22"/>
          <w:lang w:val="en-US" w:eastAsia="zh-CN" w:bidi="ar-SA"/>
        </w:rPr>
        <w:sectPr>
          <w:headerReference r:id="rId11" w:type="default"/>
          <w:footerReference r:id="rId12"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1A29C97">
      <w:pPr>
        <w:widowControl w:val="0"/>
        <w:numPr>
          <w:ilvl w:val="0"/>
          <w:numId w:val="3"/>
        </w:numPr>
        <w:overflowPunct w:val="0"/>
        <w:autoSpaceDE w:val="0"/>
        <w:autoSpaceDN w:val="0"/>
        <w:bidi w:val="0"/>
        <w:adjustRightInd w:val="0"/>
        <w:snapToGrid w:val="0"/>
        <w:spacing w:before="0" w:after="0" w:line="560" w:lineRule="exact"/>
        <w:ind w:left="0" w:right="0" w:firstLine="0" w:firstLineChars="0"/>
        <w:jc w:val="center"/>
        <w:outlineLvl w:val="0"/>
        <w:rPr>
          <w:rFonts w:hint="default" w:ascii="Times New Roman" w:hAnsi="Times New Roman" w:eastAsia="宋体" w:cs="Times New Roman"/>
          <w:b/>
          <w:color w:val="auto"/>
          <w:kern w:val="44"/>
          <w:sz w:val="28"/>
          <w:szCs w:val="22"/>
          <w:lang w:val="en-US" w:eastAsia="zh-CN" w:bidi="ar-SA"/>
        </w:rPr>
      </w:pPr>
      <w:bookmarkStart w:id="71" w:name="_Toc23383"/>
      <w:bookmarkStart w:id="72" w:name="_Toc23430"/>
      <w:bookmarkStart w:id="73" w:name="_Toc16786"/>
      <w:bookmarkStart w:id="74" w:name="_Toc19166"/>
      <w:bookmarkStart w:id="75" w:name="_Toc5806"/>
      <w:r>
        <w:rPr>
          <w:rFonts w:hint="default" w:ascii="Times New Roman" w:hAnsi="Times New Roman" w:eastAsia="宋体" w:cs="Times New Roman"/>
          <w:b/>
          <w:color w:val="auto"/>
          <w:kern w:val="44"/>
          <w:sz w:val="28"/>
          <w:szCs w:val="22"/>
          <w:lang w:val="en-US" w:eastAsia="zh-CN" w:bidi="ar-SA"/>
        </w:rPr>
        <w:t>主要环境影响和保护措施</w:t>
      </w:r>
      <w:bookmarkEnd w:id="71"/>
      <w:bookmarkEnd w:id="72"/>
      <w:bookmarkEnd w:id="73"/>
      <w:bookmarkEnd w:id="74"/>
      <w:bookmarkEnd w:id="75"/>
    </w:p>
    <w:tbl>
      <w:tblPr>
        <w:tblStyle w:val="22"/>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26"/>
        <w:gridCol w:w="8645"/>
      </w:tblGrid>
      <w:tr w14:paraId="46E380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426" w:type="dxa"/>
            <w:noWrap w:val="0"/>
            <w:tcMar>
              <w:left w:w="28" w:type="dxa"/>
              <w:right w:w="28" w:type="dxa"/>
            </w:tcMar>
            <w:vAlign w:val="center"/>
          </w:tcPr>
          <w:p w14:paraId="1E1E2D41">
            <w:pPr>
              <w:widowControl/>
              <w:overflowPunct w:val="0"/>
              <w:autoSpaceDE w:val="0"/>
              <w:autoSpaceDN w:val="0"/>
              <w:adjustRightInd w:val="0"/>
              <w:snapToGrid w:val="0"/>
              <w:spacing w:before="0" w:beforeAutospacing="0" w:after="0" w:afterAutospacing="0" w:line="360" w:lineRule="auto"/>
              <w:ind w:left="0" w:right="0" w:firstLine="480" w:firstLineChars="20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施施工期环保措施</w:t>
            </w:r>
          </w:p>
          <w:p w14:paraId="07FAC329">
            <w:pPr>
              <w:widowControl/>
              <w:overflowPunct w:val="0"/>
              <w:autoSpaceDE w:val="0"/>
              <w:autoSpaceDN w:val="0"/>
              <w:adjustRightInd w:val="0"/>
              <w:snapToGrid w:val="0"/>
              <w:spacing w:before="0" w:beforeAutospacing="0" w:after="0" w:afterAutospacing="0" w:line="360" w:lineRule="auto"/>
              <w:ind w:left="0" w:right="0" w:firstLine="480" w:firstLineChars="20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施</w:t>
            </w:r>
          </w:p>
        </w:tc>
        <w:tc>
          <w:tcPr>
            <w:tcW w:w="8645" w:type="dxa"/>
            <w:noWrap w:val="0"/>
            <w:vAlign w:val="center"/>
          </w:tcPr>
          <w:p w14:paraId="3E87BF48">
            <w:pPr>
              <w:pageBreakBefore w:val="0"/>
              <w:widowControl w:val="0"/>
              <w:kinsoku/>
              <w:wordWrap/>
              <w:overflowPunct/>
              <w:topLinePunct w:val="0"/>
              <w:autoSpaceDE/>
              <w:autoSpaceDN/>
              <w:bidi w:val="0"/>
              <w:adjustRightInd w:val="0"/>
              <w:snapToGrid w:val="0"/>
              <w:spacing w:before="0" w:after="0" w:line="360" w:lineRule="auto"/>
              <w:ind w:left="0" w:right="0" w:firstLine="480" w:firstLineChars="20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本项目基本完成建设，只剩余需进行少量装饰工程、设备安装、环保措施的建设等内容。经与建设单位核实，回顾施工期采取环保措施如下：</w:t>
            </w:r>
          </w:p>
          <w:p w14:paraId="6C8EDE44">
            <w:pPr>
              <w:widowControl w:val="0"/>
              <w:overflowPunct w:val="0"/>
              <w:autoSpaceDE w:val="0"/>
              <w:autoSpaceDN w:val="0"/>
              <w:bidi w:val="0"/>
              <w:adjustRightInd w:val="0"/>
              <w:snapToGrid w:val="0"/>
              <w:spacing w:before="0" w:after="0" w:line="360" w:lineRule="auto"/>
              <w:ind w:right="0"/>
              <w:jc w:val="left"/>
              <w:outlineLvl w:val="1"/>
              <w:rPr>
                <w:rFonts w:hint="default" w:ascii="Times New Roman" w:hAnsi="Times New Roman" w:eastAsia="宋体" w:cs="Times New Roman"/>
                <w:b/>
                <w:color w:val="auto"/>
                <w:sz w:val="28"/>
                <w:szCs w:val="30"/>
                <w:lang w:val="en-US" w:eastAsia="zh-CN" w:bidi="ar-SA"/>
              </w:rPr>
            </w:pPr>
            <w:bookmarkStart w:id="76" w:name="_Toc384391623"/>
            <w:bookmarkStart w:id="77" w:name="_Toc231294631"/>
            <w:bookmarkStart w:id="78" w:name="_Toc231294733"/>
            <w:bookmarkStart w:id="79" w:name="_Toc385251976"/>
            <w:bookmarkStart w:id="80" w:name="_Toc384740754"/>
            <w:bookmarkStart w:id="81" w:name="_Toc271467869"/>
            <w:r>
              <w:rPr>
                <w:rFonts w:hint="default" w:ascii="Times New Roman" w:hAnsi="Times New Roman" w:eastAsia="宋体" w:cs="Times New Roman"/>
                <w:b/>
                <w:color w:val="auto"/>
                <w:sz w:val="28"/>
                <w:szCs w:val="30"/>
                <w:lang w:val="en-US" w:eastAsia="zh-CN" w:bidi="ar-SA"/>
              </w:rPr>
              <w:t>1、施工期大气环境</w:t>
            </w:r>
            <w:bookmarkEnd w:id="76"/>
            <w:bookmarkEnd w:id="77"/>
            <w:bookmarkEnd w:id="78"/>
            <w:bookmarkEnd w:id="79"/>
            <w:bookmarkEnd w:id="80"/>
            <w:bookmarkEnd w:id="81"/>
            <w:r>
              <w:rPr>
                <w:rFonts w:hint="default" w:ascii="Times New Roman" w:hAnsi="Times New Roman" w:eastAsia="宋体" w:cs="Times New Roman"/>
                <w:b/>
                <w:color w:val="auto"/>
                <w:sz w:val="28"/>
                <w:szCs w:val="30"/>
                <w:lang w:val="en-US" w:eastAsia="zh-CN" w:bidi="ar-SA"/>
              </w:rPr>
              <w:t>保护措施</w:t>
            </w:r>
          </w:p>
          <w:p w14:paraId="47E07CEB">
            <w:pPr>
              <w:pageBreakBefore w:val="0"/>
              <w:widowControl w:val="0"/>
              <w:kinsoku/>
              <w:wordWrap/>
              <w:overflowPunct/>
              <w:topLinePunct w:val="0"/>
              <w:autoSpaceDE/>
              <w:autoSpaceDN/>
              <w:bidi w:val="0"/>
              <w:adjustRightInd w:val="0"/>
              <w:snapToGrid w:val="0"/>
              <w:spacing w:before="0" w:after="0" w:line="360" w:lineRule="auto"/>
              <w:ind w:left="0" w:right="0"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施工期间对环境空气影响最主要的是粉尘和施工机械、运输车辆的尾气排放。施工过程中清除杂物等过程会产生粉尘污染，车辆运输会引起二次扬尘。</w:t>
            </w:r>
          </w:p>
          <w:p w14:paraId="74BBFB55">
            <w:pPr>
              <w:pageBreakBefore w:val="0"/>
              <w:widowControl w:val="0"/>
              <w:kinsoku/>
              <w:wordWrap/>
              <w:overflowPunct/>
              <w:topLinePunct w:val="0"/>
              <w:autoSpaceDE/>
              <w:autoSpaceDN/>
              <w:bidi w:val="0"/>
              <w:adjustRightInd w:val="0"/>
              <w:snapToGrid w:val="0"/>
              <w:spacing w:before="0" w:after="0" w:line="360" w:lineRule="auto"/>
              <w:ind w:left="0" w:right="0"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1）运输车辆采用篷布遮盖。</w:t>
            </w:r>
          </w:p>
          <w:p w14:paraId="3BD4086D">
            <w:pPr>
              <w:pageBreakBefore w:val="0"/>
              <w:widowControl w:val="0"/>
              <w:kinsoku/>
              <w:wordWrap/>
              <w:overflowPunct/>
              <w:topLinePunct w:val="0"/>
              <w:autoSpaceDE/>
              <w:autoSpaceDN/>
              <w:bidi w:val="0"/>
              <w:adjustRightInd w:val="0"/>
              <w:snapToGrid w:val="0"/>
              <w:spacing w:before="0" w:after="0" w:line="360" w:lineRule="auto"/>
              <w:ind w:left="0" w:right="0"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2）洒水降尘。施工期间每日对施工场地洒水抑尘。</w:t>
            </w:r>
          </w:p>
          <w:p w14:paraId="09A3DE3B">
            <w:pPr>
              <w:widowControl w:val="0"/>
              <w:overflowPunct w:val="0"/>
              <w:autoSpaceDE w:val="0"/>
              <w:autoSpaceDN w:val="0"/>
              <w:bidi w:val="0"/>
              <w:adjustRightInd w:val="0"/>
              <w:snapToGrid w:val="0"/>
              <w:spacing w:before="0" w:after="0" w:line="360" w:lineRule="auto"/>
              <w:ind w:right="0"/>
              <w:jc w:val="left"/>
              <w:outlineLvl w:val="1"/>
              <w:rPr>
                <w:rFonts w:hint="default" w:ascii="Times New Roman" w:hAnsi="Times New Roman" w:eastAsia="宋体" w:cs="Times New Roman"/>
                <w:b/>
                <w:color w:val="auto"/>
                <w:sz w:val="28"/>
                <w:szCs w:val="30"/>
                <w:lang w:val="en-US" w:eastAsia="zh-CN" w:bidi="ar-SA"/>
              </w:rPr>
            </w:pPr>
            <w:r>
              <w:rPr>
                <w:rFonts w:hint="default" w:ascii="Times New Roman" w:hAnsi="Times New Roman" w:eastAsia="宋体" w:cs="Times New Roman"/>
                <w:b/>
                <w:color w:val="auto"/>
                <w:sz w:val="28"/>
                <w:szCs w:val="30"/>
                <w:lang w:val="en-US" w:eastAsia="zh-CN" w:bidi="ar-SA"/>
              </w:rPr>
              <w:t>2、施工期水环境保护措施</w:t>
            </w:r>
          </w:p>
          <w:p w14:paraId="644C8ED6">
            <w:pPr>
              <w:pageBreakBefore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auto"/>
                <w:kern w:val="2"/>
                <w:sz w:val="21"/>
                <w:szCs w:val="20"/>
                <w:highlight w:val="none"/>
              </w:rPr>
            </w:pPr>
            <w:r>
              <w:rPr>
                <w:rFonts w:hint="default" w:ascii="Times New Roman" w:hAnsi="Times New Roman" w:eastAsia="宋体" w:cs="Times New Roman"/>
                <w:color w:val="auto"/>
                <w:kern w:val="2"/>
                <w:sz w:val="24"/>
                <w:szCs w:val="24"/>
                <w:highlight w:val="none"/>
              </w:rPr>
              <w:t>施工期间</w:t>
            </w:r>
            <w:r>
              <w:rPr>
                <w:rFonts w:hint="default" w:ascii="Times New Roman" w:hAnsi="Times New Roman" w:eastAsia="宋体" w:cs="Times New Roman"/>
                <w:color w:val="auto"/>
                <w:kern w:val="2"/>
                <w:sz w:val="24"/>
                <w:szCs w:val="24"/>
                <w:highlight w:val="none"/>
                <w:lang w:val="en-US" w:eastAsia="zh-CN"/>
              </w:rPr>
              <w:t>在项目区设置临时生活区</w:t>
            </w:r>
            <w:r>
              <w:rPr>
                <w:rFonts w:hint="default" w:ascii="Times New Roman" w:hAnsi="Times New Roman" w:eastAsia="宋体" w:cs="Times New Roman"/>
                <w:color w:val="auto"/>
                <w:kern w:val="2"/>
                <w:sz w:val="24"/>
                <w:szCs w:val="24"/>
                <w:highlight w:val="none"/>
              </w:rPr>
              <w:t>，施工期生活污水主要污染物为COD、BOD、SS、氨氮</w:t>
            </w:r>
            <w:r>
              <w:rPr>
                <w:rFonts w:hint="default" w:ascii="Times New Roman" w:hAnsi="Times New Roman" w:eastAsia="宋体" w:cs="Times New Roman"/>
                <w:color w:val="auto"/>
                <w:kern w:val="2"/>
                <w:sz w:val="24"/>
                <w:szCs w:val="24"/>
                <w:highlight w:val="none"/>
                <w:lang w:eastAsia="zh-CN"/>
              </w:rPr>
              <w:t>、</w:t>
            </w:r>
            <w:r>
              <w:rPr>
                <w:rFonts w:hint="default" w:ascii="Times New Roman" w:hAnsi="Times New Roman" w:eastAsia="宋体" w:cs="Times New Roman"/>
                <w:color w:val="auto"/>
                <w:kern w:val="2"/>
                <w:sz w:val="24"/>
                <w:szCs w:val="24"/>
                <w:highlight w:val="none"/>
                <w:lang w:val="en-US" w:eastAsia="zh-CN"/>
              </w:rPr>
              <w:t>动植物油</w:t>
            </w:r>
            <w:r>
              <w:rPr>
                <w:rFonts w:hint="default" w:ascii="Times New Roman" w:hAnsi="Times New Roman" w:eastAsia="宋体" w:cs="Times New Roman"/>
                <w:color w:val="auto"/>
                <w:kern w:val="2"/>
                <w:sz w:val="24"/>
                <w:szCs w:val="24"/>
                <w:highlight w:val="none"/>
              </w:rPr>
              <w:t>，施工期生活污水</w:t>
            </w:r>
            <w:r>
              <w:rPr>
                <w:rFonts w:hint="default" w:ascii="Times New Roman" w:hAnsi="Times New Roman" w:eastAsia="宋体" w:cs="Times New Roman"/>
                <w:color w:val="auto"/>
                <w:lang w:val="en-US" w:eastAsia="zh-CN"/>
              </w:rPr>
              <w:t>排入</w:t>
            </w:r>
            <w:r>
              <w:rPr>
                <w:rFonts w:hint="default" w:ascii="Times New Roman" w:hAnsi="Times New Roman" w:eastAsia="宋体" w:cs="Times New Roman"/>
                <w:color w:val="auto"/>
                <w:vertAlign w:val="baseline"/>
                <w:lang w:val="en-US" w:eastAsia="zh-CN"/>
              </w:rPr>
              <w:t>临时移动式环保厕所</w:t>
            </w:r>
            <w:r>
              <w:rPr>
                <w:rFonts w:hint="default" w:ascii="Times New Roman" w:hAnsi="Times New Roman" w:eastAsia="宋体" w:cs="Times New Roman"/>
                <w:color w:val="auto"/>
                <w:lang w:val="en-US" w:eastAsia="zh-CN"/>
              </w:rPr>
              <w:t>，施工期结束后拉运至污水处理厂处理</w:t>
            </w:r>
            <w:r>
              <w:rPr>
                <w:rFonts w:hint="default" w:ascii="Times New Roman" w:hAnsi="Times New Roman" w:eastAsia="宋体" w:cs="Times New Roman"/>
                <w:color w:val="auto"/>
                <w:kern w:val="2"/>
                <w:sz w:val="24"/>
                <w:szCs w:val="24"/>
                <w:highlight w:val="none"/>
              </w:rPr>
              <w:t>。</w:t>
            </w:r>
          </w:p>
          <w:p w14:paraId="51029049">
            <w:pPr>
              <w:widowControl w:val="0"/>
              <w:overflowPunct w:val="0"/>
              <w:autoSpaceDE w:val="0"/>
              <w:autoSpaceDN w:val="0"/>
              <w:bidi w:val="0"/>
              <w:adjustRightInd w:val="0"/>
              <w:snapToGrid w:val="0"/>
              <w:spacing w:before="0" w:after="0" w:line="360" w:lineRule="auto"/>
              <w:ind w:right="0"/>
              <w:jc w:val="left"/>
              <w:outlineLvl w:val="1"/>
              <w:rPr>
                <w:rFonts w:hint="default" w:ascii="Times New Roman" w:hAnsi="Times New Roman" w:eastAsia="宋体" w:cs="Times New Roman"/>
                <w:b/>
                <w:color w:val="auto"/>
                <w:sz w:val="28"/>
                <w:szCs w:val="30"/>
                <w:lang w:val="en-US" w:eastAsia="zh-CN" w:bidi="ar-SA"/>
              </w:rPr>
            </w:pPr>
            <w:r>
              <w:rPr>
                <w:rFonts w:hint="default" w:ascii="Times New Roman" w:hAnsi="Times New Roman" w:eastAsia="宋体" w:cs="Times New Roman"/>
                <w:b/>
                <w:color w:val="auto"/>
                <w:sz w:val="28"/>
                <w:szCs w:val="30"/>
                <w:lang w:val="en-US" w:eastAsia="zh-CN" w:bidi="ar-SA"/>
              </w:rPr>
              <w:t>3、施工期声环境保护措施</w:t>
            </w:r>
          </w:p>
          <w:p w14:paraId="495205FD">
            <w:pPr>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bookmarkStart w:id="82" w:name="_Toc231294740"/>
            <w:bookmarkStart w:id="83" w:name="_Toc231294638"/>
            <w:r>
              <w:rPr>
                <w:rFonts w:hint="default" w:ascii="Times New Roman" w:hAnsi="Times New Roman" w:eastAsia="宋体" w:cs="Times New Roman"/>
                <w:color w:val="auto"/>
                <w:kern w:val="0"/>
                <w:sz w:val="24"/>
                <w:szCs w:val="24"/>
                <w:highlight w:val="none"/>
                <w:lang w:val="en-US" w:eastAsia="zh-CN" w:bidi="ar"/>
              </w:rPr>
              <w:t>施工期设备安装过程产生的噪声，主要来源于包括施工现场的各类机械设备、设备装卸碰撞噪声和机械设备调试噪声。</w:t>
            </w:r>
          </w:p>
          <w:p w14:paraId="337552DB">
            <w:pPr>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0"/>
                <w:sz w:val="24"/>
                <w:szCs w:val="24"/>
                <w:highlight w:val="none"/>
                <w:lang w:val="en-US" w:eastAsia="zh-CN" w:bidi="ar"/>
              </w:rPr>
              <w:t>（1）夜间停止施工；</w:t>
            </w:r>
          </w:p>
          <w:p w14:paraId="49014734">
            <w:pPr>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0"/>
                <w:sz w:val="24"/>
                <w:szCs w:val="24"/>
                <w:highlight w:val="none"/>
                <w:lang w:val="en-US" w:eastAsia="zh-CN" w:bidi="ar"/>
              </w:rPr>
              <w:t>（2）加强运输车辆的管理，运输均在白天进行，并控制车辆鸣笛；</w:t>
            </w:r>
          </w:p>
          <w:p w14:paraId="60E781B2">
            <w:pPr>
              <w:widowControl w:val="0"/>
              <w:overflowPunct w:val="0"/>
              <w:autoSpaceDE w:val="0"/>
              <w:autoSpaceDN w:val="0"/>
              <w:bidi w:val="0"/>
              <w:adjustRightInd w:val="0"/>
              <w:snapToGrid w:val="0"/>
              <w:spacing w:before="0" w:after="0" w:line="360" w:lineRule="auto"/>
              <w:ind w:right="0"/>
              <w:jc w:val="left"/>
              <w:outlineLvl w:val="1"/>
              <w:rPr>
                <w:rFonts w:hint="default" w:ascii="Times New Roman" w:hAnsi="Times New Roman" w:eastAsia="宋体" w:cs="Times New Roman"/>
                <w:b/>
                <w:color w:val="auto"/>
                <w:sz w:val="28"/>
                <w:szCs w:val="30"/>
                <w:lang w:val="en-US" w:eastAsia="zh-CN" w:bidi="ar-SA"/>
              </w:rPr>
            </w:pPr>
            <w:r>
              <w:rPr>
                <w:rFonts w:hint="default" w:ascii="Times New Roman" w:hAnsi="Times New Roman" w:eastAsia="宋体" w:cs="Times New Roman"/>
                <w:b/>
                <w:color w:val="auto"/>
                <w:sz w:val="28"/>
                <w:szCs w:val="30"/>
                <w:lang w:val="en-US" w:eastAsia="zh-CN" w:bidi="ar-SA"/>
              </w:rPr>
              <w:t>4、施工期固体废物</w:t>
            </w:r>
            <w:bookmarkEnd w:id="82"/>
            <w:bookmarkEnd w:id="83"/>
            <w:r>
              <w:rPr>
                <w:rFonts w:hint="default" w:ascii="Times New Roman" w:hAnsi="Times New Roman" w:eastAsia="宋体" w:cs="Times New Roman"/>
                <w:b/>
                <w:color w:val="auto"/>
                <w:sz w:val="28"/>
                <w:szCs w:val="30"/>
                <w:lang w:val="en-US" w:eastAsia="zh-CN" w:bidi="ar-SA"/>
              </w:rPr>
              <w:t>污染防治措施</w:t>
            </w:r>
          </w:p>
          <w:p w14:paraId="1DEA06B7">
            <w:pPr>
              <w:pageBreakBefore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auto"/>
                <w:kern w:val="2"/>
                <w:sz w:val="24"/>
                <w:szCs w:val="20"/>
                <w:highlight w:val="none"/>
                <w:lang w:val="en-US" w:eastAsia="zh-CN"/>
              </w:rPr>
            </w:pPr>
            <w:r>
              <w:rPr>
                <w:rFonts w:hint="default" w:ascii="Times New Roman" w:hAnsi="Times New Roman" w:eastAsia="宋体" w:cs="Times New Roman"/>
                <w:color w:val="auto"/>
                <w:kern w:val="2"/>
                <w:sz w:val="24"/>
                <w:szCs w:val="20"/>
                <w:highlight w:val="none"/>
              </w:rPr>
              <w:t>施工期固废主要是工人产生的生活垃圾等。生活垃圾</w:t>
            </w:r>
            <w:r>
              <w:rPr>
                <w:rFonts w:hint="default" w:ascii="Times New Roman" w:hAnsi="Times New Roman" w:eastAsia="宋体" w:cs="Times New Roman"/>
                <w:color w:val="auto"/>
                <w:kern w:val="2"/>
                <w:sz w:val="24"/>
                <w:szCs w:val="20"/>
                <w:highlight w:val="none"/>
                <w:lang w:val="en-US" w:eastAsia="zh-CN"/>
              </w:rPr>
              <w:t>主要为</w:t>
            </w:r>
            <w:r>
              <w:rPr>
                <w:rFonts w:hint="default" w:ascii="Times New Roman" w:hAnsi="Times New Roman" w:eastAsia="宋体" w:cs="Times New Roman"/>
                <w:color w:val="auto"/>
                <w:kern w:val="2"/>
                <w:sz w:val="24"/>
                <w:szCs w:val="20"/>
                <w:highlight w:val="none"/>
              </w:rPr>
              <w:t>易拉罐、矿泉水瓶、塑料袋等</w:t>
            </w:r>
            <w:r>
              <w:rPr>
                <w:rFonts w:hint="default" w:ascii="Times New Roman" w:hAnsi="Times New Roman" w:eastAsia="宋体" w:cs="Times New Roman"/>
                <w:color w:val="auto"/>
                <w:kern w:val="2"/>
                <w:sz w:val="24"/>
                <w:szCs w:val="20"/>
                <w:highlight w:val="none"/>
                <w:lang w:eastAsia="zh-CN"/>
              </w:rPr>
              <w:t>，</w:t>
            </w:r>
            <w:r>
              <w:rPr>
                <w:rFonts w:hint="default" w:ascii="Times New Roman" w:hAnsi="Times New Roman" w:eastAsia="宋体" w:cs="Times New Roman"/>
                <w:color w:val="auto"/>
                <w:kern w:val="2"/>
                <w:sz w:val="24"/>
                <w:szCs w:val="20"/>
                <w:highlight w:val="none"/>
                <w:lang w:val="en-US" w:eastAsia="zh-CN"/>
              </w:rPr>
              <w:t>委托环卫部门定期清运</w:t>
            </w:r>
            <w:r>
              <w:rPr>
                <w:rFonts w:hint="default" w:ascii="Times New Roman" w:hAnsi="Times New Roman" w:eastAsia="宋体" w:cs="Times New Roman"/>
                <w:color w:val="auto"/>
                <w:kern w:val="2"/>
                <w:sz w:val="24"/>
                <w:szCs w:val="20"/>
                <w:highlight w:val="none"/>
              </w:rPr>
              <w:t>。</w:t>
            </w:r>
            <w:r>
              <w:rPr>
                <w:rFonts w:hint="default" w:ascii="Times New Roman" w:hAnsi="Times New Roman" w:eastAsia="宋体" w:cs="Times New Roman"/>
                <w:color w:val="auto"/>
                <w:kern w:val="2"/>
                <w:sz w:val="24"/>
                <w:szCs w:val="20"/>
                <w:highlight w:val="none"/>
                <w:lang w:val="en-US" w:eastAsia="zh-CN"/>
              </w:rPr>
              <w:t>建筑垃圾废板材等外售回收单位综合利用，项目区内未产生弃方。</w:t>
            </w:r>
          </w:p>
          <w:p w14:paraId="35E4EAB1">
            <w:pPr>
              <w:pageBreakBefore w:val="0"/>
              <w:widowControl w:val="0"/>
              <w:kinsoku/>
              <w:wordWrap/>
              <w:overflowPunct/>
              <w:topLinePunct w:val="0"/>
              <w:autoSpaceDE/>
              <w:autoSpaceDN/>
              <w:bidi w:val="0"/>
              <w:adjustRightInd w:val="0"/>
              <w:snapToGrid w:val="0"/>
              <w:spacing w:before="0" w:after="0" w:line="360" w:lineRule="auto"/>
              <w:ind w:left="0" w:right="0" w:firstLine="480" w:firstLineChars="200"/>
              <w:jc w:val="both"/>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kern w:val="0"/>
                <w:sz w:val="24"/>
                <w:szCs w:val="24"/>
                <w:highlight w:val="none"/>
                <w:lang w:val="en-US" w:eastAsia="zh-CN" w:bidi="ar"/>
              </w:rPr>
              <w:t>根据现场踏勘，目前项目区不存在施工期遗留废弃物，施工期影响基本已消除</w:t>
            </w:r>
            <w:r>
              <w:rPr>
                <w:rFonts w:hint="default" w:ascii="Times New Roman" w:hAnsi="Times New Roman" w:eastAsia="宋体" w:cs="Times New Roman"/>
                <w:color w:val="auto"/>
              </w:rPr>
              <w:t>。</w:t>
            </w:r>
          </w:p>
          <w:p w14:paraId="6C8BA981">
            <w:pPr>
              <w:pageBreakBefore w:val="0"/>
              <w:widowControl w:val="0"/>
              <w:kinsoku/>
              <w:wordWrap/>
              <w:overflowPunct/>
              <w:topLinePunct w:val="0"/>
              <w:autoSpaceDE/>
              <w:autoSpaceDN/>
              <w:bidi w:val="0"/>
              <w:adjustRightInd w:val="0"/>
              <w:snapToGrid w:val="0"/>
              <w:spacing w:before="0" w:after="0" w:line="360" w:lineRule="auto"/>
              <w:ind w:left="0" w:right="0" w:firstLine="480" w:firstLineChars="200"/>
              <w:jc w:val="both"/>
              <w:textAlignment w:val="auto"/>
              <w:rPr>
                <w:rFonts w:hint="default" w:ascii="Times New Roman" w:hAnsi="Times New Roman" w:eastAsia="宋体" w:cs="Times New Roman"/>
                <w:color w:val="auto"/>
              </w:rPr>
            </w:pPr>
          </w:p>
          <w:p w14:paraId="4EB0AE51">
            <w:pPr>
              <w:pageBreakBefore w:val="0"/>
              <w:widowControl w:val="0"/>
              <w:kinsoku/>
              <w:wordWrap/>
              <w:overflowPunct/>
              <w:topLinePunct w:val="0"/>
              <w:autoSpaceDE/>
              <w:autoSpaceDN/>
              <w:bidi w:val="0"/>
              <w:adjustRightInd w:val="0"/>
              <w:snapToGrid w:val="0"/>
              <w:spacing w:before="0" w:after="0" w:line="360" w:lineRule="auto"/>
              <w:ind w:left="0" w:right="0" w:firstLine="480" w:firstLineChars="200"/>
              <w:jc w:val="both"/>
              <w:textAlignment w:val="auto"/>
              <w:rPr>
                <w:rFonts w:hint="default" w:ascii="Times New Roman" w:hAnsi="Times New Roman" w:eastAsia="宋体" w:cs="Times New Roman"/>
                <w:color w:val="auto"/>
              </w:rPr>
            </w:pPr>
          </w:p>
          <w:p w14:paraId="108B81CA">
            <w:pPr>
              <w:pageBreakBefore w:val="0"/>
              <w:widowControl w:val="0"/>
              <w:kinsoku/>
              <w:wordWrap/>
              <w:overflowPunct/>
              <w:topLinePunct w:val="0"/>
              <w:autoSpaceDE/>
              <w:autoSpaceDN/>
              <w:bidi w:val="0"/>
              <w:adjustRightInd w:val="0"/>
              <w:snapToGrid w:val="0"/>
              <w:spacing w:before="0" w:after="0" w:line="360" w:lineRule="auto"/>
              <w:ind w:right="0"/>
              <w:jc w:val="both"/>
              <w:textAlignment w:val="auto"/>
              <w:rPr>
                <w:rFonts w:hint="default" w:ascii="Times New Roman" w:hAnsi="Times New Roman" w:eastAsia="宋体" w:cs="Times New Roman"/>
                <w:color w:val="auto"/>
              </w:rPr>
            </w:pPr>
          </w:p>
          <w:p w14:paraId="33ED43A8">
            <w:pPr>
              <w:rPr>
                <w:rFonts w:hint="default" w:ascii="Times New Roman" w:hAnsi="Times New Roman" w:eastAsia="宋体" w:cs="Times New Roman"/>
                <w:color w:val="auto"/>
                <w:lang w:val="en-US" w:eastAsia="zh-CN"/>
              </w:rPr>
            </w:pPr>
          </w:p>
        </w:tc>
      </w:tr>
    </w:tbl>
    <w:p w14:paraId="523DD1FF">
      <w:pPr>
        <w:rPr>
          <w:rFonts w:hint="default" w:ascii="Times New Roman" w:hAnsi="Times New Roman" w:eastAsia="宋体" w:cs="Times New Roman"/>
          <w:color w:val="auto"/>
        </w:rPr>
        <w:sectPr>
          <w:footerReference r:id="rId1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22"/>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34"/>
        <w:gridCol w:w="8637"/>
      </w:tblGrid>
      <w:tr w14:paraId="14C006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72" w:hRule="atLeast"/>
          <w:jc w:val="center"/>
        </w:trPr>
        <w:tc>
          <w:tcPr>
            <w:tcW w:w="434" w:type="dxa"/>
            <w:noWrap w:val="0"/>
            <w:tcMar>
              <w:left w:w="28" w:type="dxa"/>
              <w:right w:w="28" w:type="dxa"/>
            </w:tcMar>
            <w:vAlign w:val="center"/>
          </w:tcPr>
          <w:p w14:paraId="1633CADC">
            <w:pPr>
              <w:widowControl/>
              <w:spacing w:before="0" w:beforeAutospacing="0" w:after="0" w:afterAutospacing="0" w:line="360" w:lineRule="auto"/>
              <w:ind w:right="-175" w:rightChars="-73" w:firstLine="482"/>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运</w:t>
            </w:r>
          </w:p>
          <w:p w14:paraId="4D300895">
            <w:pPr>
              <w:bidi w:val="0"/>
              <w:spacing w:line="360" w:lineRule="auto"/>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kern w:val="2"/>
                <w:sz w:val="24"/>
                <w:szCs w:val="24"/>
                <w:highlight w:val="none"/>
                <w:lang w:val="en-US" w:eastAsia="zh-CN" w:bidi="ar-SA"/>
              </w:rPr>
              <w:t>运营期环保措施</w:t>
            </w:r>
          </w:p>
        </w:tc>
        <w:tc>
          <w:tcPr>
            <w:tcW w:w="8637" w:type="dxa"/>
            <w:noWrap w:val="0"/>
            <w:vAlign w:val="center"/>
          </w:tcPr>
          <w:p w14:paraId="34371365">
            <w:pPr>
              <w:widowControl w:val="0"/>
              <w:overflowPunct w:val="0"/>
              <w:autoSpaceDE w:val="0"/>
              <w:autoSpaceDN w:val="0"/>
              <w:bidi w:val="0"/>
              <w:adjustRightInd w:val="0"/>
              <w:snapToGrid w:val="0"/>
              <w:spacing w:before="0" w:after="0" w:line="360" w:lineRule="auto"/>
              <w:ind w:right="0"/>
              <w:jc w:val="left"/>
              <w:outlineLvl w:val="1"/>
              <w:rPr>
                <w:rFonts w:hint="default" w:ascii="Times New Roman" w:hAnsi="Times New Roman" w:eastAsia="宋体" w:cs="Times New Roman"/>
                <w:b/>
                <w:color w:val="auto"/>
                <w:sz w:val="28"/>
                <w:szCs w:val="30"/>
                <w:lang w:val="en-US" w:eastAsia="zh-CN" w:bidi="ar-SA"/>
              </w:rPr>
            </w:pPr>
            <w:r>
              <w:rPr>
                <w:rFonts w:hint="eastAsia" w:cs="Times New Roman"/>
                <w:b/>
                <w:color w:val="auto"/>
                <w:sz w:val="28"/>
                <w:szCs w:val="30"/>
                <w:lang w:val="en-US" w:eastAsia="zh-CN" w:bidi="ar-SA"/>
              </w:rPr>
              <w:t>1</w:t>
            </w:r>
            <w:r>
              <w:rPr>
                <w:rFonts w:hint="default" w:ascii="Times New Roman" w:hAnsi="Times New Roman" w:eastAsia="宋体" w:cs="Times New Roman"/>
                <w:b/>
                <w:color w:val="auto"/>
                <w:sz w:val="28"/>
                <w:szCs w:val="30"/>
                <w:lang w:val="en-US" w:eastAsia="zh-CN" w:bidi="ar-SA"/>
              </w:rPr>
              <w:t>、废气</w:t>
            </w:r>
          </w:p>
          <w:p w14:paraId="5A7C8F42">
            <w:pPr>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（1）废气产排情况</w:t>
            </w:r>
          </w:p>
          <w:p w14:paraId="0FB81527">
            <w:pPr>
              <w:widowControl w:val="0"/>
              <w:overflowPunct/>
              <w:autoSpaceDE/>
              <w:autoSpaceDN/>
              <w:adjustRightInd/>
              <w:snapToGrid/>
              <w:spacing w:before="0" w:after="0" w:line="360" w:lineRule="auto"/>
              <w:ind w:left="0" w:right="0" w:firstLine="480" w:firstLineChars="200"/>
              <w:jc w:val="both"/>
              <w:rPr>
                <w:rFonts w:hint="default" w:ascii="Times New Roman" w:hAnsi="Times New Roman" w:eastAsia="宋体" w:cs="Times New Roman"/>
                <w:snapToGrid w:val="0"/>
                <w:color w:val="auto"/>
                <w:sz w:val="24"/>
                <w:szCs w:val="24"/>
                <w:highlight w:val="none"/>
                <w:lang w:val="en-US" w:eastAsia="zh-CN" w:bidi="ar-SA"/>
              </w:rPr>
            </w:pPr>
            <w:r>
              <w:rPr>
                <w:rFonts w:hint="default" w:ascii="Times New Roman" w:hAnsi="Times New Roman" w:eastAsia="宋体" w:cs="Times New Roman"/>
                <w:snapToGrid w:val="0"/>
                <w:color w:val="auto"/>
                <w:sz w:val="24"/>
                <w:szCs w:val="24"/>
                <w:highlight w:val="none"/>
                <w:lang w:val="en-US" w:eastAsia="zh-CN" w:bidi="ar-SA"/>
              </w:rPr>
              <w:t>根据工程产污分析，项目废气主要为：车辆进出场粉尘、投料粉尘、卸料转运粉尘、上料恶臭、发酵废气、烘干废气、筛分粉尘以及包装粉尘。</w:t>
            </w:r>
          </w:p>
          <w:p w14:paraId="18CC88EE">
            <w:pPr>
              <w:widowControl w:val="0"/>
              <w:autoSpaceDE w:val="0"/>
              <w:autoSpaceDN w:val="0"/>
              <w:adjustRightInd w:val="0"/>
              <w:spacing w:line="360" w:lineRule="auto"/>
              <w:ind w:firstLine="480" w:firstLineChars="200"/>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snapToGrid w:val="0"/>
                <w:color w:val="auto"/>
                <w:sz w:val="24"/>
                <w:szCs w:val="24"/>
                <w:highlight w:val="none"/>
                <w:lang w:val="en-US" w:eastAsia="zh-CN" w:bidi="ar-SA"/>
              </w:rPr>
              <w:t>①车辆进出场粉尘</w:t>
            </w:r>
          </w:p>
          <w:p w14:paraId="575198F7">
            <w:pPr>
              <w:widowControl w:val="0"/>
              <w:overflowPunct/>
              <w:autoSpaceDE/>
              <w:autoSpaceDN/>
              <w:adjustRightInd/>
              <w:snapToGrid/>
              <w:spacing w:before="0" w:after="0" w:line="360" w:lineRule="auto"/>
              <w:ind w:left="0" w:right="0" w:firstLine="480" w:firstLineChars="200"/>
              <w:jc w:val="both"/>
              <w:rPr>
                <w:rFonts w:hint="default" w:ascii="Times New Roman" w:hAnsi="Times New Roman" w:eastAsia="宋体" w:cs="Times New Roman"/>
                <w:snapToGrid w:val="0"/>
                <w:color w:val="auto"/>
                <w:sz w:val="24"/>
                <w:szCs w:val="24"/>
                <w:highlight w:val="yellow"/>
                <w:lang w:val="en-US" w:eastAsia="zh-CN" w:bidi="ar-SA"/>
              </w:rPr>
            </w:pPr>
            <w:r>
              <w:rPr>
                <w:rFonts w:hint="default" w:ascii="Times New Roman" w:hAnsi="Times New Roman" w:eastAsia="宋体" w:cs="Times New Roman"/>
                <w:snapToGrid w:val="0"/>
                <w:color w:val="auto"/>
                <w:sz w:val="24"/>
                <w:szCs w:val="24"/>
                <w:highlight w:val="none"/>
                <w:lang w:val="en-US" w:eastAsia="zh-CN" w:bidi="ar-SA"/>
              </w:rPr>
              <w:t>由于本项目车辆进出场会产生一定量的粉尘，根据《逸散性工业粉尘控制技术》，铺砌路面进出场车辆最终排放因子为（重载柴油车12轮）为9.57g/km，本项目按照平均每天进出车辆约8辆，车辆平均在项目区内行驶0.5km，项目车辆起尘量约为0.01t/a。</w:t>
            </w:r>
          </w:p>
          <w:p w14:paraId="588596DA">
            <w:pPr>
              <w:overflowPunct w:val="0"/>
              <w:autoSpaceDE w:val="0"/>
              <w:autoSpaceDN w:val="0"/>
              <w:bidi w:val="0"/>
              <w:adjustRightInd w:val="0"/>
              <w:snapToGrid w:val="0"/>
              <w:spacing w:line="500" w:lineRule="exact"/>
              <w:ind w:firstLine="480" w:firstLineChars="200"/>
              <w:rPr>
                <w:rFonts w:hint="default" w:ascii="Times New Roman" w:hAnsi="Times New Roman" w:eastAsia="宋体" w:cs="Times New Roman"/>
                <w:color w:val="auto"/>
                <w:kern w:val="2"/>
                <w:szCs w:val="24"/>
                <w:lang w:val="en-US" w:eastAsia="zh-CN"/>
              </w:rPr>
            </w:pPr>
            <w:r>
              <w:rPr>
                <w:rFonts w:hint="default" w:ascii="Times New Roman" w:hAnsi="Times New Roman" w:eastAsia="宋体" w:cs="Times New Roman"/>
                <w:snapToGrid w:val="0"/>
                <w:color w:val="auto"/>
                <w:sz w:val="24"/>
                <w:szCs w:val="24"/>
                <w:highlight w:val="none"/>
                <w:lang w:val="en-US" w:eastAsia="zh-CN" w:bidi="ar-SA"/>
              </w:rPr>
              <w:t>②秸秆</w:t>
            </w:r>
            <w:r>
              <w:rPr>
                <w:rFonts w:hint="default" w:ascii="Times New Roman" w:hAnsi="Times New Roman" w:eastAsia="宋体" w:cs="Times New Roman"/>
                <w:color w:val="auto"/>
                <w:kern w:val="2"/>
                <w:szCs w:val="24"/>
                <w:lang w:val="en-US" w:eastAsia="zh-CN"/>
              </w:rPr>
              <w:t>卸料转运粉尘</w:t>
            </w:r>
          </w:p>
          <w:p w14:paraId="1BC3ED7E">
            <w:pPr>
              <w:widowControl w:val="0"/>
              <w:autoSpaceDE w:val="0"/>
              <w:autoSpaceDN w:val="0"/>
              <w:adjustRightInd w:val="0"/>
              <w:spacing w:line="360" w:lineRule="auto"/>
              <w:ind w:firstLine="480" w:firstLineChars="200"/>
              <w:rPr>
                <w:rFonts w:hint="default" w:ascii="Times New Roman" w:hAnsi="Times New Roman" w:eastAsia="宋体" w:cs="Times New Roman"/>
                <w:snapToGrid w:val="0"/>
                <w:color w:val="auto"/>
                <w:sz w:val="24"/>
                <w:szCs w:val="24"/>
                <w:highlight w:val="none"/>
                <w:lang w:val="en-US" w:eastAsia="zh-CN" w:bidi="ar-SA"/>
              </w:rPr>
            </w:pPr>
            <w:r>
              <w:rPr>
                <w:rFonts w:hint="default" w:ascii="Times New Roman" w:hAnsi="Times New Roman" w:eastAsia="宋体" w:cs="Times New Roman"/>
                <w:snapToGrid w:val="0"/>
                <w:color w:val="auto"/>
                <w:sz w:val="24"/>
                <w:szCs w:val="24"/>
                <w:highlight w:val="none"/>
                <w:lang w:val="en-US" w:eastAsia="zh-CN" w:bidi="ar-SA"/>
              </w:rPr>
              <w:t>由于本项目原料鸡粪为新鲜粪便，含水率高，生物菌剂为袋装，因此产尘主要为秸秆卸料，参考</w:t>
            </w:r>
            <w:r>
              <w:rPr>
                <w:rFonts w:hint="default" w:ascii="Times New Roman" w:hAnsi="Times New Roman" w:eastAsia="宋体" w:cs="Times New Roman"/>
                <w:color w:val="auto"/>
                <w:kern w:val="2"/>
                <w:szCs w:val="24"/>
              </w:rPr>
              <w:t>《散逸性工业粉尘控制技术》（中国环境科学出版社）卸料并转运至贮斗</w:t>
            </w:r>
            <w:r>
              <w:rPr>
                <w:rFonts w:hint="default" w:ascii="Times New Roman" w:hAnsi="Times New Roman" w:eastAsia="宋体" w:cs="Times New Roman"/>
                <w:color w:val="auto"/>
                <w:kern w:val="2"/>
                <w:szCs w:val="24"/>
                <w:lang w:val="en-US" w:eastAsia="zh-CN"/>
              </w:rPr>
              <w:t>无控制装置排放因子为0.1kg/t</w:t>
            </w:r>
            <w:r>
              <w:rPr>
                <w:rFonts w:hint="default" w:ascii="Times New Roman" w:hAnsi="Times New Roman" w:eastAsia="宋体" w:cs="Times New Roman"/>
                <w:color w:val="auto"/>
                <w:kern w:val="2"/>
                <w:szCs w:val="24"/>
                <w:lang w:eastAsia="zh-CN"/>
              </w:rPr>
              <w:t>，</w:t>
            </w:r>
            <w:r>
              <w:rPr>
                <w:rFonts w:hint="default" w:ascii="Times New Roman" w:hAnsi="Times New Roman" w:eastAsia="宋体" w:cs="Times New Roman"/>
                <w:color w:val="auto"/>
                <w:kern w:val="2"/>
                <w:szCs w:val="24"/>
                <w:lang w:val="en-US" w:eastAsia="zh-CN"/>
              </w:rPr>
              <w:t>本项目卸料秸秆共5000t/a，因此卸料粉尘共0.5t/a。</w:t>
            </w:r>
          </w:p>
          <w:p w14:paraId="081ACC5C">
            <w:pPr>
              <w:widowControl w:val="0"/>
              <w:autoSpaceDE w:val="0"/>
              <w:autoSpaceDN w:val="0"/>
              <w:adjustRightInd w:val="0"/>
              <w:spacing w:line="360" w:lineRule="auto"/>
              <w:ind w:firstLine="480" w:firstLineChars="200"/>
              <w:rPr>
                <w:rFonts w:hint="default" w:ascii="Times New Roman" w:hAnsi="Times New Roman" w:eastAsia="宋体" w:cs="Times New Roman"/>
                <w:snapToGrid w:val="0"/>
                <w:color w:val="auto"/>
                <w:sz w:val="24"/>
                <w:szCs w:val="24"/>
                <w:highlight w:val="none"/>
                <w:lang w:val="en-US" w:eastAsia="zh-CN" w:bidi="ar-SA"/>
              </w:rPr>
            </w:pPr>
            <w:r>
              <w:rPr>
                <w:rFonts w:hint="default" w:ascii="Times New Roman" w:hAnsi="Times New Roman" w:eastAsia="宋体" w:cs="Times New Roman"/>
                <w:snapToGrid w:val="0"/>
                <w:color w:val="auto"/>
                <w:sz w:val="24"/>
                <w:szCs w:val="24"/>
                <w:highlight w:val="none"/>
                <w:lang w:val="en-US" w:eastAsia="zh-CN" w:bidi="ar-SA"/>
              </w:rPr>
              <w:t>③菌剂、秸秆投料粉尘</w:t>
            </w:r>
          </w:p>
          <w:p w14:paraId="506EB49C">
            <w:pPr>
              <w:overflowPunct w:val="0"/>
              <w:autoSpaceDE w:val="0"/>
              <w:autoSpaceDN w:val="0"/>
              <w:bidi w:val="0"/>
              <w:adjustRightInd w:val="0"/>
              <w:snapToGrid w:val="0"/>
              <w:spacing w:line="500" w:lineRule="exact"/>
              <w:ind w:firstLine="480" w:firstLineChars="200"/>
              <w:rPr>
                <w:rFonts w:hint="default" w:ascii="Times New Roman" w:hAnsi="Times New Roman" w:eastAsia="宋体" w:cs="Times New Roman"/>
                <w:color w:val="auto"/>
                <w:kern w:val="2"/>
                <w:szCs w:val="24"/>
                <w:lang w:val="en-US" w:eastAsia="zh-CN"/>
              </w:rPr>
            </w:pPr>
            <w:r>
              <w:rPr>
                <w:rFonts w:hint="default" w:ascii="Times New Roman" w:hAnsi="Times New Roman" w:eastAsia="宋体" w:cs="Times New Roman"/>
                <w:snapToGrid w:val="0"/>
                <w:color w:val="auto"/>
                <w:sz w:val="24"/>
                <w:szCs w:val="24"/>
                <w:highlight w:val="none"/>
                <w:lang w:val="en-US" w:eastAsia="zh-CN" w:bidi="ar-SA"/>
              </w:rPr>
              <w:t>由于本项目原料鸡粪为新鲜粪便，含水率高，产尘量极少，</w:t>
            </w:r>
            <w:r>
              <w:rPr>
                <w:rFonts w:hint="default" w:ascii="Times New Roman" w:hAnsi="Times New Roman" w:eastAsia="宋体" w:cs="Times New Roman"/>
                <w:color w:val="auto"/>
                <w:kern w:val="2"/>
                <w:szCs w:val="24"/>
                <w:highlight w:val="none"/>
                <w:lang w:val="en-US" w:eastAsia="zh-CN"/>
              </w:rPr>
              <w:t>参考《逸散性工业粉尘控制技术》《工业污染核算》等书，并类比调查同类型加工行业数据，本项目投料粉尘产生系数约为0.01kg/t原料。本项目菌剂、秸秆用量共5034t/a，</w:t>
            </w:r>
            <w:r>
              <w:rPr>
                <w:rFonts w:hint="default" w:ascii="Times New Roman" w:hAnsi="Times New Roman" w:eastAsia="宋体" w:cs="Times New Roman"/>
                <w:color w:val="auto"/>
                <w:kern w:val="2"/>
                <w:szCs w:val="24"/>
                <w:lang w:val="en-US" w:eastAsia="zh-CN"/>
              </w:rPr>
              <w:t>因此</w:t>
            </w:r>
            <w:r>
              <w:rPr>
                <w:rFonts w:hint="default" w:ascii="Times New Roman" w:hAnsi="Times New Roman" w:eastAsia="宋体" w:cs="Times New Roman"/>
                <w:snapToGrid w:val="0"/>
                <w:color w:val="auto"/>
                <w:sz w:val="24"/>
                <w:szCs w:val="24"/>
                <w:highlight w:val="none"/>
                <w:lang w:val="en-US" w:eastAsia="zh-CN" w:bidi="ar-SA"/>
              </w:rPr>
              <w:t>翻抛粉尘</w:t>
            </w:r>
            <w:r>
              <w:rPr>
                <w:rFonts w:hint="default" w:ascii="Times New Roman" w:hAnsi="Times New Roman" w:eastAsia="宋体" w:cs="Times New Roman"/>
                <w:color w:val="auto"/>
                <w:kern w:val="2"/>
                <w:szCs w:val="24"/>
                <w:lang w:val="en-US" w:eastAsia="zh-CN"/>
              </w:rPr>
              <w:t>共0.0503t/a。</w:t>
            </w:r>
          </w:p>
          <w:p w14:paraId="1EC8DDFD">
            <w:pPr>
              <w:widowControl w:val="0"/>
              <w:autoSpaceDE w:val="0"/>
              <w:autoSpaceDN w:val="0"/>
              <w:adjustRightInd w:val="0"/>
              <w:spacing w:line="360" w:lineRule="auto"/>
              <w:ind w:firstLine="480" w:firstLineChars="200"/>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④卸料恶臭</w:t>
            </w:r>
          </w:p>
          <w:p w14:paraId="5B641D10">
            <w:pPr>
              <w:tabs>
                <w:tab w:val="left" w:pos="6295"/>
              </w:tabs>
              <w:overflowPunct/>
              <w:autoSpaceDE/>
              <w:autoSpaceDN/>
              <w:adjustRightInd/>
              <w:snapToGrid/>
              <w:spacing w:before="0" w:after="0" w:line="360" w:lineRule="auto"/>
              <w:ind w:left="0" w:right="0" w:firstLine="480" w:firstLineChars="200"/>
              <w:jc w:val="both"/>
              <w:rPr>
                <w:rFonts w:hint="default" w:ascii="Times New Roman" w:hAnsi="Times New Roman" w:eastAsia="宋体" w:cs="Times New Roman"/>
                <w:snapToGrid w:val="0"/>
                <w:color w:val="auto"/>
                <w:sz w:val="24"/>
                <w:szCs w:val="24"/>
                <w:highlight w:val="none"/>
                <w:lang w:val="en-US" w:eastAsia="zh-CN" w:bidi="ar-SA"/>
              </w:rPr>
            </w:pPr>
            <w:r>
              <w:rPr>
                <w:rFonts w:hint="default" w:ascii="Times New Roman" w:hAnsi="Times New Roman" w:eastAsia="宋体" w:cs="Times New Roman"/>
                <w:snapToGrid w:val="0"/>
                <w:color w:val="auto"/>
                <w:sz w:val="24"/>
                <w:szCs w:val="24"/>
                <w:highlight w:val="none"/>
                <w:lang w:val="en-US" w:eastAsia="zh-CN" w:bidi="ar-SA"/>
              </w:rPr>
              <w:t>对照</w:t>
            </w:r>
            <w:r>
              <w:rPr>
                <w:rFonts w:hint="default" w:ascii="Times New Roman" w:hAnsi="Times New Roman" w:eastAsia="宋体" w:cs="Times New Roman"/>
                <w:color w:val="auto"/>
                <w:lang w:val="en-US" w:eastAsia="zh-CN"/>
              </w:rPr>
              <w:t>《排污许可证申请与核发技术规范 磷肥、钾肥、复混肥料、有机肥料及微生物肥料工业》（HJ 864.2-2018）</w:t>
            </w:r>
            <w:r>
              <w:rPr>
                <w:rFonts w:hint="default" w:ascii="Times New Roman" w:hAnsi="Times New Roman" w:eastAsia="宋体" w:cs="Times New Roman"/>
                <w:snapToGrid w:val="0"/>
                <w:color w:val="auto"/>
                <w:sz w:val="24"/>
                <w:szCs w:val="24"/>
                <w:highlight w:val="none"/>
                <w:lang w:val="en-US" w:eastAsia="zh-CN" w:bidi="ar-SA"/>
              </w:rPr>
              <w:t>，根据同类项目生产环节分析，本项目恶臭产污环节主要为备料、发酵；污染物种类为氨、硫化氢。</w:t>
            </w:r>
          </w:p>
          <w:p w14:paraId="34F3685C">
            <w:pPr>
              <w:tabs>
                <w:tab w:val="left" w:pos="6295"/>
              </w:tabs>
              <w:overflowPunct/>
              <w:autoSpaceDE/>
              <w:autoSpaceDN/>
              <w:adjustRightInd/>
              <w:snapToGrid/>
              <w:spacing w:before="0" w:after="0" w:line="360" w:lineRule="auto"/>
              <w:ind w:left="0" w:right="0" w:firstLine="480" w:firstLineChars="200"/>
              <w:jc w:val="both"/>
              <w:rPr>
                <w:rFonts w:hint="default" w:ascii="Times New Roman" w:hAnsi="Times New Roman" w:eastAsia="宋体" w:cs="Times New Roman"/>
                <w:snapToGrid w:val="0"/>
                <w:color w:val="auto"/>
                <w:sz w:val="24"/>
                <w:szCs w:val="24"/>
                <w:highlight w:val="none"/>
                <w:lang w:val="en-US" w:eastAsia="zh-CN" w:bidi="ar-SA"/>
              </w:rPr>
            </w:pPr>
            <w:r>
              <w:rPr>
                <w:rFonts w:hint="default" w:ascii="Times New Roman" w:hAnsi="Times New Roman" w:eastAsia="宋体" w:cs="Times New Roman"/>
                <w:snapToGrid w:val="0"/>
                <w:color w:val="auto"/>
                <w:sz w:val="24"/>
                <w:szCs w:val="24"/>
                <w:highlight w:val="none"/>
                <w:lang w:val="en-US" w:eastAsia="zh-CN" w:bidi="ar-SA"/>
              </w:rPr>
              <w:t>参考《第二次全国污染源普查工业污染源产排污系数手册（试用版）》（2019年4月）中“2625 有机肥料及微生物肥料制造行业系数手册”，罐式发酵工艺熟化过程氨的产污系数为 1×10</w:t>
            </w:r>
            <w:r>
              <w:rPr>
                <w:rFonts w:hint="default" w:ascii="Times New Roman" w:hAnsi="Times New Roman" w:eastAsia="宋体" w:cs="Times New Roman"/>
                <w:snapToGrid w:val="0"/>
                <w:color w:val="auto"/>
                <w:sz w:val="24"/>
                <w:szCs w:val="24"/>
                <w:highlight w:val="none"/>
                <w:vertAlign w:val="superscript"/>
                <w:lang w:val="en-US" w:eastAsia="zh-CN" w:bidi="ar-SA"/>
              </w:rPr>
              <w:t>-2</w:t>
            </w:r>
            <w:r>
              <w:rPr>
                <w:rFonts w:hint="default" w:ascii="Times New Roman" w:hAnsi="Times New Roman" w:eastAsia="宋体" w:cs="Times New Roman"/>
                <w:snapToGrid w:val="0"/>
                <w:color w:val="auto"/>
                <w:sz w:val="24"/>
                <w:szCs w:val="24"/>
                <w:highlight w:val="none"/>
                <w:lang w:val="en-US" w:eastAsia="zh-CN" w:bidi="ar-SA"/>
              </w:rPr>
              <w:t>kg/t产品，本项目有机肥产品为10000t/a，则发酵废气中氨产生量为0.1t/a。</w:t>
            </w:r>
          </w:p>
          <w:p w14:paraId="5195386E">
            <w:pPr>
              <w:widowControl w:val="0"/>
              <w:autoSpaceDE w:val="0"/>
              <w:autoSpaceDN w:val="0"/>
              <w:adjustRightInd w:val="0"/>
              <w:spacing w:line="360" w:lineRule="auto"/>
              <w:ind w:firstLine="480" w:firstLineChars="200"/>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kern w:val="2"/>
                <w:sz w:val="24"/>
                <w:szCs w:val="24"/>
                <w:lang w:val="en-US" w:eastAsia="zh-CN"/>
              </w:rPr>
              <w:t>卸料过程中产生硫化氢</w:t>
            </w:r>
            <w:r>
              <w:rPr>
                <w:rFonts w:hint="default" w:ascii="Times New Roman" w:hAnsi="Times New Roman" w:eastAsia="宋体" w:cs="Times New Roman"/>
                <w:color w:val="auto"/>
                <w:kern w:val="0"/>
                <w:sz w:val="24"/>
                <w:szCs w:val="24"/>
                <w:highlight w:val="none"/>
                <w:lang w:val="en-US" w:eastAsia="zh-CN"/>
              </w:rPr>
              <w:t>参考</w:t>
            </w:r>
            <w:r>
              <w:rPr>
                <w:rFonts w:hint="default" w:ascii="Times New Roman" w:hAnsi="Times New Roman" w:eastAsia="宋体" w:cs="Times New Roman"/>
                <w:color w:val="auto"/>
                <w:kern w:val="0"/>
                <w:sz w:val="24"/>
                <w:szCs w:val="24"/>
                <w:highlight w:val="none"/>
                <w:lang w:eastAsia="zh-CN"/>
              </w:rPr>
              <w:t>《规模畜禽养殖场污染防治最佳可行技术指南（试行）》</w:t>
            </w:r>
            <w:r>
              <w:rPr>
                <w:rFonts w:hint="default" w:ascii="Times New Roman" w:hAnsi="Times New Roman" w:eastAsia="宋体" w:cs="Times New Roman"/>
                <w:color w:val="auto"/>
                <w:kern w:val="0"/>
                <w:sz w:val="24"/>
                <w:szCs w:val="24"/>
                <w:highlight w:val="none"/>
                <w:lang w:val="en-US" w:eastAsia="zh-CN"/>
              </w:rPr>
              <w:t>高温堆肥计算，</w:t>
            </w:r>
            <w:r>
              <w:rPr>
                <w:rFonts w:hint="default" w:ascii="Times New Roman" w:hAnsi="Times New Roman" w:eastAsia="宋体" w:cs="Times New Roman"/>
                <w:color w:val="auto"/>
                <w:sz w:val="24"/>
                <w:szCs w:val="24"/>
                <w:highlight w:val="none"/>
                <w:lang w:val="en-US" w:eastAsia="zh-CN"/>
              </w:rPr>
              <w:t>高温期各处理的H</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S释放量均占总释放量的85%左右</w:t>
            </w:r>
            <w:r>
              <w:rPr>
                <w:rFonts w:hint="default" w:ascii="Times New Roman" w:hAnsi="Times New Roman" w:eastAsia="宋体" w:cs="Times New Roman"/>
                <w:color w:val="auto"/>
                <w:sz w:val="24"/>
                <w:szCs w:val="24"/>
                <w:highlight w:val="none"/>
              </w:rPr>
              <w:t>。根据</w:t>
            </w:r>
            <w:r>
              <w:rPr>
                <w:rFonts w:hint="default" w:ascii="Times New Roman" w:hAnsi="Times New Roman" w:eastAsia="宋体" w:cs="Times New Roman"/>
                <w:color w:val="auto"/>
                <w:sz w:val="24"/>
                <w:szCs w:val="24"/>
                <w:highlight w:val="none"/>
                <w:lang w:eastAsia="zh-CN"/>
              </w:rPr>
              <w:t>《规模畜禽养殖场污染防治最佳可行技术指南（试行）》畜禽养殖主要固体污染物</w:t>
            </w:r>
            <w:r>
              <w:rPr>
                <w:rFonts w:hint="default" w:ascii="Times New Roman" w:hAnsi="Times New Roman" w:eastAsia="宋体" w:cs="Times New Roman"/>
                <w:color w:val="auto"/>
                <w:sz w:val="24"/>
                <w:szCs w:val="24"/>
                <w:highlight w:val="none"/>
                <w:lang w:val="en-US" w:eastAsia="zh-CN"/>
              </w:rPr>
              <w:t>TS为20%，根据《畜禽粪便堆肥过程中含硫恶臭排放规律及原位控制机制研究》堆肥过程中总硫损失为初始总硫的3.9-18.3%，H</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S恶臭气体形式损失的硫占堆肥过程中初始总硫损失的0.097%。本项目粪便用量为8350t/a，因此本项目H</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S产生量为0.0537t/a。</w:t>
            </w:r>
          </w:p>
          <w:p w14:paraId="06D0CBD9">
            <w:pPr>
              <w:overflowPunct w:val="0"/>
              <w:autoSpaceDE w:val="0"/>
              <w:autoSpaceDN w:val="0"/>
              <w:bidi w:val="0"/>
              <w:adjustRightInd w:val="0"/>
              <w:snapToGrid w:val="0"/>
              <w:spacing w:line="360" w:lineRule="auto"/>
              <w:ind w:firstLine="480" w:firstLineChars="200"/>
              <w:rPr>
                <w:rFonts w:hint="default" w:ascii="Times New Roman" w:hAnsi="Times New Roman" w:eastAsia="宋体" w:cs="Times New Roman"/>
                <w:color w:val="auto"/>
                <w:kern w:val="2"/>
                <w:szCs w:val="24"/>
                <w:lang w:val="en-US" w:eastAsia="zh-CN"/>
              </w:rPr>
            </w:pPr>
            <w:r>
              <w:rPr>
                <w:rFonts w:hint="default" w:ascii="Times New Roman" w:hAnsi="Times New Roman" w:eastAsia="宋体" w:cs="Times New Roman"/>
                <w:color w:val="auto"/>
                <w:kern w:val="2"/>
                <w:szCs w:val="24"/>
                <w:lang w:val="en-US" w:eastAsia="zh-CN"/>
              </w:rPr>
              <w:t>⑤发酵废气</w:t>
            </w:r>
          </w:p>
          <w:p w14:paraId="07A6E00C">
            <w:pPr>
              <w:tabs>
                <w:tab w:val="left" w:pos="6295"/>
              </w:tabs>
              <w:overflowPunct/>
              <w:autoSpaceDE/>
              <w:autoSpaceDN/>
              <w:adjustRightInd/>
              <w:snapToGrid/>
              <w:spacing w:before="0" w:after="0" w:line="360" w:lineRule="auto"/>
              <w:ind w:left="0" w:right="0" w:firstLine="480" w:firstLineChars="200"/>
              <w:jc w:val="both"/>
              <w:rPr>
                <w:rFonts w:hint="default" w:ascii="Times New Roman" w:hAnsi="Times New Roman" w:eastAsia="宋体" w:cs="Times New Roman"/>
                <w:snapToGrid w:val="0"/>
                <w:color w:val="auto"/>
                <w:sz w:val="24"/>
                <w:szCs w:val="24"/>
                <w:highlight w:val="none"/>
                <w:lang w:val="en-US" w:eastAsia="zh-CN" w:bidi="ar-SA"/>
              </w:rPr>
            </w:pPr>
            <w:r>
              <w:rPr>
                <w:rFonts w:hint="default" w:ascii="Times New Roman" w:hAnsi="Times New Roman" w:eastAsia="宋体" w:cs="Times New Roman"/>
                <w:snapToGrid w:val="0"/>
                <w:color w:val="auto"/>
                <w:sz w:val="24"/>
                <w:szCs w:val="24"/>
                <w:highlight w:val="none"/>
                <w:lang w:val="en-US" w:eastAsia="zh-CN" w:bidi="ar-SA"/>
              </w:rPr>
              <w:t>对照</w:t>
            </w:r>
            <w:r>
              <w:rPr>
                <w:rFonts w:hint="default" w:ascii="Times New Roman" w:hAnsi="Times New Roman" w:eastAsia="宋体" w:cs="Times New Roman"/>
                <w:color w:val="auto"/>
                <w:lang w:val="en-US" w:eastAsia="zh-CN"/>
              </w:rPr>
              <w:t>《排污许可证申请与核发技术规范 磷肥、钾肥、复混肥料、有机肥料及微生物肥料工业》（HJ 864.2-2018）</w:t>
            </w:r>
            <w:r>
              <w:rPr>
                <w:rFonts w:hint="default" w:ascii="Times New Roman" w:hAnsi="Times New Roman" w:eastAsia="宋体" w:cs="Times New Roman"/>
                <w:snapToGrid w:val="0"/>
                <w:color w:val="auto"/>
                <w:sz w:val="24"/>
                <w:szCs w:val="24"/>
                <w:highlight w:val="none"/>
                <w:lang w:val="en-US" w:eastAsia="zh-CN" w:bidi="ar-SA"/>
              </w:rPr>
              <w:t>，根据同类项目生产环节分析，本项目恶臭产污环节主要为备料、发酵以及干燥环节；污染物种类为氨、硫化氢。</w:t>
            </w:r>
          </w:p>
          <w:p w14:paraId="1348A606">
            <w:pPr>
              <w:tabs>
                <w:tab w:val="left" w:pos="6295"/>
              </w:tabs>
              <w:overflowPunct/>
              <w:autoSpaceDE/>
              <w:autoSpaceDN/>
              <w:adjustRightInd/>
              <w:snapToGrid/>
              <w:spacing w:before="0" w:after="0" w:line="360" w:lineRule="auto"/>
              <w:ind w:left="0" w:right="0" w:firstLine="480" w:firstLineChars="200"/>
              <w:jc w:val="both"/>
              <w:rPr>
                <w:rFonts w:hint="default" w:ascii="Times New Roman" w:hAnsi="Times New Roman" w:eastAsia="宋体" w:cs="Times New Roman"/>
                <w:snapToGrid w:val="0"/>
                <w:color w:val="auto"/>
                <w:sz w:val="24"/>
                <w:szCs w:val="24"/>
                <w:highlight w:val="none"/>
                <w:lang w:val="en-US" w:eastAsia="zh-CN" w:bidi="ar-SA"/>
              </w:rPr>
            </w:pPr>
            <w:r>
              <w:rPr>
                <w:rFonts w:hint="default" w:ascii="Times New Roman" w:hAnsi="Times New Roman" w:eastAsia="宋体" w:cs="Times New Roman"/>
                <w:snapToGrid w:val="0"/>
                <w:color w:val="auto"/>
                <w:sz w:val="24"/>
                <w:szCs w:val="24"/>
                <w:highlight w:val="none"/>
                <w:lang w:val="en-US" w:eastAsia="zh-CN" w:bidi="ar-SA"/>
              </w:rPr>
              <w:t>在有机肥原料发酵的过程中会产生NH</w:t>
            </w:r>
            <w:r>
              <w:rPr>
                <w:rFonts w:hint="default" w:ascii="Times New Roman" w:hAnsi="Times New Roman" w:eastAsia="宋体" w:cs="Times New Roman"/>
                <w:snapToGrid w:val="0"/>
                <w:color w:val="auto"/>
                <w:sz w:val="24"/>
                <w:szCs w:val="24"/>
                <w:highlight w:val="none"/>
                <w:vertAlign w:val="subscript"/>
                <w:lang w:val="en-US" w:eastAsia="zh-CN" w:bidi="ar-SA"/>
              </w:rPr>
              <w:t>3</w:t>
            </w:r>
            <w:r>
              <w:rPr>
                <w:rFonts w:hint="default" w:ascii="Times New Roman" w:hAnsi="Times New Roman" w:eastAsia="宋体" w:cs="Times New Roman"/>
                <w:snapToGrid w:val="0"/>
                <w:color w:val="auto"/>
                <w:sz w:val="24"/>
                <w:szCs w:val="24"/>
                <w:highlight w:val="none"/>
                <w:lang w:val="en-US" w:eastAsia="zh-CN" w:bidi="ar-SA"/>
              </w:rPr>
              <w:t>、H</w:t>
            </w:r>
            <w:r>
              <w:rPr>
                <w:rFonts w:hint="default" w:ascii="Times New Roman" w:hAnsi="Times New Roman" w:eastAsia="宋体" w:cs="Times New Roman"/>
                <w:snapToGrid w:val="0"/>
                <w:color w:val="auto"/>
                <w:sz w:val="24"/>
                <w:szCs w:val="24"/>
                <w:highlight w:val="none"/>
                <w:vertAlign w:val="subscript"/>
                <w:lang w:val="en-US" w:eastAsia="zh-CN" w:bidi="ar-SA"/>
              </w:rPr>
              <w:t>2</w:t>
            </w:r>
            <w:r>
              <w:rPr>
                <w:rFonts w:hint="default" w:ascii="Times New Roman" w:hAnsi="Times New Roman" w:eastAsia="宋体" w:cs="Times New Roman"/>
                <w:snapToGrid w:val="0"/>
                <w:color w:val="auto"/>
                <w:sz w:val="24"/>
                <w:szCs w:val="24"/>
                <w:highlight w:val="none"/>
                <w:lang w:val="en-US" w:eastAsia="zh-CN" w:bidi="ar-SA"/>
              </w:rPr>
              <w:t>S、CH</w:t>
            </w:r>
            <w:r>
              <w:rPr>
                <w:rFonts w:hint="default" w:ascii="Times New Roman" w:hAnsi="Times New Roman" w:eastAsia="宋体" w:cs="Times New Roman"/>
                <w:snapToGrid w:val="0"/>
                <w:color w:val="auto"/>
                <w:sz w:val="24"/>
                <w:szCs w:val="24"/>
                <w:highlight w:val="none"/>
                <w:vertAlign w:val="subscript"/>
                <w:lang w:val="en-US" w:eastAsia="zh-CN" w:bidi="ar-SA"/>
              </w:rPr>
              <w:t>4</w:t>
            </w:r>
            <w:r>
              <w:rPr>
                <w:rFonts w:hint="default" w:ascii="Times New Roman" w:hAnsi="Times New Roman" w:eastAsia="宋体" w:cs="Times New Roman"/>
                <w:snapToGrid w:val="0"/>
                <w:color w:val="auto"/>
                <w:sz w:val="24"/>
                <w:szCs w:val="24"/>
                <w:highlight w:val="none"/>
                <w:lang w:val="en-US" w:eastAsia="zh-CN" w:bidi="ar-SA"/>
              </w:rPr>
              <w:t>、H</w:t>
            </w:r>
            <w:r>
              <w:rPr>
                <w:rFonts w:hint="default" w:ascii="Times New Roman" w:hAnsi="Times New Roman" w:eastAsia="宋体" w:cs="Times New Roman"/>
                <w:snapToGrid w:val="0"/>
                <w:color w:val="auto"/>
                <w:sz w:val="24"/>
                <w:szCs w:val="24"/>
                <w:highlight w:val="none"/>
                <w:vertAlign w:val="subscript"/>
                <w:lang w:val="en-US" w:eastAsia="zh-CN" w:bidi="ar-SA"/>
              </w:rPr>
              <w:t>2</w:t>
            </w:r>
            <w:r>
              <w:rPr>
                <w:rFonts w:hint="default" w:ascii="Times New Roman" w:hAnsi="Times New Roman" w:eastAsia="宋体" w:cs="Times New Roman"/>
                <w:snapToGrid w:val="0"/>
                <w:color w:val="auto"/>
                <w:sz w:val="24"/>
                <w:szCs w:val="24"/>
                <w:highlight w:val="none"/>
                <w:lang w:val="en-US" w:eastAsia="zh-CN" w:bidi="ar-SA"/>
              </w:rPr>
              <w:t>O、CO</w:t>
            </w:r>
            <w:r>
              <w:rPr>
                <w:rFonts w:hint="default" w:ascii="Times New Roman" w:hAnsi="Times New Roman" w:eastAsia="宋体" w:cs="Times New Roman"/>
                <w:snapToGrid w:val="0"/>
                <w:color w:val="auto"/>
                <w:sz w:val="24"/>
                <w:szCs w:val="24"/>
                <w:highlight w:val="none"/>
                <w:vertAlign w:val="subscript"/>
                <w:lang w:val="en-US" w:eastAsia="zh-CN" w:bidi="ar-SA"/>
              </w:rPr>
              <w:t>2</w:t>
            </w:r>
            <w:r>
              <w:rPr>
                <w:rFonts w:hint="default" w:ascii="Times New Roman" w:hAnsi="Times New Roman" w:eastAsia="宋体" w:cs="Times New Roman"/>
                <w:snapToGrid w:val="0"/>
                <w:color w:val="auto"/>
                <w:sz w:val="24"/>
                <w:szCs w:val="24"/>
                <w:highlight w:val="none"/>
                <w:lang w:val="en-US" w:eastAsia="zh-CN" w:bidi="ar-SA"/>
              </w:rPr>
              <w:t>等气体，其中NH</w:t>
            </w:r>
            <w:r>
              <w:rPr>
                <w:rFonts w:hint="default" w:ascii="Times New Roman" w:hAnsi="Times New Roman" w:eastAsia="宋体" w:cs="Times New Roman"/>
                <w:snapToGrid w:val="0"/>
                <w:color w:val="auto"/>
                <w:sz w:val="24"/>
                <w:szCs w:val="24"/>
                <w:highlight w:val="none"/>
                <w:vertAlign w:val="subscript"/>
                <w:lang w:val="en-US" w:eastAsia="zh-CN" w:bidi="ar-SA"/>
              </w:rPr>
              <w:t>3</w:t>
            </w:r>
            <w:r>
              <w:rPr>
                <w:rFonts w:hint="default" w:ascii="Times New Roman" w:hAnsi="Times New Roman" w:eastAsia="宋体" w:cs="Times New Roman"/>
                <w:snapToGrid w:val="0"/>
                <w:color w:val="auto"/>
                <w:sz w:val="24"/>
                <w:szCs w:val="24"/>
                <w:highlight w:val="none"/>
                <w:lang w:val="en-US" w:eastAsia="zh-CN" w:bidi="ar-SA"/>
              </w:rPr>
              <w:t>、H</w:t>
            </w:r>
            <w:r>
              <w:rPr>
                <w:rFonts w:hint="default" w:ascii="Times New Roman" w:hAnsi="Times New Roman" w:eastAsia="宋体" w:cs="Times New Roman"/>
                <w:snapToGrid w:val="0"/>
                <w:color w:val="auto"/>
                <w:sz w:val="24"/>
                <w:szCs w:val="24"/>
                <w:highlight w:val="none"/>
                <w:vertAlign w:val="subscript"/>
                <w:lang w:val="en-US" w:eastAsia="zh-CN" w:bidi="ar-SA"/>
              </w:rPr>
              <w:t>2</w:t>
            </w:r>
            <w:r>
              <w:rPr>
                <w:rFonts w:hint="default" w:ascii="Times New Roman" w:hAnsi="Times New Roman" w:eastAsia="宋体" w:cs="Times New Roman"/>
                <w:snapToGrid w:val="0"/>
                <w:color w:val="auto"/>
                <w:sz w:val="24"/>
                <w:szCs w:val="24"/>
                <w:highlight w:val="none"/>
                <w:lang w:val="en-US" w:eastAsia="zh-CN" w:bidi="ar-SA"/>
              </w:rPr>
              <w:t>S属于恶臭气体，本项目分子膜采用三层高分子膜技术，高分子材料是核心技术，具有特制微孔、次微孔限制大分子通过，内层允许小分子（水蒸气、二氧化碳）通过，降低有机肥的水分，阻隔氨气、硫化氢等大分子气体，氨气、硫化氢等有害气体溶于膜内面水蒸气并凝聚重新回落到堆体中继续参与分解，最后形成盐类物质保留在有机肥当中，减少恶臭物质的排放量，降低其对周边环境的影响。</w:t>
            </w:r>
          </w:p>
          <w:p w14:paraId="457E61C7">
            <w:pPr>
              <w:tabs>
                <w:tab w:val="left" w:pos="6295"/>
              </w:tabs>
              <w:overflowPunct/>
              <w:autoSpaceDE/>
              <w:autoSpaceDN/>
              <w:adjustRightInd/>
              <w:snapToGrid/>
              <w:spacing w:before="0" w:after="0" w:line="360" w:lineRule="auto"/>
              <w:ind w:left="0" w:right="0" w:firstLine="480" w:firstLineChars="200"/>
              <w:jc w:val="both"/>
              <w:rPr>
                <w:rFonts w:hint="default" w:ascii="Times New Roman" w:hAnsi="Times New Roman" w:eastAsia="宋体" w:cs="Times New Roman"/>
                <w:snapToGrid w:val="0"/>
                <w:color w:val="auto"/>
                <w:sz w:val="24"/>
                <w:szCs w:val="24"/>
                <w:highlight w:val="none"/>
                <w:lang w:val="en-US" w:eastAsia="zh-CN" w:bidi="ar-SA"/>
              </w:rPr>
            </w:pPr>
            <w:r>
              <w:rPr>
                <w:rFonts w:hint="default" w:ascii="Times New Roman" w:hAnsi="Times New Roman" w:eastAsia="宋体" w:cs="Times New Roman"/>
                <w:snapToGrid w:val="0"/>
                <w:color w:val="auto"/>
                <w:sz w:val="24"/>
                <w:szCs w:val="24"/>
                <w:highlight w:val="none"/>
                <w:lang w:val="en-US" w:eastAsia="zh-CN" w:bidi="ar-SA"/>
              </w:rPr>
              <w:t>由于《排放源统计调查产排污核算方法和系数手册（2021 年）》2625 有机肥及微生物肥制造行业系数无相关核算系数，本次环评参考《第二次全国污染源普查工业污染源产排污系数手册（试用版）》（2019年4月）中“2625 有机肥料及微生物肥料制造行业系数手册”，罐式发酵工艺熟化过程氨的产污系数为 1×10</w:t>
            </w:r>
            <w:r>
              <w:rPr>
                <w:rFonts w:hint="default" w:ascii="Times New Roman" w:hAnsi="Times New Roman" w:eastAsia="宋体" w:cs="Times New Roman"/>
                <w:snapToGrid w:val="0"/>
                <w:color w:val="auto"/>
                <w:sz w:val="24"/>
                <w:szCs w:val="24"/>
                <w:highlight w:val="none"/>
                <w:vertAlign w:val="superscript"/>
                <w:lang w:val="en-US" w:eastAsia="zh-CN" w:bidi="ar-SA"/>
              </w:rPr>
              <w:t>-2</w:t>
            </w:r>
            <w:r>
              <w:rPr>
                <w:rFonts w:hint="default" w:ascii="Times New Roman" w:hAnsi="Times New Roman" w:eastAsia="宋体" w:cs="Times New Roman"/>
                <w:snapToGrid w:val="0"/>
                <w:color w:val="auto"/>
                <w:sz w:val="24"/>
                <w:szCs w:val="24"/>
                <w:highlight w:val="none"/>
                <w:lang w:val="en-US" w:eastAsia="zh-CN" w:bidi="ar-SA"/>
              </w:rPr>
              <w:t>kg/t产品，则发酵废气中氨产生量为0.1t/a。</w:t>
            </w:r>
          </w:p>
          <w:p w14:paraId="476BA758">
            <w:pPr>
              <w:widowControl w:val="0"/>
              <w:autoSpaceDE w:val="0"/>
              <w:autoSpaceDN w:val="0"/>
              <w:adjustRightInd w:val="0"/>
              <w:spacing w:line="360" w:lineRule="auto"/>
              <w:ind w:firstLine="480" w:firstLineChars="200"/>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highlight w:val="none"/>
              </w:rPr>
              <w:t>根据</w:t>
            </w:r>
            <w:r>
              <w:rPr>
                <w:rFonts w:hint="default" w:ascii="Times New Roman" w:hAnsi="Times New Roman" w:eastAsia="宋体" w:cs="Times New Roman"/>
                <w:color w:val="auto"/>
                <w:kern w:val="0"/>
                <w:sz w:val="24"/>
                <w:szCs w:val="24"/>
                <w:highlight w:val="none"/>
                <w:lang w:eastAsia="zh-CN"/>
              </w:rPr>
              <w:t>《规模畜禽养殖场污染防治最佳可行技术指南（试行）》</w:t>
            </w:r>
            <w:r>
              <w:rPr>
                <w:rFonts w:hint="default" w:ascii="Times New Roman" w:hAnsi="Times New Roman" w:eastAsia="宋体" w:cs="Times New Roman"/>
                <w:color w:val="auto"/>
                <w:kern w:val="0"/>
                <w:sz w:val="24"/>
                <w:szCs w:val="24"/>
                <w:highlight w:val="none"/>
                <w:lang w:val="en-US" w:eastAsia="zh-CN"/>
              </w:rPr>
              <w:t>高温堆肥计算，</w:t>
            </w:r>
            <w:r>
              <w:rPr>
                <w:rFonts w:hint="default" w:ascii="Times New Roman" w:hAnsi="Times New Roman" w:eastAsia="宋体" w:cs="Times New Roman"/>
                <w:color w:val="auto"/>
                <w:sz w:val="24"/>
                <w:szCs w:val="24"/>
                <w:highlight w:val="none"/>
                <w:lang w:val="en-US" w:eastAsia="zh-CN"/>
              </w:rPr>
              <w:t>高温期各处理的H</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S释放量均占总释放量的85%左右</w:t>
            </w:r>
            <w:r>
              <w:rPr>
                <w:rFonts w:hint="default" w:ascii="Times New Roman" w:hAnsi="Times New Roman" w:eastAsia="宋体" w:cs="Times New Roman"/>
                <w:color w:val="auto"/>
                <w:sz w:val="24"/>
                <w:szCs w:val="24"/>
                <w:highlight w:val="none"/>
              </w:rPr>
              <w:t>。根据</w:t>
            </w:r>
            <w:r>
              <w:rPr>
                <w:rFonts w:hint="default" w:ascii="Times New Roman" w:hAnsi="Times New Roman" w:eastAsia="宋体" w:cs="Times New Roman"/>
                <w:color w:val="auto"/>
                <w:sz w:val="24"/>
                <w:szCs w:val="24"/>
                <w:highlight w:val="none"/>
                <w:lang w:eastAsia="zh-CN"/>
              </w:rPr>
              <w:t>《规模畜禽养殖场污染防治最佳可行技术指南（试行）》畜禽养殖主要固体污染物</w:t>
            </w:r>
            <w:r>
              <w:rPr>
                <w:rFonts w:hint="default" w:ascii="Times New Roman" w:hAnsi="Times New Roman" w:eastAsia="宋体" w:cs="Times New Roman"/>
                <w:color w:val="auto"/>
                <w:sz w:val="24"/>
                <w:szCs w:val="24"/>
                <w:highlight w:val="none"/>
                <w:lang w:val="en-US" w:eastAsia="zh-CN"/>
              </w:rPr>
              <w:t>TS为20%，根据《畜禽粪便堆肥过程中含硫恶臭排放规律及原位控制机制研究》堆肥过程中总硫损失为初始总硫的3.9-18.3%，H</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S恶臭气体形式损失的硫占堆肥过程中初始总硫损失的0.097%。本项目粪便用量为8350t/a，因此本项目H</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S产生量为0.0537t/a。</w:t>
            </w:r>
          </w:p>
          <w:p w14:paraId="7E1BC196">
            <w:pPr>
              <w:widowControl w:val="0"/>
              <w:autoSpaceDE w:val="0"/>
              <w:autoSpaceDN w:val="0"/>
              <w:adjustRightInd w:val="0"/>
              <w:spacing w:line="360" w:lineRule="auto"/>
              <w:ind w:firstLine="480" w:firstLineChars="200"/>
              <w:rPr>
                <w:rFonts w:hint="default" w:ascii="Times New Roman" w:hAnsi="Times New Roman" w:eastAsia="宋体" w:cs="Times New Roman"/>
                <w:color w:val="auto"/>
                <w:sz w:val="24"/>
                <w:szCs w:val="24"/>
                <w:highlight w:val="yellow"/>
                <w:lang w:val="en-US" w:eastAsia="zh-CN" w:bidi="ar-SA"/>
              </w:rPr>
            </w:pPr>
            <w:r>
              <w:rPr>
                <w:rFonts w:hint="default" w:ascii="Times New Roman" w:hAnsi="Times New Roman" w:eastAsia="宋体" w:cs="Times New Roman"/>
                <w:color w:val="auto"/>
                <w:sz w:val="24"/>
                <w:szCs w:val="24"/>
                <w:highlight w:val="none"/>
                <w:lang w:val="en-US" w:eastAsia="zh-CN" w:bidi="ar-SA"/>
              </w:rPr>
              <w:t>卸料废气、发酵废气通过集气罩收集后</w:t>
            </w:r>
            <w:r>
              <w:rPr>
                <w:rFonts w:hint="eastAsia" w:cs="Times New Roman"/>
                <w:color w:val="auto"/>
                <w:sz w:val="24"/>
                <w:szCs w:val="24"/>
                <w:highlight w:val="none"/>
                <w:lang w:val="en-US" w:eastAsia="zh-CN" w:bidi="ar-SA"/>
              </w:rPr>
              <w:t>，</w:t>
            </w:r>
            <w:r>
              <w:rPr>
                <w:rFonts w:hint="default" w:ascii="Times New Roman" w:hAnsi="Times New Roman" w:eastAsia="宋体" w:cs="Times New Roman"/>
                <w:color w:val="auto"/>
                <w:sz w:val="24"/>
                <w:szCs w:val="24"/>
                <w:highlight w:val="none"/>
                <w:lang w:val="en-US" w:eastAsia="zh-CN" w:bidi="ar-SA"/>
              </w:rPr>
              <w:t>共用同一套生物除臭塔（滴滤法）处理，</w:t>
            </w:r>
            <w:r>
              <w:rPr>
                <w:rFonts w:hint="default" w:ascii="Times New Roman" w:hAnsi="Times New Roman" w:eastAsia="宋体" w:cs="Times New Roman"/>
                <w:snapToGrid w:val="0"/>
                <w:color w:val="0000FF"/>
                <w:sz w:val="24"/>
                <w:szCs w:val="24"/>
                <w:highlight w:val="none"/>
                <w:lang w:val="en-US" w:eastAsia="zh-CN" w:bidi="ar-SA"/>
              </w:rPr>
              <w:t>收集效率</w:t>
            </w:r>
            <w:r>
              <w:rPr>
                <w:rFonts w:hint="eastAsia" w:cs="Times New Roman"/>
                <w:snapToGrid w:val="0"/>
                <w:color w:val="0000FF"/>
                <w:sz w:val="24"/>
                <w:szCs w:val="24"/>
                <w:highlight w:val="none"/>
                <w:lang w:val="en-US" w:eastAsia="zh-CN" w:bidi="ar-SA"/>
              </w:rPr>
              <w:t>取</w:t>
            </w:r>
            <w:r>
              <w:rPr>
                <w:rFonts w:hint="default" w:ascii="Times New Roman" w:hAnsi="Times New Roman" w:eastAsia="宋体" w:cs="Times New Roman"/>
                <w:snapToGrid w:val="0"/>
                <w:color w:val="0000FF"/>
                <w:sz w:val="24"/>
                <w:szCs w:val="24"/>
                <w:highlight w:val="none"/>
                <w:lang w:val="en-US" w:eastAsia="zh-CN" w:bidi="ar-SA"/>
              </w:rPr>
              <w:t>9</w:t>
            </w:r>
            <w:r>
              <w:rPr>
                <w:rFonts w:hint="eastAsia" w:cs="Times New Roman"/>
                <w:snapToGrid w:val="0"/>
                <w:color w:val="0000FF"/>
                <w:sz w:val="24"/>
                <w:szCs w:val="24"/>
                <w:highlight w:val="none"/>
                <w:lang w:val="en-US" w:eastAsia="zh-CN" w:bidi="ar-SA"/>
              </w:rPr>
              <w:t>0</w:t>
            </w:r>
            <w:r>
              <w:rPr>
                <w:rFonts w:hint="default" w:ascii="Times New Roman" w:hAnsi="Times New Roman" w:eastAsia="宋体" w:cs="Times New Roman"/>
                <w:snapToGrid w:val="0"/>
                <w:color w:val="0000FF"/>
                <w:sz w:val="24"/>
                <w:szCs w:val="24"/>
                <w:highlight w:val="none"/>
                <w:lang w:val="en-US" w:eastAsia="zh-CN" w:bidi="ar-SA"/>
              </w:rPr>
              <w:t>%</w:t>
            </w:r>
            <w:r>
              <w:rPr>
                <w:rFonts w:hint="eastAsia" w:cs="Times New Roman"/>
                <w:snapToGrid w:val="0"/>
                <w:color w:val="0000FF"/>
                <w:sz w:val="24"/>
                <w:szCs w:val="24"/>
                <w:highlight w:val="none"/>
                <w:lang w:val="en-US" w:eastAsia="zh-CN" w:bidi="ar-SA"/>
              </w:rPr>
              <w:t>（收集效率参考《主要污染物总量减排核算技术指南（2022 年修订）》中表2-3密闭空间收集效率）</w:t>
            </w:r>
            <w:r>
              <w:rPr>
                <w:rFonts w:hint="default" w:ascii="Times New Roman" w:hAnsi="Times New Roman" w:eastAsia="宋体" w:cs="Times New Roman"/>
                <w:snapToGrid w:val="0"/>
                <w:color w:val="auto"/>
                <w:sz w:val="24"/>
                <w:szCs w:val="24"/>
                <w:highlight w:val="none"/>
                <w:lang w:val="en-US" w:eastAsia="zh-CN" w:bidi="ar-SA"/>
              </w:rPr>
              <w:t>恶臭污染物处理效率为88%（恶臭污染物处理效率由《第二次全国污染源普查工业污染源产排污系数手册（试用版）》提供）；本项目排气筒风量为</w:t>
            </w:r>
            <w:r>
              <w:rPr>
                <w:rFonts w:hint="eastAsia" w:cs="Times New Roman"/>
                <w:snapToGrid w:val="0"/>
                <w:color w:val="auto"/>
                <w:sz w:val="24"/>
                <w:szCs w:val="24"/>
                <w:highlight w:val="none"/>
                <w:lang w:val="en-US" w:eastAsia="zh-CN" w:bidi="ar-SA"/>
              </w:rPr>
              <w:t>25</w:t>
            </w:r>
            <w:r>
              <w:rPr>
                <w:rFonts w:hint="default" w:ascii="Times New Roman" w:hAnsi="Times New Roman" w:eastAsia="宋体" w:cs="Times New Roman"/>
                <w:snapToGrid w:val="0"/>
                <w:color w:val="auto"/>
                <w:sz w:val="24"/>
                <w:szCs w:val="24"/>
                <w:highlight w:val="none"/>
                <w:lang w:val="en-US" w:eastAsia="zh-CN" w:bidi="ar-SA"/>
              </w:rPr>
              <w:t>00m</w:t>
            </w:r>
            <w:r>
              <w:rPr>
                <w:rFonts w:hint="default" w:ascii="Times New Roman" w:hAnsi="Times New Roman" w:eastAsia="宋体" w:cs="Times New Roman"/>
                <w:snapToGrid w:val="0"/>
                <w:color w:val="auto"/>
                <w:sz w:val="24"/>
                <w:szCs w:val="24"/>
                <w:highlight w:val="none"/>
                <w:vertAlign w:val="superscript"/>
                <w:lang w:val="en-US" w:eastAsia="zh-CN" w:bidi="ar-SA"/>
              </w:rPr>
              <w:t>3</w:t>
            </w:r>
            <w:r>
              <w:rPr>
                <w:rFonts w:hint="default" w:ascii="Times New Roman" w:hAnsi="Times New Roman" w:eastAsia="宋体" w:cs="Times New Roman"/>
                <w:snapToGrid w:val="0"/>
                <w:color w:val="auto"/>
                <w:sz w:val="24"/>
                <w:szCs w:val="24"/>
                <w:highlight w:val="none"/>
                <w:lang w:val="en-US" w:eastAsia="zh-CN" w:bidi="ar-SA"/>
              </w:rPr>
              <w:t>/h，有组织</w:t>
            </w:r>
            <w:r>
              <w:rPr>
                <w:rFonts w:hint="default" w:ascii="Times New Roman" w:hAnsi="Times New Roman" w:eastAsia="宋体" w:cs="Times New Roman"/>
                <w:color w:val="auto"/>
                <w:kern w:val="2"/>
                <w:sz w:val="24"/>
                <w:szCs w:val="24"/>
                <w:highlight w:val="none"/>
                <w:lang w:val="en-US" w:eastAsia="zh-CN"/>
              </w:rPr>
              <w:t>氨</w:t>
            </w:r>
            <w:r>
              <w:rPr>
                <w:rFonts w:hint="default" w:ascii="Times New Roman" w:hAnsi="Times New Roman" w:eastAsia="宋体" w:cs="Times New Roman"/>
                <w:color w:val="auto"/>
                <w:kern w:val="2"/>
                <w:sz w:val="24"/>
                <w:szCs w:val="24"/>
                <w:highlight w:val="none"/>
              </w:rPr>
              <w:t>和</w:t>
            </w:r>
            <w:r>
              <w:rPr>
                <w:rFonts w:hint="default" w:ascii="Times New Roman" w:hAnsi="Times New Roman" w:eastAsia="宋体" w:cs="Times New Roman"/>
                <w:color w:val="auto"/>
                <w:kern w:val="2"/>
                <w:sz w:val="24"/>
                <w:szCs w:val="24"/>
                <w:highlight w:val="none"/>
                <w:lang w:val="en-US" w:eastAsia="zh-CN"/>
              </w:rPr>
              <w:t>硫化氢</w:t>
            </w:r>
            <w:r>
              <w:rPr>
                <w:rFonts w:hint="default" w:ascii="Times New Roman" w:hAnsi="Times New Roman" w:eastAsia="宋体" w:cs="Times New Roman"/>
                <w:snapToGrid w:val="0"/>
                <w:color w:val="auto"/>
                <w:sz w:val="24"/>
                <w:szCs w:val="24"/>
                <w:highlight w:val="none"/>
                <w:lang w:val="en-US" w:eastAsia="zh-CN" w:bidi="ar-SA"/>
              </w:rPr>
              <w:t>排放速率、排放浓度分别为</w:t>
            </w:r>
            <w:r>
              <w:rPr>
                <w:rFonts w:hint="default" w:ascii="Times New Roman" w:hAnsi="Times New Roman" w:eastAsia="宋体" w:cs="Times New Roman"/>
                <w:i w:val="0"/>
                <w:iCs w:val="0"/>
                <w:color w:val="auto"/>
                <w:sz w:val="24"/>
                <w:szCs w:val="24"/>
                <w:highlight w:val="none"/>
                <w:u w:val="none"/>
                <w:lang w:val="en-US" w:eastAsia="zh-CN" w:bidi="ar-SA"/>
              </w:rPr>
              <w:t>0.0025</w:t>
            </w:r>
            <w:r>
              <w:rPr>
                <w:rFonts w:hint="default" w:ascii="Times New Roman" w:hAnsi="Times New Roman" w:eastAsia="宋体" w:cs="Times New Roman"/>
                <w:snapToGrid w:val="0"/>
                <w:color w:val="auto"/>
                <w:sz w:val="24"/>
                <w:szCs w:val="24"/>
                <w:highlight w:val="none"/>
                <w:lang w:val="en-US" w:eastAsia="zh-CN" w:bidi="ar-SA"/>
              </w:rPr>
              <w:t>kg/h，0.</w:t>
            </w:r>
            <w:r>
              <w:rPr>
                <w:rFonts w:hint="eastAsia" w:cs="Times New Roman"/>
                <w:snapToGrid w:val="0"/>
                <w:color w:val="auto"/>
                <w:sz w:val="24"/>
                <w:szCs w:val="24"/>
                <w:highlight w:val="none"/>
                <w:lang w:val="en-US" w:eastAsia="zh-CN" w:bidi="ar-SA"/>
              </w:rPr>
              <w:t>9</w:t>
            </w:r>
            <w:r>
              <w:rPr>
                <w:rFonts w:hint="default" w:ascii="Times New Roman" w:hAnsi="Times New Roman" w:eastAsia="宋体" w:cs="Times New Roman"/>
                <w:snapToGrid w:val="0"/>
                <w:color w:val="auto"/>
                <w:sz w:val="24"/>
                <w:szCs w:val="24"/>
                <w:highlight w:val="none"/>
                <w:lang w:val="en-US" w:eastAsia="zh-CN" w:bidi="ar-SA"/>
              </w:rPr>
              <w:t>9mg/m</w:t>
            </w:r>
            <w:r>
              <w:rPr>
                <w:rFonts w:hint="default" w:ascii="Times New Roman" w:hAnsi="Times New Roman" w:eastAsia="宋体" w:cs="Times New Roman"/>
                <w:snapToGrid w:val="0"/>
                <w:color w:val="auto"/>
                <w:sz w:val="24"/>
                <w:szCs w:val="24"/>
                <w:highlight w:val="none"/>
                <w:vertAlign w:val="superscript"/>
                <w:lang w:val="en-US" w:eastAsia="zh-CN" w:bidi="ar-SA"/>
              </w:rPr>
              <w:t>3</w:t>
            </w:r>
            <w:r>
              <w:rPr>
                <w:rFonts w:hint="default" w:ascii="Times New Roman" w:hAnsi="Times New Roman" w:eastAsia="宋体" w:cs="Times New Roman"/>
                <w:snapToGrid w:val="0"/>
                <w:color w:val="auto"/>
                <w:sz w:val="24"/>
                <w:szCs w:val="24"/>
                <w:highlight w:val="none"/>
                <w:vertAlign w:val="baseline"/>
                <w:lang w:val="en-US" w:eastAsia="zh-CN" w:bidi="ar-SA"/>
              </w:rPr>
              <w:t>；0.0013kg/h，</w:t>
            </w:r>
            <w:r>
              <w:rPr>
                <w:rFonts w:hint="eastAsia" w:cs="Times New Roman"/>
                <w:snapToGrid w:val="0"/>
                <w:color w:val="auto"/>
                <w:sz w:val="24"/>
                <w:szCs w:val="24"/>
                <w:highlight w:val="none"/>
                <w:vertAlign w:val="baseline"/>
                <w:lang w:val="en-US" w:eastAsia="zh-CN" w:bidi="ar-SA"/>
              </w:rPr>
              <w:t>0.53</w:t>
            </w:r>
            <w:r>
              <w:rPr>
                <w:rFonts w:hint="default" w:ascii="Times New Roman" w:hAnsi="Times New Roman" w:eastAsia="宋体" w:cs="Times New Roman"/>
                <w:snapToGrid w:val="0"/>
                <w:color w:val="auto"/>
                <w:sz w:val="24"/>
                <w:szCs w:val="24"/>
                <w:highlight w:val="none"/>
                <w:lang w:val="en-US" w:eastAsia="zh-CN" w:bidi="ar-SA"/>
              </w:rPr>
              <w:t>mg/m</w:t>
            </w:r>
            <w:r>
              <w:rPr>
                <w:rFonts w:hint="default" w:ascii="Times New Roman" w:hAnsi="Times New Roman" w:eastAsia="宋体" w:cs="Times New Roman"/>
                <w:snapToGrid w:val="0"/>
                <w:color w:val="auto"/>
                <w:sz w:val="24"/>
                <w:szCs w:val="24"/>
                <w:highlight w:val="none"/>
                <w:vertAlign w:val="superscript"/>
                <w:lang w:val="en-US" w:eastAsia="zh-CN" w:bidi="ar-SA"/>
              </w:rPr>
              <w:t>3</w:t>
            </w:r>
            <w:r>
              <w:rPr>
                <w:rFonts w:hint="default" w:ascii="Times New Roman" w:hAnsi="Times New Roman" w:eastAsia="宋体" w:cs="Times New Roman"/>
                <w:snapToGrid w:val="0"/>
                <w:color w:val="auto"/>
                <w:sz w:val="24"/>
                <w:szCs w:val="24"/>
                <w:highlight w:val="none"/>
                <w:lang w:val="en-US" w:eastAsia="zh-CN" w:bidi="ar-SA"/>
              </w:rPr>
              <w:t>，可以满足《恶臭污染物排放标准》（GB 14554-93）表2 恶臭污染物排放标准值</w:t>
            </w:r>
            <w:r>
              <w:rPr>
                <w:rFonts w:hint="default" w:ascii="Times New Roman" w:hAnsi="Times New Roman" w:eastAsia="宋体" w:cs="Times New Roman"/>
                <w:color w:val="auto"/>
                <w:spacing w:val="-11"/>
                <w:kern w:val="2"/>
                <w:sz w:val="24"/>
                <w:szCs w:val="24"/>
                <w:highlight w:val="none"/>
              </w:rPr>
              <w:t>（</w:t>
            </w:r>
            <w:r>
              <w:rPr>
                <w:rFonts w:hint="default" w:ascii="Times New Roman" w:hAnsi="Times New Roman" w:eastAsia="宋体" w:cs="Times New Roman"/>
                <w:color w:val="auto"/>
                <w:spacing w:val="-11"/>
                <w:kern w:val="2"/>
                <w:sz w:val="24"/>
                <w:szCs w:val="24"/>
                <w:highlight w:val="none"/>
                <w:lang w:val="en-US" w:eastAsia="zh-CN"/>
              </w:rPr>
              <w:t>氨4.9kg/h</w:t>
            </w:r>
            <w:r>
              <w:rPr>
                <w:rFonts w:hint="default" w:ascii="Times New Roman" w:hAnsi="Times New Roman" w:eastAsia="宋体" w:cs="Times New Roman"/>
                <w:color w:val="auto"/>
                <w:spacing w:val="-11"/>
                <w:kern w:val="2"/>
                <w:sz w:val="24"/>
                <w:szCs w:val="24"/>
                <w:highlight w:val="none"/>
                <w:vertAlign w:val="baseline"/>
                <w:lang w:val="en-US" w:eastAsia="zh-CN"/>
              </w:rPr>
              <w:t>、硫化氢0.33kg/h</w:t>
            </w:r>
            <w:r>
              <w:rPr>
                <w:rFonts w:hint="default" w:ascii="Times New Roman" w:hAnsi="Times New Roman" w:eastAsia="宋体" w:cs="Times New Roman"/>
                <w:color w:val="auto"/>
                <w:spacing w:val="-11"/>
                <w:kern w:val="2"/>
                <w:sz w:val="24"/>
                <w:szCs w:val="24"/>
                <w:highlight w:val="none"/>
              </w:rPr>
              <w:t>）</w:t>
            </w:r>
            <w:r>
              <w:rPr>
                <w:rFonts w:hint="default" w:ascii="Times New Roman" w:hAnsi="Times New Roman" w:eastAsia="宋体" w:cs="Times New Roman"/>
                <w:snapToGrid w:val="0"/>
                <w:color w:val="auto"/>
                <w:sz w:val="24"/>
                <w:szCs w:val="24"/>
                <w:highlight w:val="none"/>
                <w:lang w:val="en-US" w:eastAsia="zh-CN" w:bidi="ar-SA"/>
              </w:rPr>
              <w:t>。</w:t>
            </w:r>
          </w:p>
          <w:p w14:paraId="4AFEDF33">
            <w:pPr>
              <w:tabs>
                <w:tab w:val="left" w:pos="6295"/>
              </w:tabs>
              <w:overflowPunct/>
              <w:autoSpaceDE/>
              <w:autoSpaceDN/>
              <w:adjustRightInd/>
              <w:snapToGrid/>
              <w:spacing w:before="0" w:after="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eastAsia" w:cs="Times New Roman"/>
                <w:snapToGrid w:val="0"/>
                <w:color w:val="auto"/>
                <w:kern w:val="0"/>
                <w:sz w:val="24"/>
                <w:szCs w:val="24"/>
                <w:highlight w:val="none"/>
                <w:lang w:val="en-US" w:eastAsia="zh-CN" w:bidi="ar-SA"/>
              </w:rPr>
              <w:t>由于收集率为90%，因此10%为无组织逸散量，该</w:t>
            </w:r>
            <w:r>
              <w:rPr>
                <w:rFonts w:hint="default" w:ascii="Times New Roman" w:hAnsi="Times New Roman" w:eastAsia="宋体" w:cs="Times New Roman"/>
                <w:snapToGrid w:val="0"/>
                <w:color w:val="auto"/>
                <w:kern w:val="0"/>
                <w:sz w:val="24"/>
                <w:szCs w:val="24"/>
                <w:highlight w:val="none"/>
                <w:lang w:val="en-US" w:eastAsia="zh-CN" w:bidi="ar-SA"/>
              </w:rPr>
              <w:t>部分无组织逸散</w:t>
            </w:r>
            <w:r>
              <w:rPr>
                <w:rFonts w:hint="default" w:ascii="Times New Roman" w:hAnsi="Times New Roman" w:eastAsia="宋体" w:cs="Times New Roman"/>
                <w:color w:val="auto"/>
                <w:kern w:val="2"/>
                <w:sz w:val="24"/>
                <w:szCs w:val="24"/>
                <w:highlight w:val="none"/>
                <w:lang w:val="en-US" w:eastAsia="zh-CN"/>
              </w:rPr>
              <w:t>氨</w:t>
            </w:r>
            <w:r>
              <w:rPr>
                <w:rFonts w:hint="default" w:ascii="Times New Roman" w:hAnsi="Times New Roman" w:eastAsia="宋体" w:cs="Times New Roman"/>
                <w:color w:val="auto"/>
                <w:kern w:val="2"/>
                <w:sz w:val="24"/>
                <w:szCs w:val="24"/>
                <w:highlight w:val="none"/>
              </w:rPr>
              <w:t>和</w:t>
            </w:r>
            <w:r>
              <w:rPr>
                <w:rFonts w:hint="default" w:ascii="Times New Roman" w:hAnsi="Times New Roman" w:eastAsia="宋体" w:cs="Times New Roman"/>
                <w:color w:val="auto"/>
                <w:kern w:val="2"/>
                <w:sz w:val="24"/>
                <w:szCs w:val="24"/>
                <w:highlight w:val="none"/>
                <w:lang w:val="en-US" w:eastAsia="zh-CN"/>
              </w:rPr>
              <w:t>硫化氢</w:t>
            </w:r>
            <w:r>
              <w:rPr>
                <w:rFonts w:hint="default" w:ascii="Times New Roman" w:hAnsi="Times New Roman" w:eastAsia="宋体" w:cs="Times New Roman"/>
                <w:color w:val="auto"/>
                <w:kern w:val="0"/>
                <w:sz w:val="24"/>
                <w:szCs w:val="24"/>
                <w:highlight w:val="none"/>
                <w:lang w:val="en-US" w:eastAsia="zh-CN" w:bidi="ar-SA"/>
              </w:rPr>
              <w:t>通过加强封闭式作业</w:t>
            </w:r>
            <w:r>
              <w:rPr>
                <w:rFonts w:hint="eastAsia" w:cs="Times New Roman"/>
                <w:color w:val="auto"/>
                <w:kern w:val="0"/>
                <w:sz w:val="24"/>
                <w:szCs w:val="24"/>
                <w:highlight w:val="none"/>
                <w:lang w:val="en-US" w:eastAsia="zh-CN" w:bidi="ar-SA"/>
              </w:rPr>
              <w:t>、喷洒除臭剂</w:t>
            </w:r>
            <w:r>
              <w:rPr>
                <w:rFonts w:hint="default" w:ascii="Times New Roman" w:hAnsi="Times New Roman" w:eastAsia="宋体" w:cs="Times New Roman"/>
                <w:color w:val="auto"/>
                <w:kern w:val="0"/>
                <w:sz w:val="24"/>
                <w:szCs w:val="24"/>
                <w:highlight w:val="none"/>
                <w:lang w:val="en-US" w:eastAsia="zh-CN" w:bidi="ar-SA"/>
              </w:rPr>
              <w:t>等措施进行控制，</w:t>
            </w:r>
            <w:r>
              <w:rPr>
                <w:rFonts w:hint="default" w:ascii="Times New Roman" w:hAnsi="Times New Roman" w:eastAsia="宋体" w:cs="Times New Roman"/>
                <w:color w:val="auto"/>
                <w:sz w:val="24"/>
                <w:szCs w:val="24"/>
                <w:highlight w:val="none"/>
                <w:vertAlign w:val="baseline"/>
                <w:lang w:val="en-US" w:eastAsia="zh-CN" w:bidi="ar-SA"/>
              </w:rPr>
              <w:t>满足</w:t>
            </w:r>
            <w:r>
              <w:rPr>
                <w:rFonts w:hint="default" w:ascii="Times New Roman" w:hAnsi="Times New Roman" w:eastAsia="宋体" w:cs="Times New Roman"/>
                <w:snapToGrid w:val="0"/>
                <w:color w:val="auto"/>
                <w:sz w:val="24"/>
                <w:szCs w:val="24"/>
                <w:highlight w:val="none"/>
                <w:lang w:val="en-US" w:eastAsia="zh-CN" w:bidi="ar-SA"/>
              </w:rPr>
              <w:t>《恶臭污染物排放标准》（GB 14554-93）</w:t>
            </w:r>
            <w:r>
              <w:rPr>
                <w:rFonts w:hint="default" w:ascii="Times New Roman" w:hAnsi="Times New Roman" w:eastAsia="宋体" w:cs="Times New Roman"/>
                <w:color w:val="auto"/>
                <w:sz w:val="24"/>
                <w:szCs w:val="24"/>
                <w:highlight w:val="none"/>
                <w:lang w:val="en-US" w:eastAsia="zh-CN" w:bidi="ar-SA"/>
              </w:rPr>
              <w:t>中无组织排放限值</w:t>
            </w:r>
            <w:r>
              <w:rPr>
                <w:rFonts w:hint="default" w:ascii="Times New Roman" w:hAnsi="Times New Roman" w:eastAsia="宋体" w:cs="Times New Roman"/>
                <w:color w:val="auto"/>
                <w:sz w:val="24"/>
                <w:szCs w:val="24"/>
                <w:highlight w:val="none"/>
                <w:lang w:val="zh-CN" w:eastAsia="zh-CN" w:bidi="ar-SA"/>
              </w:rPr>
              <w:t>（</w:t>
            </w:r>
            <w:r>
              <w:rPr>
                <w:rFonts w:hint="default" w:ascii="Times New Roman" w:hAnsi="Times New Roman" w:eastAsia="宋体" w:cs="Times New Roman"/>
                <w:color w:val="auto"/>
                <w:spacing w:val="-11"/>
                <w:kern w:val="2"/>
                <w:sz w:val="24"/>
                <w:szCs w:val="24"/>
                <w:highlight w:val="none"/>
                <w:lang w:val="en-US" w:eastAsia="zh-CN"/>
              </w:rPr>
              <w:t>氨1.5</w:t>
            </w:r>
            <w:r>
              <w:rPr>
                <w:rFonts w:hint="default" w:ascii="Times New Roman" w:hAnsi="Times New Roman" w:eastAsia="宋体" w:cs="Times New Roman"/>
                <w:color w:val="auto"/>
                <w:spacing w:val="-11"/>
                <w:kern w:val="2"/>
                <w:sz w:val="24"/>
                <w:szCs w:val="24"/>
                <w:highlight w:val="none"/>
              </w:rPr>
              <w:t>mg/</w:t>
            </w:r>
            <w:r>
              <w:rPr>
                <w:rFonts w:hint="default" w:ascii="Times New Roman" w:hAnsi="Times New Roman" w:eastAsia="宋体" w:cs="Times New Roman"/>
                <w:color w:val="auto"/>
                <w:spacing w:val="-11"/>
                <w:kern w:val="2"/>
                <w:sz w:val="24"/>
                <w:szCs w:val="24"/>
                <w:highlight w:val="none"/>
                <w:lang w:val="en-US" w:eastAsia="zh-CN"/>
              </w:rPr>
              <w:t>m</w:t>
            </w:r>
            <w:r>
              <w:rPr>
                <w:rFonts w:hint="default" w:ascii="Times New Roman" w:hAnsi="Times New Roman" w:eastAsia="宋体" w:cs="Times New Roman"/>
                <w:color w:val="auto"/>
                <w:spacing w:val="-11"/>
                <w:kern w:val="2"/>
                <w:sz w:val="24"/>
                <w:szCs w:val="24"/>
                <w:highlight w:val="none"/>
                <w:vertAlign w:val="superscript"/>
                <w:lang w:val="en-US" w:eastAsia="zh-CN"/>
              </w:rPr>
              <w:t>3</w:t>
            </w:r>
            <w:r>
              <w:rPr>
                <w:rFonts w:hint="default" w:ascii="Times New Roman" w:hAnsi="Times New Roman" w:eastAsia="宋体" w:cs="Times New Roman"/>
                <w:color w:val="auto"/>
                <w:spacing w:val="-11"/>
                <w:kern w:val="2"/>
                <w:sz w:val="24"/>
                <w:szCs w:val="24"/>
                <w:highlight w:val="none"/>
                <w:vertAlign w:val="baseline"/>
                <w:lang w:val="en-US" w:eastAsia="zh-CN"/>
              </w:rPr>
              <w:t>、硫化氢0.06</w:t>
            </w:r>
            <w:r>
              <w:rPr>
                <w:rFonts w:hint="default" w:ascii="Times New Roman" w:hAnsi="Times New Roman" w:eastAsia="宋体" w:cs="Times New Roman"/>
                <w:color w:val="auto"/>
                <w:spacing w:val="-11"/>
                <w:kern w:val="2"/>
                <w:sz w:val="24"/>
                <w:szCs w:val="24"/>
                <w:highlight w:val="none"/>
              </w:rPr>
              <w:t>mg/</w:t>
            </w:r>
            <w:r>
              <w:rPr>
                <w:rFonts w:hint="default" w:ascii="Times New Roman" w:hAnsi="Times New Roman" w:eastAsia="宋体" w:cs="Times New Roman"/>
                <w:color w:val="auto"/>
                <w:spacing w:val="-11"/>
                <w:kern w:val="2"/>
                <w:sz w:val="24"/>
                <w:szCs w:val="24"/>
                <w:highlight w:val="none"/>
                <w:lang w:val="en-US" w:eastAsia="zh-CN"/>
              </w:rPr>
              <w:t>m</w:t>
            </w:r>
            <w:r>
              <w:rPr>
                <w:rFonts w:hint="default" w:ascii="Times New Roman" w:hAnsi="Times New Roman" w:eastAsia="宋体" w:cs="Times New Roman"/>
                <w:color w:val="auto"/>
                <w:spacing w:val="-11"/>
                <w:kern w:val="2"/>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zh-CN" w:eastAsia="zh-CN" w:bidi="ar-SA"/>
              </w:rPr>
              <w:t>）</w:t>
            </w:r>
            <w:r>
              <w:rPr>
                <w:rFonts w:hint="default" w:ascii="Times New Roman" w:hAnsi="Times New Roman" w:eastAsia="宋体" w:cs="Times New Roman"/>
                <w:color w:val="auto"/>
                <w:kern w:val="0"/>
                <w:sz w:val="24"/>
                <w:szCs w:val="24"/>
                <w:highlight w:val="none"/>
                <w:lang w:val="en-US" w:eastAsia="zh-CN" w:bidi="ar-SA"/>
              </w:rPr>
              <w:t>。</w:t>
            </w:r>
          </w:p>
          <w:p w14:paraId="6A4CD017">
            <w:pPr>
              <w:tabs>
                <w:tab w:val="left" w:pos="6295"/>
              </w:tabs>
              <w:overflowPunct/>
              <w:autoSpaceDE/>
              <w:autoSpaceDN/>
              <w:adjustRightInd/>
              <w:snapToGrid/>
              <w:spacing w:before="0" w:after="0" w:line="360" w:lineRule="auto"/>
              <w:ind w:left="0" w:right="0" w:firstLine="480" w:firstLineChars="200"/>
              <w:jc w:val="both"/>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snapToGrid w:val="0"/>
                <w:color w:val="auto"/>
                <w:sz w:val="24"/>
                <w:szCs w:val="24"/>
                <w:highlight w:val="none"/>
                <w:lang w:val="en-US" w:eastAsia="zh-CN" w:bidi="ar-SA"/>
              </w:rPr>
              <w:t>少量其他恶臭污染物以臭气浓度计，经收集装置收集后，经废气处理装置净化处理，最终由15m排气筒高空排放。少量无组织臭气浓度通过加强封闭式作业</w:t>
            </w:r>
            <w:r>
              <w:rPr>
                <w:rFonts w:hint="eastAsia" w:cs="Times New Roman"/>
                <w:snapToGrid w:val="0"/>
                <w:color w:val="auto"/>
                <w:sz w:val="24"/>
                <w:szCs w:val="24"/>
                <w:highlight w:val="none"/>
                <w:lang w:val="en-US" w:eastAsia="zh-CN" w:bidi="ar-SA"/>
              </w:rPr>
              <w:t>、喷洒除臭剂</w:t>
            </w:r>
            <w:r>
              <w:rPr>
                <w:rFonts w:hint="default" w:ascii="Times New Roman" w:hAnsi="Times New Roman" w:eastAsia="宋体" w:cs="Times New Roman"/>
                <w:snapToGrid w:val="0"/>
                <w:color w:val="auto"/>
                <w:sz w:val="24"/>
                <w:szCs w:val="24"/>
                <w:highlight w:val="none"/>
                <w:lang w:val="en-US" w:eastAsia="zh-CN" w:bidi="ar-SA"/>
              </w:rPr>
              <w:t>控制，废气产生量较少，臭气浓度产生量以定性分析，不进行量化计算。</w:t>
            </w:r>
          </w:p>
          <w:p w14:paraId="106E523A">
            <w:pPr>
              <w:widowControl w:val="0"/>
              <w:autoSpaceDE w:val="0"/>
              <w:autoSpaceDN w:val="0"/>
              <w:adjustRightInd w:val="0"/>
              <w:spacing w:line="360" w:lineRule="auto"/>
              <w:ind w:firstLine="480" w:firstLineChars="200"/>
              <w:rPr>
                <w:rFonts w:hint="default" w:ascii="Times New Roman" w:hAnsi="Times New Roman" w:eastAsia="宋体" w:cs="Times New Roman"/>
                <w:snapToGrid w:val="0"/>
                <w:color w:val="auto"/>
                <w:sz w:val="24"/>
                <w:szCs w:val="24"/>
                <w:highlight w:val="none"/>
                <w:lang w:val="en-US" w:eastAsia="zh-CN" w:bidi="ar-SA"/>
              </w:rPr>
            </w:pPr>
            <w:r>
              <w:rPr>
                <w:rFonts w:hint="default" w:ascii="Times New Roman" w:hAnsi="Times New Roman" w:eastAsia="宋体" w:cs="Times New Roman"/>
                <w:snapToGrid w:val="0"/>
                <w:color w:val="auto"/>
                <w:sz w:val="24"/>
                <w:szCs w:val="24"/>
                <w:highlight w:val="none"/>
                <w:lang w:val="en-US" w:eastAsia="zh-CN" w:bidi="ar-SA"/>
              </w:rPr>
              <w:t>⑥</w:t>
            </w:r>
            <w:r>
              <w:rPr>
                <w:rFonts w:hint="eastAsia" w:ascii="Times New Roman" w:hAnsi="Times New Roman" w:eastAsia="宋体" w:cs="Times New Roman"/>
                <w:snapToGrid w:val="0"/>
                <w:color w:val="auto"/>
                <w:sz w:val="24"/>
                <w:szCs w:val="24"/>
                <w:highlight w:val="none"/>
                <w:lang w:val="en-US" w:eastAsia="zh-CN" w:bidi="ar-SA"/>
              </w:rPr>
              <w:t>成品仓库堆存</w:t>
            </w:r>
            <w:r>
              <w:rPr>
                <w:rFonts w:hint="default" w:ascii="Times New Roman" w:hAnsi="Times New Roman" w:eastAsia="宋体" w:cs="Times New Roman"/>
                <w:snapToGrid w:val="0"/>
                <w:color w:val="auto"/>
                <w:sz w:val="24"/>
                <w:szCs w:val="24"/>
                <w:highlight w:val="none"/>
                <w:lang w:val="en-US" w:eastAsia="zh-CN" w:bidi="ar-SA"/>
              </w:rPr>
              <w:t>粉尘</w:t>
            </w:r>
          </w:p>
          <w:p w14:paraId="566AFD4E">
            <w:pPr>
              <w:pStyle w:val="47"/>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根据《排放源统计调查产排污核算方法和系数手册》（公告2021年第24号）中固体物料堆存颗粒物产排污核算系数手册，工业企业固体物料堆存颗粒物包括装卸场尘和风蚀扬尘，颗粒物产生量核算：</w:t>
            </w:r>
          </w:p>
          <w:p w14:paraId="6C46DD56">
            <w:pPr>
              <w:pStyle w:val="47"/>
              <w:keepNext w:val="0"/>
              <w:keepLines w:val="0"/>
              <w:pageBreakBefore w:val="0"/>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P=ZCy+FCy={Nc×D×（a/b）+2×Ef×S}×10</w:t>
            </w:r>
            <w:r>
              <w:rPr>
                <w:rFonts w:hint="default" w:ascii="Times New Roman" w:hAnsi="Times New Roman" w:eastAsia="宋体" w:cs="Times New Roman"/>
                <w:color w:val="auto"/>
                <w:highlight w:val="none"/>
                <w:vertAlign w:val="superscript"/>
                <w:lang w:val="en-US" w:eastAsia="zh-CN"/>
              </w:rPr>
              <w:t>-3</w:t>
            </w:r>
          </w:p>
          <w:p w14:paraId="67FF9C16">
            <w:pPr>
              <w:pStyle w:val="47"/>
              <w:keepNext w:val="0"/>
              <w:keepLines w:val="0"/>
              <w:pageBreakBefore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式中：P指颗粒物产生量（单位：吨）；</w:t>
            </w:r>
          </w:p>
          <w:p w14:paraId="0845D66F">
            <w:pPr>
              <w:pStyle w:val="47"/>
              <w:keepNext w:val="0"/>
              <w:keepLines w:val="0"/>
              <w:pageBreakBefore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ZCy指装卸扬尘产生量（单位：吨）；</w:t>
            </w:r>
          </w:p>
          <w:p w14:paraId="23E166A4">
            <w:pPr>
              <w:pStyle w:val="47"/>
              <w:keepNext w:val="0"/>
              <w:keepLines w:val="0"/>
              <w:pageBreakBefore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FCy指风蚀扬尘产生量（单位：吨）</w:t>
            </w:r>
            <w:r>
              <w:rPr>
                <w:rFonts w:hint="default" w:ascii="Times New Roman" w:hAnsi="Times New Roman" w:eastAsia="宋体" w:cs="Times New Roman"/>
                <w:color w:val="auto"/>
                <w:highlight w:val="none"/>
                <w:lang w:val="en-US" w:eastAsia="zh-CN"/>
              </w:rPr>
              <w:t>由于本项目采取</w:t>
            </w:r>
            <w:r>
              <w:rPr>
                <w:rFonts w:hint="eastAsia" w:ascii="Times New Roman" w:hAnsi="Times New Roman" w:eastAsia="宋体" w:cs="Times New Roman"/>
                <w:color w:val="auto"/>
                <w:highlight w:val="none"/>
                <w:lang w:val="en-US" w:eastAsia="zh-CN"/>
              </w:rPr>
              <w:t>封闭式</w:t>
            </w:r>
            <w:r>
              <w:rPr>
                <w:rFonts w:hint="default" w:ascii="Times New Roman" w:hAnsi="Times New Roman" w:eastAsia="宋体" w:cs="Times New Roman"/>
                <w:color w:val="auto"/>
                <w:highlight w:val="none"/>
                <w:lang w:val="en-US" w:eastAsia="zh-CN"/>
              </w:rPr>
              <w:t>仓储，因此风量为0，该部分按0计</w:t>
            </w:r>
            <w:r>
              <w:rPr>
                <w:rFonts w:hint="default" w:ascii="Times New Roman" w:hAnsi="Times New Roman" w:eastAsia="宋体" w:cs="Times New Roman"/>
                <w:color w:val="auto"/>
                <w:highlight w:val="none"/>
              </w:rPr>
              <w:t>；</w:t>
            </w:r>
          </w:p>
          <w:p w14:paraId="36279708">
            <w:pPr>
              <w:pStyle w:val="47"/>
              <w:keepNext w:val="0"/>
              <w:keepLines w:val="0"/>
              <w:pageBreakBefore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Nc指年物料运载车次（单位：车）；</w:t>
            </w:r>
          </w:p>
          <w:p w14:paraId="2746E44D">
            <w:pPr>
              <w:pStyle w:val="47"/>
              <w:keepNext w:val="0"/>
              <w:keepLines w:val="0"/>
              <w:pageBreakBefore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D指单车平均运载量（单位：吨/车）；</w:t>
            </w:r>
          </w:p>
          <w:p w14:paraId="127EE4A9">
            <w:pPr>
              <w:pStyle w:val="47"/>
              <w:keepNext w:val="0"/>
              <w:keepLines w:val="0"/>
              <w:pageBreakBefore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a/b</w:t>
            </w:r>
            <w:r>
              <w:rPr>
                <w:rFonts w:hint="default" w:ascii="Times New Roman" w:hAnsi="Times New Roman" w:eastAsia="宋体" w:cs="Times New Roman"/>
                <w:color w:val="auto"/>
                <w:highlight w:val="none"/>
              </w:rPr>
              <w:t>)指装卸扬尘概化系数（单位：千克/吨）</w:t>
            </w:r>
            <w:r>
              <w:rPr>
                <w:rFonts w:hint="default" w:ascii="Times New Roman" w:hAnsi="Times New Roman" w:eastAsia="宋体" w:cs="Times New Roman"/>
                <w:color w:val="auto"/>
                <w:highlight w:val="none"/>
                <w:lang w:eastAsia="zh-CN"/>
              </w:rPr>
              <w:t>；</w:t>
            </w:r>
          </w:p>
          <w:p w14:paraId="3EEA3512">
            <w:pPr>
              <w:pStyle w:val="47"/>
              <w:keepNext w:val="0"/>
              <w:keepLines w:val="0"/>
              <w:pageBreakBefore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a指各省风速概化系数</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新疆维吾尔自治区为0.0011</w:t>
            </w:r>
            <w:r>
              <w:rPr>
                <w:rFonts w:hint="default" w:ascii="Times New Roman" w:hAnsi="Times New Roman" w:eastAsia="宋体" w:cs="Times New Roman"/>
                <w:color w:val="auto"/>
                <w:highlight w:val="none"/>
                <w:lang w:eastAsia="zh-CN"/>
              </w:rPr>
              <w:t>；</w:t>
            </w:r>
          </w:p>
          <w:p w14:paraId="2B272CDF">
            <w:pPr>
              <w:pStyle w:val="47"/>
              <w:keepNext w:val="0"/>
              <w:keepLines w:val="0"/>
              <w:pageBreakBefore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b指物料含水率概化系数，</w:t>
            </w:r>
            <w:r>
              <w:rPr>
                <w:rFonts w:hint="default" w:ascii="Times New Roman" w:hAnsi="Times New Roman" w:eastAsia="宋体" w:cs="Times New Roman"/>
                <w:color w:val="auto"/>
                <w:highlight w:val="none"/>
                <w:lang w:val="en-US" w:eastAsia="zh-CN"/>
              </w:rPr>
              <w:t>本项目物料为：</w:t>
            </w:r>
          </w:p>
          <w:p w14:paraId="07AD411F">
            <w:pPr>
              <w:pStyle w:val="47"/>
              <w:keepNext w:val="0"/>
              <w:keepLines w:val="0"/>
              <w:pageBreakBefore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秸秆、成品肥料（参考表土）b=0.0151</w:t>
            </w:r>
            <w:r>
              <w:rPr>
                <w:rFonts w:hint="default" w:ascii="Times New Roman" w:hAnsi="Times New Roman" w:eastAsia="宋体" w:cs="Times New Roman"/>
                <w:color w:val="auto"/>
                <w:highlight w:val="none"/>
              </w:rPr>
              <w:t>；</w:t>
            </w:r>
          </w:p>
          <w:p w14:paraId="17CB87D8">
            <w:pPr>
              <w:pStyle w:val="47"/>
              <w:keepNext w:val="0"/>
              <w:keepLines w:val="0"/>
              <w:pageBreakBefore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Ef指堆场风蚀扬尘概化系数，</w:t>
            </w:r>
            <w:r>
              <w:rPr>
                <w:rFonts w:hint="default" w:ascii="Times New Roman" w:hAnsi="Times New Roman" w:eastAsia="宋体" w:cs="Times New Roman"/>
                <w:color w:val="auto"/>
                <w:highlight w:val="none"/>
                <w:lang w:val="en-US" w:eastAsia="zh-CN"/>
              </w:rPr>
              <w:t>本项目物料为：</w:t>
            </w:r>
          </w:p>
          <w:p w14:paraId="23A8EACE">
            <w:pPr>
              <w:pStyle w:val="47"/>
              <w:keepNext w:val="0"/>
              <w:keepLines w:val="0"/>
              <w:pageBreakBefore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成品肥料（参考表土）为41.5808</w:t>
            </w:r>
            <w:r>
              <w:rPr>
                <w:rFonts w:hint="default" w:ascii="Times New Roman" w:hAnsi="Times New Roman" w:eastAsia="宋体" w:cs="Times New Roman"/>
                <w:color w:val="auto"/>
                <w:highlight w:val="none"/>
              </w:rPr>
              <w:t>（单位：千克/平方米）；</w:t>
            </w:r>
          </w:p>
          <w:p w14:paraId="4775B9C8">
            <w:pPr>
              <w:pStyle w:val="47"/>
              <w:keepNext w:val="0"/>
              <w:keepLines w:val="0"/>
              <w:pageBreakBefore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S指堆场占地面积（单位：平方米）</w:t>
            </w:r>
            <w:r>
              <w:rPr>
                <w:rFonts w:hint="default" w:ascii="Times New Roman" w:hAnsi="Times New Roman" w:eastAsia="宋体" w:cs="Times New Roman"/>
                <w:color w:val="auto"/>
                <w:highlight w:val="none"/>
                <w:lang w:eastAsia="zh-CN"/>
              </w:rPr>
              <w:t>：</w:t>
            </w:r>
          </w:p>
          <w:p w14:paraId="56BB508E">
            <w:pPr>
              <w:pStyle w:val="47"/>
              <w:keepNext w:val="0"/>
              <w:keepLines w:val="0"/>
              <w:pageBreakBefore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颗粒物排放量核算：</w:t>
            </w:r>
          </w:p>
          <w:p w14:paraId="3B673C6A">
            <w:pPr>
              <w:pStyle w:val="47"/>
              <w:keepNext w:val="0"/>
              <w:keepLines w:val="0"/>
              <w:pageBreakBefore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工业企业固体物料堆场颗粒物排放量核算公式如下：</w:t>
            </w:r>
          </w:p>
          <w:p w14:paraId="5D5E4433">
            <w:pPr>
              <w:pStyle w:val="47"/>
              <w:keepNext w:val="0"/>
              <w:keepLines w:val="0"/>
              <w:pageBreakBefore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Uc=P×（1-Cm）×（1-Tm）</w:t>
            </w:r>
          </w:p>
          <w:p w14:paraId="21087E12">
            <w:pPr>
              <w:pStyle w:val="47"/>
              <w:keepNext w:val="0"/>
              <w:keepLines w:val="0"/>
              <w:pageBreakBefore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式中：P指颗粒物产生量（单位：吨）；</w:t>
            </w:r>
          </w:p>
          <w:p w14:paraId="0F0A7D6B">
            <w:pPr>
              <w:pStyle w:val="47"/>
              <w:keepNext w:val="0"/>
              <w:keepLines w:val="0"/>
              <w:pageBreakBefore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Uc指颗粒物排放量（单位：吨）；</w:t>
            </w:r>
          </w:p>
          <w:p w14:paraId="74BD2839">
            <w:pPr>
              <w:pStyle w:val="47"/>
              <w:keepNext w:val="0"/>
              <w:keepLines w:val="0"/>
              <w:pageBreakBefore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Cm指颗粒物控制措施控制效率（单位：%），</w:t>
            </w:r>
            <w:r>
              <w:rPr>
                <w:rFonts w:hint="default" w:ascii="Times New Roman" w:hAnsi="Times New Roman" w:eastAsia="宋体" w:cs="Times New Roman"/>
                <w:color w:val="auto"/>
                <w:highlight w:val="none"/>
                <w:lang w:val="en-US" w:eastAsia="zh-CN"/>
              </w:rPr>
              <w:t>无措施</w:t>
            </w:r>
            <w:r>
              <w:rPr>
                <w:rFonts w:hint="default" w:ascii="Times New Roman" w:hAnsi="Times New Roman" w:eastAsia="宋体" w:cs="Times New Roman"/>
                <w:color w:val="auto"/>
                <w:highlight w:val="none"/>
              </w:rPr>
              <w:t>；</w:t>
            </w:r>
          </w:p>
          <w:p w14:paraId="323C7586">
            <w:pPr>
              <w:pStyle w:val="47"/>
              <w:keepNext w:val="0"/>
              <w:keepLines w:val="0"/>
              <w:pageBreakBefore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Tm指堆场类型控制效率（单位：%），</w:t>
            </w:r>
            <w:r>
              <w:rPr>
                <w:rFonts w:hint="default" w:ascii="Times New Roman" w:hAnsi="Times New Roman" w:eastAsia="宋体" w:cs="Times New Roman"/>
                <w:color w:val="auto"/>
                <w:highlight w:val="none"/>
                <w:lang w:val="en-US" w:eastAsia="zh-CN"/>
              </w:rPr>
              <w:t>本项目为密闭式（附录5：堆场类型控制效率，密闭式为99%）计算处理效率为99%。</w:t>
            </w:r>
          </w:p>
          <w:p w14:paraId="0C47D58E">
            <w:pPr>
              <w:pStyle w:val="47"/>
              <w:keepNext w:val="0"/>
              <w:keepLines w:val="0"/>
              <w:pageBreakBefore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成品堆场</w:t>
            </w:r>
            <w:r>
              <w:rPr>
                <w:rFonts w:hint="default" w:ascii="Times New Roman" w:hAnsi="Times New Roman" w:eastAsia="宋体" w:cs="Times New Roman"/>
                <w:color w:val="auto"/>
                <w:highlight w:val="none"/>
              </w:rPr>
              <w:t>颗粒物</w:t>
            </w:r>
            <w:r>
              <w:rPr>
                <w:rFonts w:hint="default" w:ascii="Times New Roman" w:hAnsi="Times New Roman" w:eastAsia="宋体" w:cs="Times New Roman"/>
                <w:color w:val="auto"/>
                <w:highlight w:val="none"/>
                <w:lang w:val="en-US" w:eastAsia="zh-CN"/>
              </w:rPr>
              <w:t>产生量为0.730t/a，因此</w:t>
            </w:r>
            <w:r>
              <w:rPr>
                <w:rFonts w:hint="default" w:ascii="Times New Roman" w:hAnsi="Times New Roman" w:eastAsia="宋体" w:cs="Times New Roman"/>
                <w:color w:val="auto"/>
                <w:highlight w:val="none"/>
              </w:rPr>
              <w:t>排放量</w:t>
            </w:r>
            <w:r>
              <w:rPr>
                <w:rFonts w:hint="default" w:ascii="Times New Roman" w:hAnsi="Times New Roman" w:eastAsia="宋体" w:cs="Times New Roman"/>
                <w:color w:val="auto"/>
                <w:highlight w:val="none"/>
                <w:lang w:val="en-US" w:eastAsia="zh-CN"/>
              </w:rPr>
              <w:t>为0.0073t/a</w:t>
            </w:r>
            <w:r>
              <w:rPr>
                <w:rFonts w:hint="default" w:ascii="Times New Roman" w:hAnsi="Times New Roman" w:eastAsia="宋体" w:cs="Times New Roman"/>
                <w:color w:val="auto"/>
                <w:highlight w:val="none"/>
              </w:rPr>
              <w:t>。</w:t>
            </w:r>
          </w:p>
          <w:p w14:paraId="3258484F">
            <w:pPr>
              <w:widowControl w:val="0"/>
              <w:autoSpaceDE w:val="0"/>
              <w:autoSpaceDN w:val="0"/>
              <w:adjustRightInd w:val="0"/>
              <w:spacing w:line="360" w:lineRule="auto"/>
              <w:ind w:firstLine="480" w:firstLineChars="200"/>
              <w:rPr>
                <w:rFonts w:hint="default" w:ascii="Times New Roman" w:hAnsi="Times New Roman" w:eastAsia="宋体" w:cs="Times New Roman"/>
                <w:snapToGrid w:val="0"/>
                <w:color w:val="auto"/>
                <w:sz w:val="24"/>
                <w:szCs w:val="24"/>
                <w:highlight w:val="none"/>
                <w:lang w:val="en-US" w:eastAsia="zh-CN" w:bidi="ar-SA"/>
              </w:rPr>
            </w:pPr>
            <w:r>
              <w:rPr>
                <w:rFonts w:hint="default" w:ascii="Times New Roman" w:hAnsi="Times New Roman" w:eastAsia="宋体" w:cs="Times New Roman"/>
                <w:snapToGrid w:val="0"/>
                <w:color w:val="auto"/>
                <w:sz w:val="24"/>
                <w:szCs w:val="24"/>
                <w:highlight w:val="none"/>
                <w:lang w:val="en-US" w:eastAsia="zh-CN" w:bidi="ar-SA"/>
              </w:rPr>
              <w:t>⑦筛分粉尘</w:t>
            </w:r>
          </w:p>
          <w:p w14:paraId="63702E67">
            <w:pPr>
              <w:overflowPunct w:val="0"/>
              <w:autoSpaceDE w:val="0"/>
              <w:autoSpaceDN w:val="0"/>
              <w:bidi w:val="0"/>
              <w:adjustRightInd w:val="0"/>
              <w:snapToGrid w:val="0"/>
              <w:spacing w:line="500" w:lineRule="exact"/>
              <w:ind w:firstLine="480" w:firstLineChars="200"/>
              <w:rPr>
                <w:rFonts w:hint="default" w:ascii="Times New Roman" w:hAnsi="Times New Roman" w:eastAsia="宋体" w:cs="Times New Roman"/>
                <w:color w:val="auto"/>
                <w:kern w:val="2"/>
                <w:szCs w:val="24"/>
                <w:lang w:val="en-US" w:eastAsia="zh-CN"/>
              </w:rPr>
            </w:pPr>
            <w:r>
              <w:rPr>
                <w:rFonts w:hint="default" w:ascii="Times New Roman" w:hAnsi="Times New Roman" w:eastAsia="宋体" w:cs="Times New Roman"/>
                <w:color w:val="auto"/>
                <w:kern w:val="2"/>
                <w:szCs w:val="24"/>
                <w:lang w:val="en-US" w:eastAsia="zh-CN"/>
              </w:rPr>
              <w:t>根据</w:t>
            </w:r>
            <w:r>
              <w:rPr>
                <w:rFonts w:hint="default" w:ascii="Times New Roman" w:hAnsi="Times New Roman" w:eastAsia="宋体" w:cs="Times New Roman"/>
                <w:snapToGrid w:val="0"/>
                <w:color w:val="auto"/>
                <w:sz w:val="24"/>
                <w:szCs w:val="24"/>
                <w:highlight w:val="none"/>
                <w:lang w:val="en-US" w:eastAsia="zh-CN" w:bidi="ar-SA"/>
              </w:rPr>
              <w:t>《排放源统计调查产排污核算方法和系数手册》2625 有机肥及微生物肥制造行业系数表</w:t>
            </w:r>
            <w:r>
              <w:rPr>
                <w:rFonts w:hint="default" w:ascii="Times New Roman" w:hAnsi="Times New Roman" w:eastAsia="宋体" w:cs="Times New Roman"/>
                <w:color w:val="auto"/>
                <w:kern w:val="2"/>
                <w:szCs w:val="24"/>
                <w:lang w:val="en-US" w:eastAsia="zh-CN"/>
              </w:rPr>
              <w:t>，</w:t>
            </w:r>
            <w:r>
              <w:rPr>
                <w:rFonts w:hint="default" w:ascii="Times New Roman" w:hAnsi="Times New Roman" w:eastAsia="宋体" w:cs="Times New Roman"/>
                <w:color w:val="auto"/>
                <w:sz w:val="24"/>
                <w:szCs w:val="24"/>
              </w:rPr>
              <w:t>前处理、后处理混配/混配造粒</w:t>
            </w:r>
            <w:r>
              <w:rPr>
                <w:rFonts w:hint="default" w:ascii="Times New Roman" w:hAnsi="Times New Roman" w:eastAsia="宋体" w:cs="Times New Roman"/>
                <w:color w:val="auto"/>
                <w:sz w:val="24"/>
                <w:szCs w:val="24"/>
                <w:lang w:val="en-US" w:eastAsia="zh-CN"/>
              </w:rPr>
              <w:t>所有规模</w:t>
            </w:r>
            <w:r>
              <w:rPr>
                <w:rFonts w:hint="default" w:ascii="Times New Roman" w:hAnsi="Times New Roman" w:eastAsia="宋体" w:cs="Times New Roman"/>
                <w:color w:val="auto"/>
                <w:kern w:val="2"/>
                <w:szCs w:val="24"/>
                <w:lang w:val="en-US" w:eastAsia="zh-CN"/>
              </w:rPr>
              <w:t>产污系数为0.37kg/t-产品，本项目加工后产品共10000t/a，因此筛分粉尘共3.7t/a。</w:t>
            </w:r>
          </w:p>
          <w:p w14:paraId="11C9BD9A">
            <w:pPr>
              <w:widowControl w:val="0"/>
              <w:autoSpaceDE w:val="0"/>
              <w:autoSpaceDN w:val="0"/>
              <w:adjustRightInd w:val="0"/>
              <w:spacing w:line="360" w:lineRule="auto"/>
              <w:ind w:firstLine="480" w:firstLineChars="200"/>
              <w:rPr>
                <w:rFonts w:hint="default" w:ascii="Times New Roman" w:hAnsi="Times New Roman" w:eastAsia="宋体" w:cs="Times New Roman"/>
                <w:snapToGrid w:val="0"/>
                <w:color w:val="auto"/>
                <w:sz w:val="24"/>
                <w:szCs w:val="24"/>
                <w:highlight w:val="none"/>
                <w:lang w:val="en-US" w:eastAsia="zh-CN" w:bidi="ar-SA"/>
              </w:rPr>
            </w:pPr>
            <w:r>
              <w:rPr>
                <w:rFonts w:hint="default" w:ascii="Times New Roman" w:hAnsi="Times New Roman" w:eastAsia="宋体" w:cs="Times New Roman"/>
                <w:snapToGrid w:val="0"/>
                <w:color w:val="auto"/>
                <w:sz w:val="24"/>
                <w:szCs w:val="24"/>
                <w:highlight w:val="none"/>
                <w:lang w:val="en-US" w:eastAsia="zh-CN" w:bidi="ar-SA"/>
              </w:rPr>
              <w:t>⑧包装粉尘</w:t>
            </w:r>
          </w:p>
          <w:p w14:paraId="6AFFEF2D">
            <w:pPr>
              <w:overflowPunct w:val="0"/>
              <w:autoSpaceDE w:val="0"/>
              <w:autoSpaceDN w:val="0"/>
              <w:bidi w:val="0"/>
              <w:adjustRightInd w:val="0"/>
              <w:snapToGrid w:val="0"/>
              <w:spacing w:line="500" w:lineRule="exact"/>
              <w:ind w:firstLine="480" w:firstLineChars="200"/>
              <w:rPr>
                <w:rFonts w:hint="default" w:ascii="Times New Roman" w:hAnsi="Times New Roman" w:eastAsia="宋体" w:cs="Times New Roman"/>
                <w:color w:val="auto"/>
                <w:kern w:val="2"/>
                <w:szCs w:val="24"/>
                <w:lang w:val="en-US" w:eastAsia="zh-CN"/>
              </w:rPr>
            </w:pPr>
            <w:r>
              <w:rPr>
                <w:rFonts w:hint="default" w:ascii="Times New Roman" w:hAnsi="Times New Roman" w:eastAsia="宋体" w:cs="Times New Roman"/>
                <w:color w:val="auto"/>
                <w:kern w:val="2"/>
                <w:szCs w:val="24"/>
                <w:lang w:val="en-US" w:eastAsia="zh-CN"/>
              </w:rPr>
              <w:t>根据</w:t>
            </w:r>
            <w:r>
              <w:rPr>
                <w:rFonts w:hint="default" w:ascii="Times New Roman" w:hAnsi="Times New Roman" w:eastAsia="宋体" w:cs="Times New Roman"/>
                <w:snapToGrid w:val="0"/>
                <w:color w:val="auto"/>
                <w:sz w:val="24"/>
                <w:szCs w:val="24"/>
                <w:highlight w:val="none"/>
                <w:lang w:val="en-US" w:eastAsia="zh-CN" w:bidi="ar-SA"/>
              </w:rPr>
              <w:t>《排放源统计调查产排污核算方法和系数手册》2625 有机肥及微生物肥制造行业系数表</w:t>
            </w:r>
            <w:r>
              <w:rPr>
                <w:rFonts w:hint="default" w:ascii="Times New Roman" w:hAnsi="Times New Roman" w:eastAsia="宋体" w:cs="Times New Roman"/>
                <w:color w:val="auto"/>
                <w:kern w:val="2"/>
                <w:szCs w:val="24"/>
                <w:lang w:val="en-US" w:eastAsia="zh-CN"/>
              </w:rPr>
              <w:t>，</w:t>
            </w:r>
            <w:r>
              <w:rPr>
                <w:rFonts w:hint="default" w:ascii="Times New Roman" w:hAnsi="Times New Roman" w:eastAsia="宋体" w:cs="Times New Roman"/>
                <w:color w:val="auto"/>
                <w:sz w:val="24"/>
                <w:szCs w:val="24"/>
              </w:rPr>
              <w:t>前处理、后处理混配/混配造粒</w:t>
            </w:r>
            <w:r>
              <w:rPr>
                <w:rFonts w:hint="default" w:ascii="Times New Roman" w:hAnsi="Times New Roman" w:eastAsia="宋体" w:cs="Times New Roman"/>
                <w:color w:val="auto"/>
                <w:sz w:val="24"/>
                <w:szCs w:val="24"/>
                <w:lang w:val="en-US" w:eastAsia="zh-CN"/>
              </w:rPr>
              <w:t>所有规模</w:t>
            </w:r>
            <w:r>
              <w:rPr>
                <w:rFonts w:hint="default" w:ascii="Times New Roman" w:hAnsi="Times New Roman" w:eastAsia="宋体" w:cs="Times New Roman"/>
                <w:color w:val="auto"/>
                <w:kern w:val="2"/>
                <w:szCs w:val="24"/>
                <w:lang w:val="en-US" w:eastAsia="zh-CN"/>
              </w:rPr>
              <w:t>产污系数为0.37kg/t-产品，本项目加工后产品共10000t/a，因此包装粉尘共3.7t/a。</w:t>
            </w:r>
          </w:p>
          <w:p w14:paraId="2683F2B5">
            <w:pPr>
              <w:widowControl w:val="0"/>
              <w:autoSpaceDE w:val="0"/>
              <w:autoSpaceDN w:val="0"/>
              <w:adjustRightInd w:val="0"/>
              <w:spacing w:line="360" w:lineRule="auto"/>
              <w:ind w:firstLine="480" w:firstLineChars="200"/>
              <w:rPr>
                <w:rFonts w:hint="default" w:ascii="Times New Roman" w:hAnsi="Times New Roman" w:eastAsia="宋体" w:cs="Times New Roman"/>
                <w:color w:val="0000FF"/>
                <w:sz w:val="24"/>
                <w:szCs w:val="24"/>
                <w:lang w:val="en-US" w:eastAsia="zh-CN" w:bidi="ar-SA"/>
              </w:rPr>
            </w:pPr>
            <w:r>
              <w:rPr>
                <w:rFonts w:hint="default" w:ascii="Times New Roman" w:hAnsi="Times New Roman" w:eastAsia="宋体" w:cs="Times New Roman"/>
                <w:color w:val="0000FF"/>
                <w:sz w:val="24"/>
                <w:szCs w:val="24"/>
                <w:lang w:val="en-US" w:eastAsia="zh-CN" w:bidi="ar-SA"/>
              </w:rPr>
              <w:t>本项目筛分工段、包装工段分别配套一套袋式除尘系统，设备均有固定排放管直接与风管连接，设备整体密闭只留产品进出口，且进出口处有废气收集措施，收集系统运行时周边基本无散发。筛分工段、包装工段粉尘</w:t>
            </w:r>
            <w:r>
              <w:rPr>
                <w:rFonts w:hint="default" w:ascii="Times New Roman" w:hAnsi="Times New Roman" w:eastAsia="宋体" w:cs="Times New Roman"/>
                <w:snapToGrid w:val="0"/>
                <w:color w:val="0000FF"/>
                <w:sz w:val="24"/>
                <w:szCs w:val="24"/>
                <w:highlight w:val="none"/>
                <w:lang w:val="en-US" w:eastAsia="zh-CN" w:bidi="ar-SA"/>
              </w:rPr>
              <w:t>分别经袋式除尘处理后统一经15m排气筒排放，</w:t>
            </w:r>
            <w:r>
              <w:rPr>
                <w:rFonts w:hint="default" w:ascii="Times New Roman" w:hAnsi="Times New Roman" w:eastAsia="宋体" w:cs="Times New Roman"/>
                <w:color w:val="0000FF"/>
                <w:sz w:val="24"/>
                <w:szCs w:val="24"/>
                <w:lang w:val="en-US" w:eastAsia="zh-CN"/>
              </w:rPr>
              <w:t>本项目设备临近，因此设置一根排气筒可行</w:t>
            </w:r>
            <w:r>
              <w:rPr>
                <w:rFonts w:hint="default" w:ascii="Times New Roman" w:hAnsi="Times New Roman" w:eastAsia="宋体" w:cs="Times New Roman"/>
                <w:color w:val="0000FF"/>
                <w:sz w:val="24"/>
                <w:szCs w:val="24"/>
              </w:rPr>
              <w:t>。</w:t>
            </w:r>
            <w:r>
              <w:rPr>
                <w:rFonts w:hint="default" w:ascii="Times New Roman" w:hAnsi="Times New Roman" w:eastAsia="宋体" w:cs="Times New Roman"/>
                <w:snapToGrid w:val="0"/>
                <w:color w:val="0000FF"/>
                <w:sz w:val="24"/>
                <w:szCs w:val="24"/>
                <w:highlight w:val="none"/>
                <w:lang w:val="en-US" w:eastAsia="zh-CN" w:bidi="ar-SA"/>
              </w:rPr>
              <w:t>收集效率</w:t>
            </w:r>
            <w:r>
              <w:rPr>
                <w:rFonts w:hint="eastAsia" w:cs="Times New Roman"/>
                <w:snapToGrid w:val="0"/>
                <w:color w:val="0000FF"/>
                <w:sz w:val="24"/>
                <w:szCs w:val="24"/>
                <w:highlight w:val="none"/>
                <w:lang w:val="en-US" w:eastAsia="zh-CN" w:bidi="ar-SA"/>
              </w:rPr>
              <w:t>取</w:t>
            </w:r>
            <w:r>
              <w:rPr>
                <w:rFonts w:hint="default" w:ascii="Times New Roman" w:hAnsi="Times New Roman" w:eastAsia="宋体" w:cs="Times New Roman"/>
                <w:snapToGrid w:val="0"/>
                <w:color w:val="0000FF"/>
                <w:sz w:val="24"/>
                <w:szCs w:val="24"/>
                <w:highlight w:val="none"/>
                <w:lang w:val="en-US" w:eastAsia="zh-CN" w:bidi="ar-SA"/>
              </w:rPr>
              <w:t>9</w:t>
            </w:r>
            <w:r>
              <w:rPr>
                <w:rFonts w:hint="eastAsia" w:cs="Times New Roman"/>
                <w:snapToGrid w:val="0"/>
                <w:color w:val="0000FF"/>
                <w:sz w:val="24"/>
                <w:szCs w:val="24"/>
                <w:highlight w:val="none"/>
                <w:lang w:val="en-US" w:eastAsia="zh-CN" w:bidi="ar-SA"/>
              </w:rPr>
              <w:t>0</w:t>
            </w:r>
            <w:r>
              <w:rPr>
                <w:rFonts w:hint="default" w:ascii="Times New Roman" w:hAnsi="Times New Roman" w:eastAsia="宋体" w:cs="Times New Roman"/>
                <w:snapToGrid w:val="0"/>
                <w:color w:val="0000FF"/>
                <w:sz w:val="24"/>
                <w:szCs w:val="24"/>
                <w:highlight w:val="none"/>
                <w:lang w:val="en-US" w:eastAsia="zh-CN" w:bidi="ar-SA"/>
              </w:rPr>
              <w:t>%</w:t>
            </w:r>
            <w:r>
              <w:rPr>
                <w:rFonts w:hint="eastAsia" w:cs="Times New Roman"/>
                <w:snapToGrid w:val="0"/>
                <w:color w:val="0000FF"/>
                <w:sz w:val="24"/>
                <w:szCs w:val="24"/>
                <w:highlight w:val="none"/>
                <w:lang w:val="en-US" w:eastAsia="zh-CN" w:bidi="ar-SA"/>
              </w:rPr>
              <w:t>（收集效率参考《主要污染物总量减排核算技术指南（2022 年修订）》中表2-3密闭空间收集效率）</w:t>
            </w:r>
            <w:r>
              <w:rPr>
                <w:rFonts w:hint="default" w:ascii="Times New Roman" w:hAnsi="Times New Roman" w:eastAsia="宋体" w:cs="Times New Roman"/>
                <w:snapToGrid w:val="0"/>
                <w:color w:val="0000FF"/>
                <w:sz w:val="24"/>
                <w:szCs w:val="24"/>
                <w:highlight w:val="none"/>
                <w:lang w:val="en-US" w:eastAsia="zh-CN" w:bidi="ar-SA"/>
              </w:rPr>
              <w:t>，除尘效率为98%（除尘效率由《排放源统计调查产排污核算方法和系数手册》提供）；本项目排气筒风量均为2500m</w:t>
            </w:r>
            <w:r>
              <w:rPr>
                <w:rFonts w:hint="default" w:ascii="Times New Roman" w:hAnsi="Times New Roman" w:eastAsia="宋体" w:cs="Times New Roman"/>
                <w:snapToGrid w:val="0"/>
                <w:color w:val="0000FF"/>
                <w:sz w:val="24"/>
                <w:szCs w:val="24"/>
                <w:highlight w:val="none"/>
                <w:vertAlign w:val="superscript"/>
                <w:lang w:val="en-US" w:eastAsia="zh-CN" w:bidi="ar-SA"/>
              </w:rPr>
              <w:t>3</w:t>
            </w:r>
            <w:r>
              <w:rPr>
                <w:rFonts w:hint="default" w:ascii="Times New Roman" w:hAnsi="Times New Roman" w:eastAsia="宋体" w:cs="Times New Roman"/>
                <w:snapToGrid w:val="0"/>
                <w:color w:val="0000FF"/>
                <w:sz w:val="24"/>
                <w:szCs w:val="24"/>
                <w:highlight w:val="none"/>
                <w:lang w:val="en-US" w:eastAsia="zh-CN" w:bidi="ar-SA"/>
              </w:rPr>
              <w:t>/h，经处理后的有组织颗粒物排放浓度为</w:t>
            </w:r>
            <w:r>
              <w:rPr>
                <w:rFonts w:hint="eastAsia" w:cs="Times New Roman"/>
                <w:snapToGrid w:val="0"/>
                <w:color w:val="0000FF"/>
                <w:sz w:val="24"/>
                <w:szCs w:val="24"/>
                <w:highlight w:val="none"/>
                <w:lang w:val="en-US" w:eastAsia="zh-CN" w:bidi="ar-SA"/>
              </w:rPr>
              <w:t>12.16</w:t>
            </w:r>
            <w:r>
              <w:rPr>
                <w:rFonts w:hint="default" w:ascii="Times New Roman" w:hAnsi="Times New Roman" w:eastAsia="宋体" w:cs="Times New Roman"/>
                <w:snapToGrid w:val="0"/>
                <w:color w:val="0000FF"/>
                <w:sz w:val="24"/>
                <w:szCs w:val="24"/>
                <w:highlight w:val="none"/>
                <w:lang w:val="en-US" w:eastAsia="zh-CN" w:bidi="ar-SA"/>
              </w:rPr>
              <w:t>mg/m</w:t>
            </w:r>
            <w:r>
              <w:rPr>
                <w:rFonts w:hint="default" w:ascii="Times New Roman" w:hAnsi="Times New Roman" w:eastAsia="宋体" w:cs="Times New Roman"/>
                <w:snapToGrid w:val="0"/>
                <w:color w:val="0000FF"/>
                <w:sz w:val="24"/>
                <w:szCs w:val="24"/>
                <w:highlight w:val="none"/>
                <w:vertAlign w:val="superscript"/>
                <w:lang w:val="en-US" w:eastAsia="zh-CN" w:bidi="ar-SA"/>
              </w:rPr>
              <w:t>3</w:t>
            </w:r>
            <w:r>
              <w:rPr>
                <w:rFonts w:hint="default" w:ascii="Times New Roman" w:hAnsi="Times New Roman" w:eastAsia="宋体" w:cs="Times New Roman"/>
                <w:snapToGrid w:val="0"/>
                <w:color w:val="0000FF"/>
                <w:sz w:val="24"/>
                <w:szCs w:val="24"/>
                <w:highlight w:val="none"/>
                <w:vertAlign w:val="baseline"/>
                <w:lang w:val="en-US" w:eastAsia="zh-CN" w:bidi="ar-SA"/>
              </w:rPr>
              <w:t>，排放速率为</w:t>
            </w:r>
            <w:r>
              <w:rPr>
                <w:rFonts w:hint="eastAsia" w:cs="Times New Roman"/>
                <w:snapToGrid w:val="0"/>
                <w:color w:val="0000FF"/>
                <w:sz w:val="24"/>
                <w:szCs w:val="24"/>
                <w:highlight w:val="none"/>
                <w:vertAlign w:val="baseline"/>
                <w:lang w:val="en-US" w:eastAsia="zh-CN" w:bidi="ar-SA"/>
              </w:rPr>
              <w:t>0.0304</w:t>
            </w:r>
            <w:r>
              <w:rPr>
                <w:rFonts w:hint="default" w:ascii="Times New Roman" w:hAnsi="Times New Roman" w:eastAsia="宋体" w:cs="Times New Roman"/>
                <w:snapToGrid w:val="0"/>
                <w:color w:val="0000FF"/>
                <w:sz w:val="24"/>
                <w:szCs w:val="24"/>
                <w:highlight w:val="none"/>
                <w:vertAlign w:val="baseline"/>
                <w:lang w:val="en-US" w:eastAsia="zh-CN" w:bidi="ar-SA"/>
              </w:rPr>
              <w:t>kg/h</w:t>
            </w:r>
            <w:r>
              <w:rPr>
                <w:rFonts w:hint="default" w:ascii="Times New Roman" w:hAnsi="Times New Roman" w:eastAsia="宋体" w:cs="Times New Roman"/>
                <w:snapToGrid w:val="0"/>
                <w:color w:val="0000FF"/>
                <w:sz w:val="24"/>
                <w:szCs w:val="24"/>
                <w:highlight w:val="none"/>
                <w:lang w:val="en-US" w:eastAsia="zh-CN" w:bidi="ar-SA"/>
              </w:rPr>
              <w:t>，可以满足《大气污染物综合排放标准》（GB16297-1996）</w:t>
            </w:r>
            <w:r>
              <w:rPr>
                <w:rFonts w:hint="default" w:ascii="Times New Roman" w:hAnsi="Times New Roman" w:eastAsia="宋体" w:cs="Times New Roman"/>
                <w:color w:val="0000FF"/>
                <w:sz w:val="24"/>
                <w:szCs w:val="24"/>
              </w:rPr>
              <w:t>表2 新污染源大气污染物排放限值</w:t>
            </w:r>
            <w:r>
              <w:rPr>
                <w:rFonts w:hint="default" w:ascii="Times New Roman" w:hAnsi="Times New Roman" w:eastAsia="宋体" w:cs="Times New Roman"/>
                <w:color w:val="0000FF"/>
                <w:spacing w:val="-11"/>
                <w:kern w:val="2"/>
                <w:szCs w:val="24"/>
              </w:rPr>
              <w:t>（</w:t>
            </w:r>
            <w:r>
              <w:rPr>
                <w:rFonts w:hint="default" w:ascii="Times New Roman" w:hAnsi="Times New Roman" w:eastAsia="宋体" w:cs="Times New Roman"/>
                <w:color w:val="0000FF"/>
                <w:spacing w:val="-11"/>
                <w:kern w:val="2"/>
                <w:szCs w:val="24"/>
                <w:lang w:val="en-US" w:eastAsia="zh-CN"/>
              </w:rPr>
              <w:t>3.5kg/h，120</w:t>
            </w:r>
            <w:r>
              <w:rPr>
                <w:rFonts w:hint="default" w:ascii="Times New Roman" w:hAnsi="Times New Roman" w:eastAsia="宋体" w:cs="Times New Roman"/>
                <w:color w:val="0000FF"/>
                <w:spacing w:val="-11"/>
                <w:kern w:val="2"/>
                <w:szCs w:val="24"/>
              </w:rPr>
              <w:t>mg/</w:t>
            </w:r>
            <w:r>
              <w:rPr>
                <w:rFonts w:hint="default" w:ascii="Times New Roman" w:hAnsi="Times New Roman" w:eastAsia="宋体" w:cs="Times New Roman"/>
                <w:color w:val="0000FF"/>
                <w:spacing w:val="-11"/>
                <w:kern w:val="2"/>
                <w:szCs w:val="24"/>
                <w:lang w:val="en-US" w:eastAsia="zh-CN"/>
              </w:rPr>
              <w:t>m</w:t>
            </w:r>
            <w:r>
              <w:rPr>
                <w:rFonts w:hint="default" w:ascii="Times New Roman" w:hAnsi="Times New Roman" w:eastAsia="宋体" w:cs="Times New Roman"/>
                <w:color w:val="0000FF"/>
                <w:spacing w:val="-11"/>
                <w:kern w:val="2"/>
                <w:szCs w:val="24"/>
                <w:vertAlign w:val="superscript"/>
                <w:lang w:val="en-US" w:eastAsia="zh-CN"/>
              </w:rPr>
              <w:t>3</w:t>
            </w:r>
            <w:r>
              <w:rPr>
                <w:rFonts w:hint="default" w:ascii="Times New Roman" w:hAnsi="Times New Roman" w:eastAsia="宋体" w:cs="Times New Roman"/>
                <w:color w:val="0000FF"/>
                <w:spacing w:val="-11"/>
                <w:kern w:val="2"/>
                <w:szCs w:val="24"/>
              </w:rPr>
              <w:t>）</w:t>
            </w:r>
            <w:r>
              <w:rPr>
                <w:rFonts w:hint="default" w:ascii="Times New Roman" w:hAnsi="Times New Roman" w:eastAsia="宋体" w:cs="Times New Roman"/>
                <w:snapToGrid w:val="0"/>
                <w:color w:val="0000FF"/>
                <w:sz w:val="24"/>
                <w:szCs w:val="24"/>
                <w:highlight w:val="none"/>
                <w:lang w:val="en-US" w:eastAsia="zh-CN" w:bidi="ar-SA"/>
              </w:rPr>
              <w:t>。部分无组织逸散颗粒物</w:t>
            </w:r>
            <w:r>
              <w:rPr>
                <w:rFonts w:hint="default" w:ascii="Times New Roman" w:hAnsi="Times New Roman" w:eastAsia="宋体" w:cs="Times New Roman"/>
                <w:color w:val="0000FF"/>
                <w:sz w:val="24"/>
                <w:szCs w:val="24"/>
                <w:lang w:val="en-US" w:eastAsia="zh-CN" w:bidi="ar-SA"/>
              </w:rPr>
              <w:t>通过加强封闭式作业等措施进行控制，厂界</w:t>
            </w:r>
            <w:r>
              <w:rPr>
                <w:rFonts w:hint="default" w:ascii="Times New Roman" w:hAnsi="Times New Roman" w:eastAsia="宋体" w:cs="Times New Roman"/>
                <w:color w:val="0000FF"/>
                <w:sz w:val="24"/>
                <w:szCs w:val="24"/>
                <w:vertAlign w:val="baseline"/>
                <w:lang w:val="en-US" w:eastAsia="zh-CN" w:bidi="ar-SA"/>
              </w:rPr>
              <w:t>满足</w:t>
            </w:r>
            <w:r>
              <w:rPr>
                <w:rFonts w:hint="default" w:ascii="Times New Roman" w:hAnsi="Times New Roman" w:eastAsia="宋体" w:cs="Times New Roman"/>
                <w:snapToGrid w:val="0"/>
                <w:color w:val="0000FF"/>
                <w:sz w:val="24"/>
                <w:szCs w:val="24"/>
                <w:highlight w:val="none"/>
                <w:lang w:val="en-US" w:eastAsia="zh-CN" w:bidi="ar-SA"/>
              </w:rPr>
              <w:t>《大气污染物综合排放标准》（GB16297-1996）</w:t>
            </w:r>
            <w:r>
              <w:rPr>
                <w:rFonts w:hint="default" w:ascii="Times New Roman" w:hAnsi="Times New Roman" w:eastAsia="宋体" w:cs="Times New Roman"/>
                <w:color w:val="0000FF"/>
                <w:sz w:val="24"/>
                <w:szCs w:val="24"/>
              </w:rPr>
              <w:t>表2 新污染源大气污染物排放限值</w:t>
            </w:r>
            <w:r>
              <w:rPr>
                <w:rFonts w:hint="default" w:ascii="Times New Roman" w:hAnsi="Times New Roman" w:eastAsia="宋体" w:cs="Times New Roman"/>
                <w:color w:val="0000FF"/>
                <w:sz w:val="24"/>
                <w:szCs w:val="24"/>
                <w:lang w:val="zh-CN" w:eastAsia="zh-CN" w:bidi="ar-SA"/>
              </w:rPr>
              <w:t>（周界外浓度最高点</w:t>
            </w:r>
            <w:r>
              <w:rPr>
                <w:rFonts w:hint="default" w:ascii="Times New Roman" w:hAnsi="Times New Roman" w:eastAsia="宋体" w:cs="Times New Roman"/>
                <w:color w:val="0000FF"/>
                <w:sz w:val="24"/>
                <w:szCs w:val="24"/>
                <w:lang w:val="en-US" w:eastAsia="zh-CN" w:bidi="ar-SA"/>
              </w:rPr>
              <w:t>1mg/m</w:t>
            </w:r>
            <w:r>
              <w:rPr>
                <w:rFonts w:hint="default" w:ascii="Times New Roman" w:hAnsi="Times New Roman" w:eastAsia="宋体" w:cs="Times New Roman"/>
                <w:color w:val="0000FF"/>
                <w:sz w:val="24"/>
                <w:szCs w:val="24"/>
                <w:vertAlign w:val="superscript"/>
                <w:lang w:val="en-US" w:eastAsia="zh-CN" w:bidi="ar-SA"/>
              </w:rPr>
              <w:t>3</w:t>
            </w:r>
            <w:r>
              <w:rPr>
                <w:rFonts w:hint="default" w:ascii="Times New Roman" w:hAnsi="Times New Roman" w:eastAsia="宋体" w:cs="Times New Roman"/>
                <w:color w:val="0000FF"/>
                <w:sz w:val="24"/>
                <w:szCs w:val="24"/>
                <w:lang w:val="zh-CN" w:eastAsia="zh-CN" w:bidi="ar-SA"/>
              </w:rPr>
              <w:t>）</w:t>
            </w:r>
            <w:r>
              <w:rPr>
                <w:rFonts w:hint="default" w:ascii="Times New Roman" w:hAnsi="Times New Roman" w:eastAsia="宋体" w:cs="Times New Roman"/>
                <w:color w:val="0000FF"/>
                <w:sz w:val="24"/>
                <w:szCs w:val="24"/>
                <w:lang w:val="en-US" w:eastAsia="zh-CN" w:bidi="ar-SA"/>
              </w:rPr>
              <w:t>。</w:t>
            </w:r>
          </w:p>
          <w:p w14:paraId="01F89178">
            <w:pPr>
              <w:pageBreakBefore w:val="0"/>
              <w:widowControl w:val="0"/>
              <w:kinsoku/>
              <w:wordWrap/>
              <w:overflowPunct/>
              <w:topLinePunct w:val="0"/>
              <w:autoSpaceDE/>
              <w:autoSpaceDN/>
              <w:bidi w:val="0"/>
              <w:adjustRightInd/>
              <w:snapToGrid/>
              <w:spacing w:before="0" w:after="0" w:line="360" w:lineRule="auto"/>
              <w:ind w:left="0" w:right="0" w:firstLine="380" w:firstLineChars="200"/>
              <w:jc w:val="both"/>
              <w:textAlignment w:val="auto"/>
              <w:rPr>
                <w:rFonts w:hint="default" w:ascii="Times New Roman" w:hAnsi="Times New Roman" w:eastAsia="宋体" w:cs="Times New Roman"/>
                <w:bCs/>
                <w:snapToGrid w:val="0"/>
                <w:color w:val="auto"/>
                <w:spacing w:val="-10"/>
                <w:kern w:val="2"/>
                <w:sz w:val="21"/>
                <w:szCs w:val="21"/>
                <w:highlight w:val="none"/>
                <w:lang w:val="en-US" w:eastAsia="zh-CN" w:bidi="ar-SA"/>
              </w:rPr>
            </w:pPr>
          </w:p>
        </w:tc>
      </w:tr>
    </w:tbl>
    <w:p w14:paraId="7CD1FBE8">
      <w:pPr>
        <w:bidi w:val="0"/>
        <w:spacing w:line="360" w:lineRule="auto"/>
        <w:jc w:val="center"/>
        <w:rPr>
          <w:rFonts w:hint="default" w:ascii="Times New Roman" w:hAnsi="Times New Roman" w:eastAsia="宋体" w:cs="Times New Roman"/>
          <w:color w:val="auto"/>
          <w:kern w:val="2"/>
          <w:sz w:val="24"/>
          <w:szCs w:val="24"/>
          <w:highlight w:val="none"/>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676C7DA">
      <w:pPr>
        <w:widowControl w:val="0"/>
        <w:bidi w:val="0"/>
        <w:spacing w:line="400" w:lineRule="exact"/>
        <w:ind w:firstLine="0" w:firstLineChars="0"/>
        <w:jc w:val="center"/>
        <w:rPr>
          <w:rFonts w:hint="default" w:ascii="Times New Roman" w:hAnsi="Times New Roman" w:eastAsia="宋体" w:cs="Times New Roman"/>
          <w:b/>
          <w:color w:val="auto"/>
          <w:sz w:val="24"/>
          <w:szCs w:val="24"/>
          <w:lang w:val="en-US" w:eastAsia="zh-CN" w:bidi="ar-SA"/>
        </w:rPr>
      </w:pPr>
      <w:r>
        <w:rPr>
          <w:rFonts w:hint="default" w:ascii="Times New Roman" w:hAnsi="Times New Roman" w:eastAsia="宋体" w:cs="Times New Roman"/>
          <w:b/>
          <w:color w:val="auto"/>
          <w:sz w:val="21"/>
          <w:szCs w:val="21"/>
          <w:lang w:val="en-US" w:eastAsia="zh-CN" w:bidi="ar-SA"/>
        </w:rPr>
        <w:t>表4.5-</w:t>
      </w:r>
      <w:r>
        <w:rPr>
          <w:rFonts w:hint="eastAsia" w:cs="Times New Roman"/>
          <w:b/>
          <w:color w:val="auto"/>
          <w:sz w:val="21"/>
          <w:szCs w:val="21"/>
          <w:lang w:val="en-US" w:eastAsia="zh-CN" w:bidi="ar-SA"/>
        </w:rPr>
        <w:t>1</w:t>
      </w:r>
      <w:r>
        <w:rPr>
          <w:rFonts w:hint="default" w:ascii="Times New Roman" w:hAnsi="Times New Roman" w:eastAsia="宋体" w:cs="Times New Roman"/>
          <w:b/>
          <w:color w:val="auto"/>
          <w:sz w:val="21"/>
          <w:szCs w:val="21"/>
          <w:lang w:val="en-US" w:eastAsia="zh-CN" w:bidi="ar-SA"/>
        </w:rPr>
        <w:t>本项目废气产生、排放情况一览表</w:t>
      </w:r>
    </w:p>
    <w:tbl>
      <w:tblPr>
        <w:tblStyle w:val="22"/>
        <w:tblW w:w="5267"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24"/>
        <w:gridCol w:w="1321"/>
        <w:gridCol w:w="885"/>
        <w:gridCol w:w="1129"/>
        <w:gridCol w:w="1103"/>
        <w:gridCol w:w="916"/>
        <w:gridCol w:w="1914"/>
        <w:gridCol w:w="621"/>
        <w:gridCol w:w="1225"/>
        <w:gridCol w:w="1200"/>
        <w:gridCol w:w="1061"/>
        <w:gridCol w:w="930"/>
        <w:gridCol w:w="1044"/>
      </w:tblGrid>
      <w:tr w14:paraId="5BB8C31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90" w:type="pct"/>
            <w:vMerge w:val="restart"/>
            <w:tcBorders>
              <w:tl2br w:val="nil"/>
              <w:tr2bl w:val="nil"/>
            </w:tcBorders>
            <w:vAlign w:val="center"/>
          </w:tcPr>
          <w:p w14:paraId="33AA8234">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污染物</w:t>
            </w:r>
          </w:p>
          <w:p w14:paraId="0A6A2EEC">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种类</w:t>
            </w:r>
          </w:p>
        </w:tc>
        <w:tc>
          <w:tcPr>
            <w:tcW w:w="466" w:type="pct"/>
            <w:vMerge w:val="restart"/>
            <w:tcBorders>
              <w:tl2br w:val="nil"/>
              <w:tr2bl w:val="nil"/>
            </w:tcBorders>
            <w:vAlign w:val="center"/>
          </w:tcPr>
          <w:p w14:paraId="052C9282">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产污</w:t>
            </w:r>
          </w:p>
          <w:p w14:paraId="22954BC6">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环节</w:t>
            </w:r>
          </w:p>
        </w:tc>
        <w:tc>
          <w:tcPr>
            <w:tcW w:w="312" w:type="pct"/>
            <w:vMerge w:val="restart"/>
            <w:tcBorders>
              <w:tl2br w:val="nil"/>
              <w:tr2bl w:val="nil"/>
            </w:tcBorders>
            <w:vAlign w:val="center"/>
          </w:tcPr>
          <w:p w14:paraId="4C1AA778">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排放</w:t>
            </w:r>
          </w:p>
          <w:p w14:paraId="066977AA">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形式</w:t>
            </w:r>
          </w:p>
        </w:tc>
        <w:tc>
          <w:tcPr>
            <w:tcW w:w="1110" w:type="pct"/>
            <w:gridSpan w:val="3"/>
            <w:tcBorders>
              <w:tl2br w:val="nil"/>
              <w:tr2bl w:val="nil"/>
            </w:tcBorders>
            <w:vAlign w:val="center"/>
          </w:tcPr>
          <w:p w14:paraId="3701B1B3">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污染物产生情况</w:t>
            </w:r>
          </w:p>
        </w:tc>
        <w:tc>
          <w:tcPr>
            <w:tcW w:w="1326" w:type="pct"/>
            <w:gridSpan w:val="3"/>
            <w:tcBorders>
              <w:tl2br w:val="nil"/>
              <w:tr2bl w:val="nil"/>
            </w:tcBorders>
            <w:vAlign w:val="center"/>
          </w:tcPr>
          <w:p w14:paraId="6935D49F">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污染物治理设施</w:t>
            </w:r>
          </w:p>
        </w:tc>
        <w:tc>
          <w:tcPr>
            <w:tcW w:w="1125" w:type="pct"/>
            <w:gridSpan w:val="3"/>
            <w:tcBorders>
              <w:tl2br w:val="nil"/>
              <w:tr2bl w:val="nil"/>
            </w:tcBorders>
            <w:vAlign w:val="center"/>
          </w:tcPr>
          <w:p w14:paraId="70C5F674">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污染物排放情况</w:t>
            </w:r>
          </w:p>
        </w:tc>
        <w:tc>
          <w:tcPr>
            <w:tcW w:w="368" w:type="pct"/>
            <w:vMerge w:val="restart"/>
            <w:tcBorders>
              <w:tl2br w:val="nil"/>
              <w:tr2bl w:val="nil"/>
            </w:tcBorders>
            <w:vAlign w:val="center"/>
          </w:tcPr>
          <w:p w14:paraId="52173F0E">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排放</w:t>
            </w:r>
          </w:p>
          <w:p w14:paraId="4EAF4CF8">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时间（h）</w:t>
            </w:r>
          </w:p>
        </w:tc>
      </w:tr>
      <w:tr w14:paraId="7E89B4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90" w:type="pct"/>
            <w:vMerge w:val="continue"/>
            <w:tcBorders>
              <w:tl2br w:val="nil"/>
              <w:tr2bl w:val="nil"/>
            </w:tcBorders>
            <w:vAlign w:val="center"/>
          </w:tcPr>
          <w:p w14:paraId="37ABA4D5">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p>
        </w:tc>
        <w:tc>
          <w:tcPr>
            <w:tcW w:w="466" w:type="pct"/>
            <w:vMerge w:val="continue"/>
            <w:tcBorders>
              <w:tl2br w:val="nil"/>
              <w:tr2bl w:val="nil"/>
            </w:tcBorders>
            <w:vAlign w:val="center"/>
          </w:tcPr>
          <w:p w14:paraId="6516C119">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p>
        </w:tc>
        <w:tc>
          <w:tcPr>
            <w:tcW w:w="312" w:type="pct"/>
            <w:vMerge w:val="continue"/>
            <w:tcBorders>
              <w:tl2br w:val="nil"/>
              <w:tr2bl w:val="nil"/>
            </w:tcBorders>
            <w:vAlign w:val="center"/>
          </w:tcPr>
          <w:p w14:paraId="3172D48D">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p>
        </w:tc>
        <w:tc>
          <w:tcPr>
            <w:tcW w:w="398" w:type="pct"/>
            <w:tcBorders>
              <w:tl2br w:val="nil"/>
              <w:tr2bl w:val="nil"/>
            </w:tcBorders>
            <w:vAlign w:val="center"/>
          </w:tcPr>
          <w:p w14:paraId="4E9B671B">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产生浓度（mg/m</w:t>
            </w:r>
            <w:r>
              <w:rPr>
                <w:rFonts w:hint="default" w:ascii="Times New Roman" w:hAnsi="Times New Roman" w:eastAsia="宋体" w:cs="Times New Roman"/>
                <w:color w:val="0000FF"/>
                <w:sz w:val="21"/>
                <w:vertAlign w:val="superscript"/>
                <w:lang w:val="en-US" w:eastAsia="zh-CN" w:bidi="ar-SA"/>
              </w:rPr>
              <w:t>3</w:t>
            </w:r>
            <w:r>
              <w:rPr>
                <w:rFonts w:hint="default" w:ascii="Times New Roman" w:hAnsi="Times New Roman" w:eastAsia="宋体" w:cs="Times New Roman"/>
                <w:color w:val="0000FF"/>
                <w:sz w:val="21"/>
                <w:lang w:val="en-US" w:eastAsia="zh-CN" w:bidi="ar-SA"/>
              </w:rPr>
              <w:t>）</w:t>
            </w:r>
          </w:p>
        </w:tc>
        <w:tc>
          <w:tcPr>
            <w:tcW w:w="389" w:type="pct"/>
            <w:tcBorders>
              <w:tl2br w:val="nil"/>
              <w:tr2bl w:val="nil"/>
            </w:tcBorders>
            <w:vAlign w:val="center"/>
          </w:tcPr>
          <w:p w14:paraId="6E82357D">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产生速率（kg/h）</w:t>
            </w:r>
          </w:p>
        </w:tc>
        <w:tc>
          <w:tcPr>
            <w:tcW w:w="323" w:type="pct"/>
            <w:tcBorders>
              <w:tl2br w:val="nil"/>
              <w:tr2bl w:val="nil"/>
            </w:tcBorders>
            <w:vAlign w:val="center"/>
          </w:tcPr>
          <w:p w14:paraId="644954AE">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产生量（t/a）</w:t>
            </w:r>
          </w:p>
        </w:tc>
        <w:tc>
          <w:tcPr>
            <w:tcW w:w="675" w:type="pct"/>
            <w:tcBorders>
              <w:tl2br w:val="nil"/>
              <w:tr2bl w:val="nil"/>
            </w:tcBorders>
            <w:vAlign w:val="center"/>
          </w:tcPr>
          <w:p w14:paraId="6FD6F0F2">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工艺</w:t>
            </w:r>
          </w:p>
        </w:tc>
        <w:tc>
          <w:tcPr>
            <w:tcW w:w="219" w:type="pct"/>
            <w:tcBorders>
              <w:tl2br w:val="nil"/>
              <w:tr2bl w:val="nil"/>
            </w:tcBorders>
            <w:vAlign w:val="center"/>
          </w:tcPr>
          <w:p w14:paraId="1B87166D">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效率</w:t>
            </w:r>
          </w:p>
        </w:tc>
        <w:tc>
          <w:tcPr>
            <w:tcW w:w="432" w:type="pct"/>
            <w:tcBorders>
              <w:tl2br w:val="nil"/>
              <w:tr2bl w:val="nil"/>
            </w:tcBorders>
            <w:vAlign w:val="center"/>
          </w:tcPr>
          <w:p w14:paraId="50D40093">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是否为可行技术</w:t>
            </w:r>
          </w:p>
        </w:tc>
        <w:tc>
          <w:tcPr>
            <w:tcW w:w="423" w:type="pct"/>
            <w:tcBorders>
              <w:tl2br w:val="nil"/>
              <w:tr2bl w:val="nil"/>
            </w:tcBorders>
            <w:vAlign w:val="center"/>
          </w:tcPr>
          <w:p w14:paraId="15611632">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排放浓度（mg/m</w:t>
            </w:r>
            <w:r>
              <w:rPr>
                <w:rFonts w:hint="default" w:ascii="Times New Roman" w:hAnsi="Times New Roman" w:eastAsia="宋体" w:cs="Times New Roman"/>
                <w:color w:val="0000FF"/>
                <w:sz w:val="21"/>
                <w:vertAlign w:val="superscript"/>
                <w:lang w:val="en-US" w:eastAsia="zh-CN" w:bidi="ar-SA"/>
              </w:rPr>
              <w:t>3</w:t>
            </w:r>
            <w:r>
              <w:rPr>
                <w:rFonts w:hint="default" w:ascii="Times New Roman" w:hAnsi="Times New Roman" w:eastAsia="宋体" w:cs="Times New Roman"/>
                <w:color w:val="0000FF"/>
                <w:sz w:val="21"/>
                <w:lang w:val="en-US" w:eastAsia="zh-CN" w:bidi="ar-SA"/>
              </w:rPr>
              <w:t>）</w:t>
            </w:r>
          </w:p>
        </w:tc>
        <w:tc>
          <w:tcPr>
            <w:tcW w:w="374" w:type="pct"/>
            <w:tcBorders>
              <w:tl2br w:val="nil"/>
              <w:tr2bl w:val="nil"/>
            </w:tcBorders>
            <w:vAlign w:val="center"/>
          </w:tcPr>
          <w:p w14:paraId="15A99A49">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排放速率（kg/h）</w:t>
            </w:r>
          </w:p>
        </w:tc>
        <w:tc>
          <w:tcPr>
            <w:tcW w:w="328" w:type="pct"/>
            <w:tcBorders>
              <w:tl2br w:val="nil"/>
              <w:tr2bl w:val="nil"/>
            </w:tcBorders>
            <w:vAlign w:val="center"/>
          </w:tcPr>
          <w:p w14:paraId="51F345A8">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排放量（t/a）</w:t>
            </w:r>
          </w:p>
        </w:tc>
        <w:tc>
          <w:tcPr>
            <w:tcW w:w="368" w:type="pct"/>
            <w:vMerge w:val="continue"/>
            <w:tcBorders>
              <w:tl2br w:val="nil"/>
              <w:tr2bl w:val="nil"/>
            </w:tcBorders>
            <w:vAlign w:val="center"/>
          </w:tcPr>
          <w:p w14:paraId="2E415F49">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p>
        </w:tc>
      </w:tr>
      <w:tr w14:paraId="089FC6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90" w:type="pct"/>
            <w:tcBorders>
              <w:tl2br w:val="nil"/>
              <w:tr2bl w:val="nil"/>
            </w:tcBorders>
            <w:vAlign w:val="center"/>
          </w:tcPr>
          <w:p w14:paraId="51323342">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b w:val="0"/>
                <w:bCs w:val="0"/>
                <w:color w:val="0000FF"/>
                <w:kern w:val="2"/>
                <w:sz w:val="21"/>
                <w:szCs w:val="22"/>
                <w:lang w:val="en-US" w:eastAsia="zh-CN"/>
              </w:rPr>
              <w:t>氨</w:t>
            </w:r>
          </w:p>
        </w:tc>
        <w:tc>
          <w:tcPr>
            <w:tcW w:w="466" w:type="pct"/>
            <w:vMerge w:val="restart"/>
            <w:tcBorders>
              <w:tl2br w:val="nil"/>
              <w:tr2bl w:val="nil"/>
            </w:tcBorders>
            <w:vAlign w:val="center"/>
          </w:tcPr>
          <w:p w14:paraId="4389DE6D">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kern w:val="2"/>
                <w:sz w:val="21"/>
                <w:szCs w:val="22"/>
                <w:lang w:val="en-US" w:eastAsia="zh-CN"/>
              </w:rPr>
              <w:t>发酵、卸料</w:t>
            </w:r>
          </w:p>
        </w:tc>
        <w:tc>
          <w:tcPr>
            <w:tcW w:w="312" w:type="pct"/>
            <w:vMerge w:val="restart"/>
            <w:tcBorders>
              <w:tl2br w:val="nil"/>
              <w:tr2bl w:val="nil"/>
            </w:tcBorders>
            <w:vAlign w:val="center"/>
          </w:tcPr>
          <w:p w14:paraId="7E31D3E3">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有组织</w:t>
            </w:r>
          </w:p>
        </w:tc>
        <w:tc>
          <w:tcPr>
            <w:tcW w:w="398" w:type="pct"/>
            <w:tcBorders>
              <w:tl2br w:val="nil"/>
              <w:tr2bl w:val="nil"/>
            </w:tcBorders>
            <w:vAlign w:val="center"/>
          </w:tcPr>
          <w:p w14:paraId="3D6B7F4A">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eastAsia" w:ascii="Times New Roman" w:hAnsi="Times New Roman" w:eastAsia="宋体" w:cs="Times New Roman"/>
                <w:color w:val="0000FF"/>
                <w:sz w:val="21"/>
                <w:szCs w:val="21"/>
                <w:lang w:val="en-US" w:eastAsia="zh-CN"/>
              </w:rPr>
              <w:t>8.22</w:t>
            </w:r>
          </w:p>
        </w:tc>
        <w:tc>
          <w:tcPr>
            <w:tcW w:w="389" w:type="pct"/>
            <w:tcBorders>
              <w:tl2br w:val="nil"/>
              <w:tr2bl w:val="nil"/>
            </w:tcBorders>
            <w:vAlign w:val="center"/>
          </w:tcPr>
          <w:p w14:paraId="4AD988A8">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0.0205</w:t>
            </w:r>
          </w:p>
        </w:tc>
        <w:tc>
          <w:tcPr>
            <w:tcW w:w="323" w:type="pct"/>
            <w:tcBorders>
              <w:tl2br w:val="nil"/>
              <w:tr2bl w:val="nil"/>
            </w:tcBorders>
            <w:vAlign w:val="center"/>
          </w:tcPr>
          <w:p w14:paraId="646B35A1">
            <w:pPr>
              <w:keepNext w:val="0"/>
              <w:keepLines w:val="0"/>
              <w:widowControl/>
              <w:suppressLineNumbers w:val="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0.18</w:t>
            </w:r>
          </w:p>
        </w:tc>
        <w:tc>
          <w:tcPr>
            <w:tcW w:w="675" w:type="pct"/>
            <w:vMerge w:val="restart"/>
            <w:tcBorders>
              <w:tl2br w:val="nil"/>
              <w:tr2bl w:val="nil"/>
            </w:tcBorders>
            <w:vAlign w:val="center"/>
          </w:tcPr>
          <w:p w14:paraId="2040EFCB">
            <w:pPr>
              <w:keepNext w:val="0"/>
              <w:keepLines w:val="0"/>
              <w:widowControl/>
              <w:suppressLineNumbers w:val="0"/>
              <w:jc w:val="center"/>
              <w:textAlignment w:val="center"/>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集气罩+生物除臭塔（滴滤法）+15m排气筒（DA001）</w:t>
            </w:r>
          </w:p>
        </w:tc>
        <w:tc>
          <w:tcPr>
            <w:tcW w:w="219" w:type="pct"/>
            <w:vMerge w:val="restart"/>
            <w:tcBorders>
              <w:tl2br w:val="nil"/>
              <w:tr2bl w:val="nil"/>
            </w:tcBorders>
            <w:vAlign w:val="center"/>
          </w:tcPr>
          <w:p w14:paraId="68FFEE87">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88%</w:t>
            </w:r>
          </w:p>
        </w:tc>
        <w:tc>
          <w:tcPr>
            <w:tcW w:w="432" w:type="pct"/>
            <w:vMerge w:val="restart"/>
            <w:tcBorders>
              <w:tl2br w:val="nil"/>
              <w:tr2bl w:val="nil"/>
            </w:tcBorders>
            <w:vAlign w:val="center"/>
          </w:tcPr>
          <w:p w14:paraId="66C79209">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可行</w:t>
            </w:r>
          </w:p>
        </w:tc>
        <w:tc>
          <w:tcPr>
            <w:tcW w:w="423" w:type="pct"/>
            <w:tcBorders>
              <w:tl2br w:val="nil"/>
              <w:tr2bl w:val="nil"/>
            </w:tcBorders>
            <w:vAlign w:val="center"/>
          </w:tcPr>
          <w:p w14:paraId="6D408666">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sz w:val="21"/>
                <w:szCs w:val="21"/>
                <w:u w:val="none"/>
                <w:lang w:val="en-US" w:eastAsia="zh-CN" w:bidi="ar-SA"/>
              </w:rPr>
            </w:pPr>
            <w:r>
              <w:rPr>
                <w:rFonts w:hint="eastAsia" w:ascii="Times New Roman" w:hAnsi="Times New Roman" w:eastAsia="宋体" w:cs="Times New Roman"/>
                <w:i w:val="0"/>
                <w:iCs w:val="0"/>
                <w:color w:val="0000FF"/>
                <w:sz w:val="21"/>
                <w:szCs w:val="21"/>
                <w:u w:val="none"/>
                <w:lang w:val="en-US" w:eastAsia="zh-CN" w:bidi="ar-SA"/>
              </w:rPr>
              <w:t>0.99</w:t>
            </w:r>
          </w:p>
        </w:tc>
        <w:tc>
          <w:tcPr>
            <w:tcW w:w="374" w:type="pct"/>
            <w:tcBorders>
              <w:tl2br w:val="nil"/>
              <w:tr2bl w:val="nil"/>
            </w:tcBorders>
            <w:vAlign w:val="center"/>
          </w:tcPr>
          <w:p w14:paraId="4A852613">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sz w:val="21"/>
                <w:szCs w:val="21"/>
                <w:u w:val="none"/>
                <w:lang w:val="en-US" w:eastAsia="zh-CN" w:bidi="ar-SA"/>
              </w:rPr>
            </w:pPr>
            <w:r>
              <w:rPr>
                <w:rFonts w:hint="default" w:ascii="Times New Roman" w:hAnsi="Times New Roman" w:eastAsia="宋体" w:cs="Times New Roman"/>
                <w:i w:val="0"/>
                <w:iCs w:val="0"/>
                <w:color w:val="0000FF"/>
                <w:sz w:val="21"/>
                <w:szCs w:val="21"/>
                <w:u w:val="none"/>
                <w:lang w:val="en-US" w:eastAsia="zh-CN" w:bidi="ar-SA"/>
              </w:rPr>
              <w:t>0.0025</w:t>
            </w:r>
          </w:p>
        </w:tc>
        <w:tc>
          <w:tcPr>
            <w:tcW w:w="328" w:type="pct"/>
            <w:tcBorders>
              <w:tl2br w:val="nil"/>
              <w:tr2bl w:val="nil"/>
            </w:tcBorders>
            <w:vAlign w:val="center"/>
          </w:tcPr>
          <w:p w14:paraId="12E4A355">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sz w:val="21"/>
                <w:szCs w:val="21"/>
                <w:u w:val="none"/>
                <w:lang w:val="en-US" w:eastAsia="zh-CN" w:bidi="ar-SA"/>
              </w:rPr>
            </w:pPr>
            <w:r>
              <w:rPr>
                <w:rFonts w:hint="default" w:ascii="Times New Roman" w:hAnsi="Times New Roman" w:eastAsia="宋体" w:cs="Times New Roman"/>
                <w:i w:val="0"/>
                <w:iCs w:val="0"/>
                <w:color w:val="0000FF"/>
                <w:sz w:val="21"/>
                <w:szCs w:val="21"/>
                <w:u w:val="none"/>
                <w:lang w:val="en-US" w:eastAsia="zh-CN" w:bidi="ar-SA"/>
              </w:rPr>
              <w:t>0.0216</w:t>
            </w:r>
          </w:p>
        </w:tc>
        <w:tc>
          <w:tcPr>
            <w:tcW w:w="368" w:type="pct"/>
            <w:vMerge w:val="restart"/>
            <w:tcBorders>
              <w:tl2br w:val="nil"/>
              <w:tr2bl w:val="nil"/>
            </w:tcBorders>
            <w:vAlign w:val="center"/>
          </w:tcPr>
          <w:p w14:paraId="7435E86B">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8760</w:t>
            </w:r>
          </w:p>
        </w:tc>
      </w:tr>
      <w:tr w14:paraId="488351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290" w:type="pct"/>
            <w:tcBorders>
              <w:tl2br w:val="nil"/>
              <w:tr2bl w:val="nil"/>
            </w:tcBorders>
            <w:vAlign w:val="center"/>
          </w:tcPr>
          <w:p w14:paraId="70D23A18">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kern w:val="2"/>
                <w:sz w:val="21"/>
                <w:szCs w:val="24"/>
                <w:lang w:val="en-US" w:eastAsia="zh-CN"/>
              </w:rPr>
              <w:t>硫化氢</w:t>
            </w:r>
          </w:p>
        </w:tc>
        <w:tc>
          <w:tcPr>
            <w:tcW w:w="466" w:type="pct"/>
            <w:vMerge w:val="continue"/>
            <w:tcBorders>
              <w:tl2br w:val="nil"/>
              <w:tr2bl w:val="nil"/>
            </w:tcBorders>
            <w:vAlign w:val="center"/>
          </w:tcPr>
          <w:p w14:paraId="03931888">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p>
        </w:tc>
        <w:tc>
          <w:tcPr>
            <w:tcW w:w="312" w:type="pct"/>
            <w:vMerge w:val="continue"/>
            <w:tcBorders>
              <w:tl2br w:val="nil"/>
              <w:tr2bl w:val="nil"/>
            </w:tcBorders>
            <w:vAlign w:val="center"/>
          </w:tcPr>
          <w:p w14:paraId="2E75A4C7">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p>
        </w:tc>
        <w:tc>
          <w:tcPr>
            <w:tcW w:w="398" w:type="pct"/>
            <w:tcBorders>
              <w:tl2br w:val="nil"/>
              <w:tr2bl w:val="nil"/>
            </w:tcBorders>
            <w:vAlign w:val="center"/>
          </w:tcPr>
          <w:p w14:paraId="4C63CCB3">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eastAsia" w:ascii="Times New Roman" w:hAnsi="Times New Roman" w:eastAsia="宋体" w:cs="Times New Roman"/>
                <w:color w:val="0000FF"/>
                <w:sz w:val="21"/>
                <w:szCs w:val="21"/>
                <w:lang w:val="en-US" w:eastAsia="zh-CN"/>
              </w:rPr>
              <w:t>4.43</w:t>
            </w:r>
          </w:p>
        </w:tc>
        <w:tc>
          <w:tcPr>
            <w:tcW w:w="389" w:type="pct"/>
            <w:tcBorders>
              <w:tl2br w:val="nil"/>
              <w:tr2bl w:val="nil"/>
            </w:tcBorders>
            <w:vAlign w:val="center"/>
          </w:tcPr>
          <w:p w14:paraId="05784CEB">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0.0111</w:t>
            </w:r>
          </w:p>
        </w:tc>
        <w:tc>
          <w:tcPr>
            <w:tcW w:w="323" w:type="pct"/>
            <w:tcBorders>
              <w:tl2br w:val="nil"/>
              <w:tr2bl w:val="nil"/>
            </w:tcBorders>
            <w:vAlign w:val="center"/>
          </w:tcPr>
          <w:p w14:paraId="540A3E51">
            <w:pPr>
              <w:keepNext w:val="0"/>
              <w:keepLines w:val="0"/>
              <w:widowControl/>
              <w:suppressLineNumbers w:val="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0.097</w:t>
            </w:r>
          </w:p>
        </w:tc>
        <w:tc>
          <w:tcPr>
            <w:tcW w:w="675" w:type="pct"/>
            <w:vMerge w:val="continue"/>
            <w:tcBorders>
              <w:tl2br w:val="nil"/>
              <w:tr2bl w:val="nil"/>
            </w:tcBorders>
            <w:vAlign w:val="center"/>
          </w:tcPr>
          <w:p w14:paraId="0AF8027E">
            <w:pPr>
              <w:keepNext w:val="0"/>
              <w:keepLines w:val="0"/>
              <w:widowControl/>
              <w:suppressLineNumbers w:val="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219" w:type="pct"/>
            <w:vMerge w:val="continue"/>
            <w:tcBorders>
              <w:tl2br w:val="nil"/>
              <w:tr2bl w:val="nil"/>
            </w:tcBorders>
            <w:vAlign w:val="center"/>
          </w:tcPr>
          <w:p w14:paraId="153F9244">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szCs w:val="22"/>
                <w:lang w:val="en-US" w:eastAsia="zh-CN" w:bidi="ar-SA"/>
              </w:rPr>
            </w:pPr>
          </w:p>
        </w:tc>
        <w:tc>
          <w:tcPr>
            <w:tcW w:w="432" w:type="pct"/>
            <w:vMerge w:val="continue"/>
            <w:tcBorders>
              <w:tl2br w:val="nil"/>
              <w:tr2bl w:val="nil"/>
            </w:tcBorders>
            <w:vAlign w:val="center"/>
          </w:tcPr>
          <w:p w14:paraId="60C3EAE5">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p>
        </w:tc>
        <w:tc>
          <w:tcPr>
            <w:tcW w:w="423" w:type="pct"/>
            <w:tcBorders>
              <w:tl2br w:val="nil"/>
              <w:tr2bl w:val="nil"/>
            </w:tcBorders>
            <w:vAlign w:val="center"/>
          </w:tcPr>
          <w:p w14:paraId="491C7486">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0.53</w:t>
            </w:r>
          </w:p>
        </w:tc>
        <w:tc>
          <w:tcPr>
            <w:tcW w:w="374" w:type="pct"/>
            <w:tcBorders>
              <w:tl2br w:val="nil"/>
              <w:tr2bl w:val="nil"/>
            </w:tcBorders>
            <w:vAlign w:val="center"/>
          </w:tcPr>
          <w:p w14:paraId="63E410DF">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0.0013</w:t>
            </w:r>
          </w:p>
        </w:tc>
        <w:tc>
          <w:tcPr>
            <w:tcW w:w="328" w:type="pct"/>
            <w:tcBorders>
              <w:tl2br w:val="nil"/>
              <w:tr2bl w:val="nil"/>
            </w:tcBorders>
            <w:vAlign w:val="center"/>
          </w:tcPr>
          <w:p w14:paraId="19448DFA">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0.0116</w:t>
            </w:r>
          </w:p>
        </w:tc>
        <w:tc>
          <w:tcPr>
            <w:tcW w:w="368" w:type="pct"/>
            <w:vMerge w:val="continue"/>
            <w:tcBorders>
              <w:tl2br w:val="nil"/>
              <w:tr2bl w:val="nil"/>
            </w:tcBorders>
            <w:vAlign w:val="center"/>
          </w:tcPr>
          <w:p w14:paraId="7E67FBF4">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auto"/>
                <w:sz w:val="21"/>
                <w:lang w:val="en-US" w:eastAsia="zh-CN" w:bidi="ar-SA"/>
              </w:rPr>
            </w:pPr>
          </w:p>
        </w:tc>
      </w:tr>
      <w:tr w14:paraId="56C606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290" w:type="pct"/>
            <w:tcBorders>
              <w:tl2br w:val="nil"/>
              <w:tr2bl w:val="nil"/>
            </w:tcBorders>
            <w:vAlign w:val="center"/>
          </w:tcPr>
          <w:p w14:paraId="5EA9E99F">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臭气浓度</w:t>
            </w:r>
          </w:p>
        </w:tc>
        <w:tc>
          <w:tcPr>
            <w:tcW w:w="466" w:type="pct"/>
            <w:vMerge w:val="continue"/>
            <w:tcBorders>
              <w:tl2br w:val="nil"/>
              <w:tr2bl w:val="nil"/>
            </w:tcBorders>
            <w:vAlign w:val="center"/>
          </w:tcPr>
          <w:p w14:paraId="475CD35D">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p>
        </w:tc>
        <w:tc>
          <w:tcPr>
            <w:tcW w:w="312" w:type="pct"/>
            <w:vMerge w:val="continue"/>
            <w:tcBorders>
              <w:tl2br w:val="nil"/>
              <w:tr2bl w:val="nil"/>
            </w:tcBorders>
            <w:vAlign w:val="center"/>
          </w:tcPr>
          <w:p w14:paraId="5FA9C151">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p>
        </w:tc>
        <w:tc>
          <w:tcPr>
            <w:tcW w:w="398" w:type="pct"/>
            <w:tcBorders>
              <w:tl2br w:val="nil"/>
              <w:tr2bl w:val="nil"/>
            </w:tcBorders>
            <w:vAlign w:val="center"/>
          </w:tcPr>
          <w:p w14:paraId="70834938">
            <w:pPr>
              <w:jc w:val="center"/>
              <w:rPr>
                <w:rFonts w:hint="default" w:ascii="Times New Roman" w:hAnsi="Times New Roman" w:eastAsia="宋体" w:cs="Times New Roman"/>
                <w:color w:val="0000FF"/>
                <w:sz w:val="21"/>
                <w:szCs w:val="21"/>
                <w:lang w:val="en-US" w:eastAsia="zh-CN" w:bidi="ar-SA"/>
              </w:rPr>
            </w:pPr>
            <w:r>
              <w:rPr>
                <w:rFonts w:hint="default" w:ascii="Times New Roman" w:hAnsi="Times New Roman" w:eastAsia="宋体" w:cs="Times New Roman"/>
                <w:color w:val="0000FF"/>
                <w:sz w:val="21"/>
                <w:szCs w:val="21"/>
                <w:lang w:val="en-US" w:eastAsia="zh-CN"/>
              </w:rPr>
              <w:t>/</w:t>
            </w:r>
          </w:p>
        </w:tc>
        <w:tc>
          <w:tcPr>
            <w:tcW w:w="389" w:type="pct"/>
            <w:tcBorders>
              <w:tl2br w:val="nil"/>
              <w:tr2bl w:val="nil"/>
            </w:tcBorders>
            <w:vAlign w:val="center"/>
          </w:tcPr>
          <w:p w14:paraId="6D6CA104">
            <w:pPr>
              <w:jc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color w:val="0000FF"/>
                <w:sz w:val="21"/>
                <w:szCs w:val="21"/>
                <w:lang w:val="en-US" w:eastAsia="zh-CN"/>
              </w:rPr>
              <w:t>/</w:t>
            </w:r>
          </w:p>
        </w:tc>
        <w:tc>
          <w:tcPr>
            <w:tcW w:w="323" w:type="pct"/>
            <w:tcBorders>
              <w:tl2br w:val="nil"/>
              <w:tr2bl w:val="nil"/>
            </w:tcBorders>
            <w:vAlign w:val="center"/>
          </w:tcPr>
          <w:p w14:paraId="23E57B3C">
            <w:pPr>
              <w:keepNext w:val="0"/>
              <w:keepLines w:val="0"/>
              <w:widowControl/>
              <w:suppressLineNumbers w:val="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少量</w:t>
            </w:r>
          </w:p>
        </w:tc>
        <w:tc>
          <w:tcPr>
            <w:tcW w:w="675" w:type="pct"/>
            <w:vMerge w:val="continue"/>
            <w:tcBorders>
              <w:tl2br w:val="nil"/>
              <w:tr2bl w:val="nil"/>
            </w:tcBorders>
            <w:vAlign w:val="center"/>
          </w:tcPr>
          <w:p w14:paraId="62A27460">
            <w:pPr>
              <w:keepNext w:val="0"/>
              <w:keepLines w:val="0"/>
              <w:widowControl/>
              <w:suppressLineNumbers w:val="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p>
        </w:tc>
        <w:tc>
          <w:tcPr>
            <w:tcW w:w="219" w:type="pct"/>
            <w:tcBorders>
              <w:tl2br w:val="nil"/>
              <w:tr2bl w:val="nil"/>
            </w:tcBorders>
            <w:vAlign w:val="center"/>
          </w:tcPr>
          <w:p w14:paraId="33BD61BD">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lang w:val="en-US" w:eastAsia="zh-CN" w:bidi="ar-SA"/>
              </w:rPr>
              <w:t>/</w:t>
            </w:r>
          </w:p>
        </w:tc>
        <w:tc>
          <w:tcPr>
            <w:tcW w:w="432" w:type="pct"/>
            <w:vMerge w:val="continue"/>
            <w:tcBorders>
              <w:tl2br w:val="nil"/>
              <w:tr2bl w:val="nil"/>
            </w:tcBorders>
            <w:vAlign w:val="center"/>
          </w:tcPr>
          <w:p w14:paraId="76CF5D48">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p>
        </w:tc>
        <w:tc>
          <w:tcPr>
            <w:tcW w:w="423" w:type="pct"/>
            <w:tcBorders>
              <w:tl2br w:val="nil"/>
              <w:tr2bl w:val="nil"/>
            </w:tcBorders>
            <w:vAlign w:val="center"/>
          </w:tcPr>
          <w:p w14:paraId="19579537">
            <w:pPr>
              <w:jc w:val="center"/>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sz w:val="21"/>
                <w:szCs w:val="21"/>
                <w:lang w:val="en-US" w:eastAsia="zh-CN"/>
              </w:rPr>
              <w:t>/</w:t>
            </w:r>
          </w:p>
        </w:tc>
        <w:tc>
          <w:tcPr>
            <w:tcW w:w="374" w:type="pct"/>
            <w:tcBorders>
              <w:tl2br w:val="nil"/>
              <w:tr2bl w:val="nil"/>
            </w:tcBorders>
            <w:vAlign w:val="center"/>
          </w:tcPr>
          <w:p w14:paraId="4D877E52">
            <w:pPr>
              <w:jc w:val="center"/>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sz w:val="21"/>
                <w:szCs w:val="21"/>
                <w:lang w:val="en-US" w:eastAsia="zh-CN"/>
              </w:rPr>
              <w:t>/</w:t>
            </w:r>
          </w:p>
        </w:tc>
        <w:tc>
          <w:tcPr>
            <w:tcW w:w="328" w:type="pct"/>
            <w:tcBorders>
              <w:tl2br w:val="nil"/>
              <w:tr2bl w:val="nil"/>
            </w:tcBorders>
            <w:vAlign w:val="center"/>
          </w:tcPr>
          <w:p w14:paraId="62C95355">
            <w:pPr>
              <w:keepNext w:val="0"/>
              <w:keepLines w:val="0"/>
              <w:widowControl/>
              <w:suppressLineNumbers w:val="0"/>
              <w:jc w:val="center"/>
              <w:textAlignment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i w:val="0"/>
                <w:iCs w:val="0"/>
                <w:color w:val="0000FF"/>
                <w:kern w:val="0"/>
                <w:sz w:val="21"/>
                <w:szCs w:val="21"/>
                <w:u w:val="none"/>
                <w:lang w:val="en-US" w:eastAsia="zh-CN" w:bidi="ar"/>
              </w:rPr>
              <w:t>少量</w:t>
            </w:r>
          </w:p>
        </w:tc>
        <w:tc>
          <w:tcPr>
            <w:tcW w:w="368" w:type="pct"/>
            <w:vMerge w:val="continue"/>
            <w:tcBorders>
              <w:tl2br w:val="nil"/>
              <w:tr2bl w:val="nil"/>
            </w:tcBorders>
            <w:vAlign w:val="center"/>
          </w:tcPr>
          <w:p w14:paraId="3A1A71D4">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auto"/>
                <w:sz w:val="21"/>
                <w:lang w:val="en-US" w:eastAsia="zh-CN" w:bidi="ar-SA"/>
              </w:rPr>
            </w:pPr>
          </w:p>
        </w:tc>
      </w:tr>
      <w:tr w14:paraId="2135049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90" w:type="pct"/>
            <w:tcBorders>
              <w:tl2br w:val="nil"/>
              <w:tr2bl w:val="nil"/>
            </w:tcBorders>
            <w:vAlign w:val="center"/>
          </w:tcPr>
          <w:p w14:paraId="4B45F389">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highlight w:val="none"/>
                <w:lang w:val="en-US" w:eastAsia="zh-CN" w:bidi="ar-SA"/>
              </w:rPr>
            </w:pPr>
            <w:r>
              <w:rPr>
                <w:rFonts w:hint="default" w:ascii="Times New Roman" w:hAnsi="Times New Roman" w:eastAsia="宋体" w:cs="Times New Roman"/>
                <w:color w:val="0000FF"/>
                <w:sz w:val="21"/>
                <w:highlight w:val="none"/>
                <w:lang w:val="en-US" w:eastAsia="zh-CN" w:bidi="ar-SA"/>
              </w:rPr>
              <w:t>颗粒物</w:t>
            </w:r>
          </w:p>
        </w:tc>
        <w:tc>
          <w:tcPr>
            <w:tcW w:w="466" w:type="pct"/>
            <w:tcBorders>
              <w:tl2br w:val="nil"/>
              <w:tr2bl w:val="nil"/>
            </w:tcBorders>
            <w:vAlign w:val="center"/>
          </w:tcPr>
          <w:p w14:paraId="60636876">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highlight w:val="none"/>
                <w:lang w:val="en-US" w:eastAsia="zh-CN" w:bidi="ar-SA"/>
              </w:rPr>
            </w:pPr>
            <w:r>
              <w:rPr>
                <w:rFonts w:hint="default" w:ascii="Times New Roman" w:hAnsi="Times New Roman" w:eastAsia="宋体" w:cs="Times New Roman"/>
                <w:color w:val="0000FF"/>
                <w:kern w:val="2"/>
                <w:sz w:val="21"/>
                <w:szCs w:val="22"/>
                <w:highlight w:val="none"/>
                <w:lang w:val="en-US" w:eastAsia="zh-CN"/>
              </w:rPr>
              <w:t>生产车间</w:t>
            </w:r>
          </w:p>
        </w:tc>
        <w:tc>
          <w:tcPr>
            <w:tcW w:w="312" w:type="pct"/>
            <w:tcBorders>
              <w:tl2br w:val="nil"/>
              <w:tr2bl w:val="nil"/>
            </w:tcBorders>
            <w:vAlign w:val="center"/>
          </w:tcPr>
          <w:p w14:paraId="51C9655C">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highlight w:val="none"/>
                <w:lang w:val="en-US" w:eastAsia="zh-CN" w:bidi="ar-SA"/>
              </w:rPr>
            </w:pPr>
            <w:r>
              <w:rPr>
                <w:rFonts w:hint="default" w:ascii="Times New Roman" w:hAnsi="Times New Roman" w:eastAsia="宋体" w:cs="Times New Roman"/>
                <w:color w:val="0000FF"/>
                <w:sz w:val="21"/>
                <w:highlight w:val="none"/>
                <w:lang w:val="en-US" w:eastAsia="zh-CN" w:bidi="ar-SA"/>
              </w:rPr>
              <w:t>有组织</w:t>
            </w:r>
          </w:p>
        </w:tc>
        <w:tc>
          <w:tcPr>
            <w:tcW w:w="398" w:type="pct"/>
            <w:tcBorders>
              <w:tl2br w:val="nil"/>
              <w:tr2bl w:val="nil"/>
            </w:tcBorders>
            <w:vAlign w:val="center"/>
          </w:tcPr>
          <w:p w14:paraId="43D6F322">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szCs w:val="21"/>
                <w:highlight w:val="none"/>
                <w:lang w:val="en-US" w:eastAsia="zh-CN"/>
              </w:rPr>
            </w:pPr>
            <w:r>
              <w:rPr>
                <w:rFonts w:hint="eastAsia" w:ascii="Times New Roman" w:hAnsi="Times New Roman" w:eastAsia="宋体" w:cs="Times New Roman"/>
                <w:color w:val="0000FF"/>
                <w:sz w:val="21"/>
                <w:szCs w:val="21"/>
                <w:highlight w:val="none"/>
                <w:lang w:val="en-US" w:eastAsia="zh-CN"/>
              </w:rPr>
              <w:t>608.22</w:t>
            </w:r>
          </w:p>
        </w:tc>
        <w:tc>
          <w:tcPr>
            <w:tcW w:w="389" w:type="pct"/>
            <w:tcBorders>
              <w:tl2br w:val="nil"/>
              <w:tr2bl w:val="nil"/>
            </w:tcBorders>
            <w:vAlign w:val="center"/>
          </w:tcPr>
          <w:p w14:paraId="75887D03">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highlight w:val="none"/>
                <w:u w:val="none"/>
                <w:lang w:val="en-US" w:eastAsia="zh-CN" w:bidi="ar"/>
              </w:rPr>
            </w:pPr>
            <w:r>
              <w:rPr>
                <w:rFonts w:hint="eastAsia" w:ascii="Times New Roman" w:hAnsi="Times New Roman" w:eastAsia="宋体" w:cs="Times New Roman"/>
                <w:i w:val="0"/>
                <w:iCs w:val="0"/>
                <w:color w:val="0000FF"/>
                <w:kern w:val="0"/>
                <w:sz w:val="21"/>
                <w:szCs w:val="21"/>
                <w:highlight w:val="none"/>
                <w:u w:val="none"/>
                <w:lang w:val="en-US" w:eastAsia="zh-CN" w:bidi="ar"/>
              </w:rPr>
              <w:t>1.52</w:t>
            </w:r>
          </w:p>
        </w:tc>
        <w:tc>
          <w:tcPr>
            <w:tcW w:w="323" w:type="pct"/>
            <w:tcBorders>
              <w:tl2br w:val="nil"/>
              <w:tr2bl w:val="nil"/>
            </w:tcBorders>
            <w:vAlign w:val="center"/>
          </w:tcPr>
          <w:p w14:paraId="35E4F455">
            <w:pPr>
              <w:keepNext w:val="0"/>
              <w:keepLines w:val="0"/>
              <w:widowControl/>
              <w:suppressLineNumbers w:val="0"/>
              <w:jc w:val="center"/>
              <w:textAlignment w:val="center"/>
              <w:rPr>
                <w:rFonts w:hint="default" w:ascii="Times New Roman" w:hAnsi="Times New Roman" w:eastAsia="宋体" w:cs="Times New Roman"/>
                <w:i w:val="0"/>
                <w:iCs w:val="0"/>
                <w:color w:val="0000FF"/>
                <w:kern w:val="0"/>
                <w:sz w:val="21"/>
                <w:szCs w:val="21"/>
                <w:highlight w:val="none"/>
                <w:u w:val="none"/>
                <w:lang w:val="en-US" w:eastAsia="zh-CN" w:bidi="ar"/>
              </w:rPr>
            </w:pPr>
            <w:r>
              <w:rPr>
                <w:rFonts w:hint="eastAsia" w:ascii="Times New Roman" w:hAnsi="Times New Roman" w:eastAsia="宋体" w:cs="Times New Roman"/>
                <w:i w:val="0"/>
                <w:iCs w:val="0"/>
                <w:color w:val="0000FF"/>
                <w:kern w:val="0"/>
                <w:sz w:val="21"/>
                <w:szCs w:val="21"/>
                <w:highlight w:val="none"/>
                <w:u w:val="none"/>
                <w:lang w:val="en-US" w:eastAsia="zh-CN" w:bidi="ar"/>
              </w:rPr>
              <w:t>6.66</w:t>
            </w:r>
          </w:p>
        </w:tc>
        <w:tc>
          <w:tcPr>
            <w:tcW w:w="675" w:type="pct"/>
            <w:tcBorders>
              <w:tl2br w:val="nil"/>
              <w:tr2bl w:val="nil"/>
            </w:tcBorders>
            <w:vAlign w:val="center"/>
          </w:tcPr>
          <w:p w14:paraId="06CC752A">
            <w:pPr>
              <w:keepNext w:val="0"/>
              <w:keepLines w:val="0"/>
              <w:widowControl/>
              <w:suppressLineNumbers w:val="0"/>
              <w:jc w:val="center"/>
              <w:textAlignment w:val="center"/>
              <w:rPr>
                <w:rFonts w:hint="default" w:ascii="Times New Roman" w:hAnsi="Times New Roman" w:eastAsia="宋体" w:cs="Times New Roman"/>
                <w:i w:val="0"/>
                <w:iCs w:val="0"/>
                <w:color w:val="0000FF"/>
                <w:kern w:val="0"/>
                <w:sz w:val="21"/>
                <w:szCs w:val="21"/>
                <w:highlight w:val="none"/>
                <w:u w:val="none"/>
                <w:lang w:val="en-US" w:eastAsia="zh-CN" w:bidi="ar"/>
              </w:rPr>
            </w:pPr>
            <w:r>
              <w:rPr>
                <w:rFonts w:hint="eastAsia" w:ascii="Times New Roman" w:hAnsi="Times New Roman" w:eastAsia="宋体" w:cs="Times New Roman"/>
                <w:i w:val="0"/>
                <w:iCs w:val="0"/>
                <w:color w:val="0000FF"/>
                <w:kern w:val="0"/>
                <w:sz w:val="21"/>
                <w:szCs w:val="21"/>
                <w:highlight w:val="none"/>
                <w:u w:val="none"/>
                <w:lang w:val="en-US" w:eastAsia="zh-CN" w:bidi="ar"/>
              </w:rPr>
              <w:t>集气罩+</w:t>
            </w:r>
            <w:r>
              <w:rPr>
                <w:rFonts w:hint="default" w:ascii="Times New Roman" w:hAnsi="Times New Roman" w:eastAsia="宋体" w:cs="Times New Roman"/>
                <w:i w:val="0"/>
                <w:iCs w:val="0"/>
                <w:color w:val="0000FF"/>
                <w:kern w:val="0"/>
                <w:sz w:val="21"/>
                <w:szCs w:val="21"/>
                <w:highlight w:val="none"/>
                <w:u w:val="none"/>
                <w:lang w:val="en-US" w:eastAsia="zh-CN" w:bidi="ar"/>
              </w:rPr>
              <w:t>袋式除尘+</w:t>
            </w:r>
            <w:r>
              <w:rPr>
                <w:rFonts w:hint="default" w:ascii="Times New Roman" w:hAnsi="Times New Roman" w:eastAsia="宋体" w:cs="Times New Roman"/>
                <w:color w:val="0000FF"/>
                <w:sz w:val="21"/>
                <w:highlight w:val="none"/>
                <w:lang w:val="en-US" w:eastAsia="zh-CN" w:bidi="ar-SA"/>
              </w:rPr>
              <w:t>15m</w:t>
            </w:r>
            <w:r>
              <w:rPr>
                <w:rFonts w:hint="default" w:ascii="Times New Roman" w:hAnsi="Times New Roman" w:eastAsia="宋体" w:cs="Times New Roman"/>
                <w:i w:val="0"/>
                <w:iCs w:val="0"/>
                <w:color w:val="0000FF"/>
                <w:kern w:val="0"/>
                <w:sz w:val="21"/>
                <w:szCs w:val="21"/>
                <w:highlight w:val="none"/>
                <w:u w:val="none"/>
                <w:lang w:val="en-US" w:eastAsia="zh-CN" w:bidi="ar"/>
              </w:rPr>
              <w:t>排气筒（DA002）</w:t>
            </w:r>
          </w:p>
        </w:tc>
        <w:tc>
          <w:tcPr>
            <w:tcW w:w="219" w:type="pct"/>
            <w:tcBorders>
              <w:tl2br w:val="nil"/>
              <w:tr2bl w:val="nil"/>
            </w:tcBorders>
            <w:vAlign w:val="center"/>
          </w:tcPr>
          <w:p w14:paraId="0E2AD317">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highlight w:val="none"/>
                <w:lang w:val="en-US" w:eastAsia="zh-CN" w:bidi="ar-SA"/>
              </w:rPr>
            </w:pPr>
            <w:r>
              <w:rPr>
                <w:rFonts w:hint="default" w:ascii="Times New Roman" w:hAnsi="Times New Roman" w:eastAsia="宋体" w:cs="Times New Roman"/>
                <w:color w:val="0000FF"/>
                <w:sz w:val="21"/>
                <w:highlight w:val="none"/>
                <w:lang w:val="en-US" w:eastAsia="zh-CN" w:bidi="ar-SA"/>
              </w:rPr>
              <w:t>98%</w:t>
            </w:r>
          </w:p>
        </w:tc>
        <w:tc>
          <w:tcPr>
            <w:tcW w:w="432" w:type="pct"/>
            <w:tcBorders>
              <w:tl2br w:val="nil"/>
              <w:tr2bl w:val="nil"/>
            </w:tcBorders>
            <w:vAlign w:val="center"/>
          </w:tcPr>
          <w:p w14:paraId="0ECCA394">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highlight w:val="none"/>
                <w:lang w:val="en-US" w:eastAsia="zh-CN" w:bidi="ar-SA"/>
              </w:rPr>
            </w:pPr>
            <w:r>
              <w:rPr>
                <w:rFonts w:hint="default" w:ascii="Times New Roman" w:hAnsi="Times New Roman" w:eastAsia="宋体" w:cs="Times New Roman"/>
                <w:color w:val="0000FF"/>
                <w:sz w:val="21"/>
                <w:highlight w:val="none"/>
                <w:lang w:val="en-US" w:eastAsia="zh-CN" w:bidi="ar-SA"/>
              </w:rPr>
              <w:t>可行</w:t>
            </w:r>
          </w:p>
        </w:tc>
        <w:tc>
          <w:tcPr>
            <w:tcW w:w="423" w:type="pct"/>
            <w:tcBorders>
              <w:tl2br w:val="nil"/>
              <w:tr2bl w:val="nil"/>
            </w:tcBorders>
            <w:vAlign w:val="center"/>
          </w:tcPr>
          <w:p w14:paraId="041D54E4">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highlight w:val="none"/>
                <w:u w:val="none"/>
                <w:lang w:val="en-US" w:eastAsia="zh-CN" w:bidi="ar"/>
              </w:rPr>
            </w:pPr>
            <w:r>
              <w:rPr>
                <w:rFonts w:hint="eastAsia" w:ascii="Times New Roman" w:hAnsi="Times New Roman" w:eastAsia="宋体" w:cs="Times New Roman"/>
                <w:i w:val="0"/>
                <w:iCs w:val="0"/>
                <w:color w:val="0000FF"/>
                <w:kern w:val="0"/>
                <w:sz w:val="21"/>
                <w:szCs w:val="21"/>
                <w:highlight w:val="none"/>
                <w:u w:val="none"/>
                <w:lang w:val="en-US" w:eastAsia="zh-CN" w:bidi="ar"/>
              </w:rPr>
              <w:t>12.16</w:t>
            </w:r>
          </w:p>
        </w:tc>
        <w:tc>
          <w:tcPr>
            <w:tcW w:w="374" w:type="pct"/>
            <w:tcBorders>
              <w:tl2br w:val="nil"/>
              <w:tr2bl w:val="nil"/>
            </w:tcBorders>
            <w:vAlign w:val="center"/>
          </w:tcPr>
          <w:p w14:paraId="6F1D8F07">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highlight w:val="none"/>
                <w:u w:val="none"/>
                <w:lang w:val="en-US" w:eastAsia="zh-CN" w:bidi="ar"/>
              </w:rPr>
            </w:pPr>
            <w:r>
              <w:rPr>
                <w:rFonts w:hint="eastAsia" w:ascii="Times New Roman" w:hAnsi="Times New Roman" w:eastAsia="宋体" w:cs="Times New Roman"/>
                <w:i w:val="0"/>
                <w:iCs w:val="0"/>
                <w:color w:val="0000FF"/>
                <w:kern w:val="0"/>
                <w:sz w:val="21"/>
                <w:szCs w:val="21"/>
                <w:highlight w:val="none"/>
                <w:u w:val="none"/>
                <w:lang w:val="en-US" w:eastAsia="zh-CN" w:bidi="ar"/>
              </w:rPr>
              <w:t>0.0304</w:t>
            </w:r>
          </w:p>
        </w:tc>
        <w:tc>
          <w:tcPr>
            <w:tcW w:w="328" w:type="pct"/>
            <w:tcBorders>
              <w:tl2br w:val="nil"/>
              <w:tr2bl w:val="nil"/>
            </w:tcBorders>
            <w:vAlign w:val="center"/>
          </w:tcPr>
          <w:p w14:paraId="55BFC944">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highlight w:val="none"/>
                <w:u w:val="none"/>
                <w:lang w:val="en-US" w:eastAsia="zh-CN" w:bidi="ar"/>
              </w:rPr>
            </w:pPr>
            <w:r>
              <w:rPr>
                <w:rFonts w:hint="eastAsia" w:ascii="Times New Roman" w:hAnsi="Times New Roman" w:eastAsia="宋体" w:cs="Times New Roman"/>
                <w:i w:val="0"/>
                <w:iCs w:val="0"/>
                <w:color w:val="0000FF"/>
                <w:kern w:val="0"/>
                <w:sz w:val="21"/>
                <w:szCs w:val="21"/>
                <w:highlight w:val="none"/>
                <w:u w:val="none"/>
                <w:lang w:val="en-US" w:eastAsia="zh-CN" w:bidi="ar"/>
              </w:rPr>
              <w:t>0.1332</w:t>
            </w:r>
          </w:p>
        </w:tc>
        <w:tc>
          <w:tcPr>
            <w:tcW w:w="368" w:type="pct"/>
            <w:vMerge w:val="restart"/>
            <w:tcBorders>
              <w:tl2br w:val="nil"/>
              <w:tr2bl w:val="nil"/>
            </w:tcBorders>
            <w:vAlign w:val="center"/>
          </w:tcPr>
          <w:p w14:paraId="3BE08A0D">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4380</w:t>
            </w:r>
          </w:p>
        </w:tc>
      </w:tr>
      <w:tr w14:paraId="5E2FCB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90" w:type="pct"/>
            <w:tcBorders>
              <w:tl2br w:val="nil"/>
              <w:tr2bl w:val="nil"/>
            </w:tcBorders>
            <w:vAlign w:val="center"/>
          </w:tcPr>
          <w:p w14:paraId="7C973256">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颗粒物</w:t>
            </w:r>
          </w:p>
        </w:tc>
        <w:tc>
          <w:tcPr>
            <w:tcW w:w="466" w:type="pct"/>
            <w:tcBorders>
              <w:tl2br w:val="nil"/>
              <w:tr2bl w:val="nil"/>
            </w:tcBorders>
            <w:vAlign w:val="center"/>
          </w:tcPr>
          <w:p w14:paraId="56ADD9AC">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kern w:val="2"/>
                <w:sz w:val="21"/>
                <w:szCs w:val="22"/>
                <w:lang w:val="en-US" w:eastAsia="zh-CN"/>
              </w:rPr>
              <w:t>车辆进出场</w:t>
            </w:r>
          </w:p>
        </w:tc>
        <w:tc>
          <w:tcPr>
            <w:tcW w:w="312" w:type="pct"/>
            <w:tcBorders>
              <w:tl2br w:val="nil"/>
              <w:tr2bl w:val="nil"/>
            </w:tcBorders>
            <w:vAlign w:val="center"/>
          </w:tcPr>
          <w:p w14:paraId="2C0EB6CB">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kern w:val="2"/>
                <w:sz w:val="21"/>
                <w:szCs w:val="22"/>
                <w:lang w:val="en-US" w:eastAsia="zh-CN"/>
              </w:rPr>
              <w:t>无组织</w:t>
            </w:r>
          </w:p>
        </w:tc>
        <w:tc>
          <w:tcPr>
            <w:tcW w:w="398" w:type="pct"/>
            <w:tcBorders>
              <w:tl2br w:val="nil"/>
              <w:tr2bl w:val="nil"/>
            </w:tcBorders>
            <w:vAlign w:val="center"/>
          </w:tcPr>
          <w:p w14:paraId="56CADDC5">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kern w:val="2"/>
                <w:sz w:val="21"/>
                <w:szCs w:val="22"/>
                <w:lang w:val="en-US" w:eastAsia="zh-CN"/>
              </w:rPr>
              <w:t>/</w:t>
            </w:r>
          </w:p>
        </w:tc>
        <w:tc>
          <w:tcPr>
            <w:tcW w:w="389" w:type="pct"/>
            <w:tcBorders>
              <w:tl2br w:val="nil"/>
              <w:tr2bl w:val="nil"/>
            </w:tcBorders>
            <w:vAlign w:val="center"/>
          </w:tcPr>
          <w:p w14:paraId="1E3489E3">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kern w:val="2"/>
                <w:sz w:val="21"/>
                <w:szCs w:val="22"/>
                <w:lang w:val="en-US" w:eastAsia="zh-CN"/>
              </w:rPr>
              <w:t>0.0023</w:t>
            </w:r>
          </w:p>
        </w:tc>
        <w:tc>
          <w:tcPr>
            <w:tcW w:w="323" w:type="pct"/>
            <w:tcBorders>
              <w:tl2br w:val="nil"/>
              <w:tr2bl w:val="nil"/>
            </w:tcBorders>
            <w:vAlign w:val="center"/>
          </w:tcPr>
          <w:p w14:paraId="3F98370A">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sz w:val="21"/>
                <w:szCs w:val="21"/>
                <w:lang w:val="en-US" w:eastAsia="zh-CN"/>
              </w:rPr>
              <w:t>0.01</w:t>
            </w:r>
          </w:p>
        </w:tc>
        <w:tc>
          <w:tcPr>
            <w:tcW w:w="675" w:type="pct"/>
            <w:vMerge w:val="restart"/>
            <w:tcBorders>
              <w:tl2br w:val="nil"/>
              <w:tr2bl w:val="nil"/>
            </w:tcBorders>
            <w:vAlign w:val="center"/>
          </w:tcPr>
          <w:p w14:paraId="63EE161C">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kern w:val="2"/>
                <w:sz w:val="21"/>
                <w:szCs w:val="22"/>
                <w:lang w:val="en-US" w:eastAsia="zh-CN"/>
              </w:rPr>
              <w:t>加强车辆管理</w:t>
            </w:r>
          </w:p>
        </w:tc>
        <w:tc>
          <w:tcPr>
            <w:tcW w:w="219" w:type="pct"/>
            <w:vMerge w:val="restart"/>
            <w:tcBorders>
              <w:tl2br w:val="nil"/>
              <w:tr2bl w:val="nil"/>
            </w:tcBorders>
            <w:vAlign w:val="center"/>
          </w:tcPr>
          <w:p w14:paraId="0023AA2E">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kern w:val="2"/>
                <w:sz w:val="21"/>
                <w:szCs w:val="22"/>
                <w:lang w:val="en-US" w:eastAsia="zh-CN"/>
              </w:rPr>
              <w:t>/</w:t>
            </w:r>
          </w:p>
        </w:tc>
        <w:tc>
          <w:tcPr>
            <w:tcW w:w="432" w:type="pct"/>
            <w:vMerge w:val="restart"/>
            <w:tcBorders>
              <w:tl2br w:val="nil"/>
              <w:tr2bl w:val="nil"/>
            </w:tcBorders>
            <w:vAlign w:val="center"/>
          </w:tcPr>
          <w:p w14:paraId="710CA260">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kern w:val="2"/>
                <w:sz w:val="21"/>
                <w:szCs w:val="22"/>
                <w:lang w:val="en-US" w:eastAsia="zh-CN"/>
              </w:rPr>
              <w:t>可行</w:t>
            </w:r>
          </w:p>
        </w:tc>
        <w:tc>
          <w:tcPr>
            <w:tcW w:w="423" w:type="pct"/>
            <w:tcBorders>
              <w:tl2br w:val="nil"/>
              <w:tr2bl w:val="nil"/>
            </w:tcBorders>
            <w:vAlign w:val="center"/>
          </w:tcPr>
          <w:p w14:paraId="57FB7D54">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kern w:val="2"/>
                <w:sz w:val="21"/>
                <w:szCs w:val="22"/>
                <w:lang w:val="en-US" w:eastAsia="zh-CN"/>
              </w:rPr>
              <w:t>/</w:t>
            </w:r>
          </w:p>
        </w:tc>
        <w:tc>
          <w:tcPr>
            <w:tcW w:w="374" w:type="pct"/>
            <w:tcBorders>
              <w:tl2br w:val="nil"/>
              <w:tr2bl w:val="nil"/>
            </w:tcBorders>
            <w:vAlign w:val="center"/>
          </w:tcPr>
          <w:p w14:paraId="2B43CA4B">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eastAsia" w:ascii="Times New Roman" w:hAnsi="Times New Roman" w:eastAsia="宋体" w:cs="Times New Roman"/>
                <w:color w:val="0000FF"/>
                <w:sz w:val="21"/>
                <w:szCs w:val="21"/>
                <w:highlight w:val="none"/>
                <w:lang w:val="en-US" w:eastAsia="zh-CN"/>
              </w:rPr>
              <w:t>0.0023</w:t>
            </w:r>
          </w:p>
        </w:tc>
        <w:tc>
          <w:tcPr>
            <w:tcW w:w="328" w:type="pct"/>
            <w:tcBorders>
              <w:tl2br w:val="nil"/>
              <w:tr2bl w:val="nil"/>
            </w:tcBorders>
            <w:vAlign w:val="center"/>
          </w:tcPr>
          <w:p w14:paraId="202FA268">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sz w:val="21"/>
                <w:szCs w:val="21"/>
                <w:lang w:val="en-US" w:eastAsia="zh-CN"/>
              </w:rPr>
              <w:t>0.01</w:t>
            </w:r>
          </w:p>
        </w:tc>
        <w:tc>
          <w:tcPr>
            <w:tcW w:w="368" w:type="pct"/>
            <w:vMerge w:val="continue"/>
            <w:tcBorders>
              <w:tl2br w:val="nil"/>
              <w:tr2bl w:val="nil"/>
            </w:tcBorders>
            <w:vAlign w:val="center"/>
          </w:tcPr>
          <w:p w14:paraId="76B52950">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p>
        </w:tc>
      </w:tr>
      <w:tr w14:paraId="46B2CC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90" w:type="pct"/>
            <w:tcBorders>
              <w:tl2br w:val="nil"/>
              <w:tr2bl w:val="nil"/>
            </w:tcBorders>
            <w:vAlign w:val="center"/>
          </w:tcPr>
          <w:p w14:paraId="59239231">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颗粒物</w:t>
            </w:r>
          </w:p>
        </w:tc>
        <w:tc>
          <w:tcPr>
            <w:tcW w:w="466" w:type="pct"/>
            <w:tcBorders>
              <w:tl2br w:val="nil"/>
              <w:tr2bl w:val="nil"/>
            </w:tcBorders>
            <w:vAlign w:val="center"/>
          </w:tcPr>
          <w:p w14:paraId="0D607833">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kern w:val="2"/>
                <w:sz w:val="21"/>
                <w:szCs w:val="22"/>
                <w:lang w:val="en-US" w:eastAsia="zh-CN"/>
              </w:rPr>
              <w:t>卸料转运粉尘</w:t>
            </w:r>
          </w:p>
        </w:tc>
        <w:tc>
          <w:tcPr>
            <w:tcW w:w="312" w:type="pct"/>
            <w:tcBorders>
              <w:tl2br w:val="nil"/>
              <w:tr2bl w:val="nil"/>
            </w:tcBorders>
            <w:vAlign w:val="center"/>
          </w:tcPr>
          <w:p w14:paraId="1735B711">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无组织</w:t>
            </w:r>
          </w:p>
        </w:tc>
        <w:tc>
          <w:tcPr>
            <w:tcW w:w="398" w:type="pct"/>
            <w:tcBorders>
              <w:tl2br w:val="nil"/>
              <w:tr2bl w:val="nil"/>
            </w:tcBorders>
            <w:vAlign w:val="center"/>
          </w:tcPr>
          <w:p w14:paraId="117F1D54">
            <w:pPr>
              <w:jc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w:t>
            </w:r>
          </w:p>
        </w:tc>
        <w:tc>
          <w:tcPr>
            <w:tcW w:w="389" w:type="pct"/>
            <w:tcBorders>
              <w:tl2br w:val="nil"/>
              <w:tr2bl w:val="nil"/>
            </w:tcBorders>
            <w:vAlign w:val="center"/>
          </w:tcPr>
          <w:p w14:paraId="17273134">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kern w:val="2"/>
                <w:sz w:val="21"/>
                <w:szCs w:val="22"/>
                <w:lang w:val="en-US" w:eastAsia="zh-CN"/>
              </w:rPr>
              <w:t>0.1142</w:t>
            </w:r>
          </w:p>
        </w:tc>
        <w:tc>
          <w:tcPr>
            <w:tcW w:w="323" w:type="pct"/>
            <w:tcBorders>
              <w:tl2br w:val="nil"/>
              <w:tr2bl w:val="nil"/>
            </w:tcBorders>
            <w:vAlign w:val="center"/>
          </w:tcPr>
          <w:p w14:paraId="65B8E942">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sz w:val="21"/>
                <w:szCs w:val="21"/>
                <w:lang w:val="en-US" w:eastAsia="zh-CN"/>
              </w:rPr>
              <w:t>0.5</w:t>
            </w:r>
          </w:p>
        </w:tc>
        <w:tc>
          <w:tcPr>
            <w:tcW w:w="675" w:type="pct"/>
            <w:vMerge w:val="continue"/>
            <w:tcBorders>
              <w:tl2br w:val="nil"/>
              <w:tr2bl w:val="nil"/>
            </w:tcBorders>
            <w:vAlign w:val="center"/>
          </w:tcPr>
          <w:p w14:paraId="421C800C">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p>
        </w:tc>
        <w:tc>
          <w:tcPr>
            <w:tcW w:w="219" w:type="pct"/>
            <w:vMerge w:val="continue"/>
            <w:tcBorders>
              <w:tl2br w:val="nil"/>
              <w:tr2bl w:val="nil"/>
            </w:tcBorders>
            <w:vAlign w:val="center"/>
          </w:tcPr>
          <w:p w14:paraId="441682F5">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p>
        </w:tc>
        <w:tc>
          <w:tcPr>
            <w:tcW w:w="432" w:type="pct"/>
            <w:vMerge w:val="continue"/>
            <w:tcBorders>
              <w:tl2br w:val="nil"/>
              <w:tr2bl w:val="nil"/>
            </w:tcBorders>
            <w:vAlign w:val="center"/>
          </w:tcPr>
          <w:p w14:paraId="7A405E92">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p>
        </w:tc>
        <w:tc>
          <w:tcPr>
            <w:tcW w:w="423" w:type="pct"/>
            <w:tcBorders>
              <w:tl2br w:val="nil"/>
              <w:tr2bl w:val="nil"/>
            </w:tcBorders>
            <w:vAlign w:val="center"/>
          </w:tcPr>
          <w:p w14:paraId="2A4BE965">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kern w:val="2"/>
                <w:sz w:val="21"/>
                <w:szCs w:val="22"/>
                <w:lang w:val="en-US" w:eastAsia="zh-CN"/>
              </w:rPr>
              <w:t>/</w:t>
            </w:r>
          </w:p>
        </w:tc>
        <w:tc>
          <w:tcPr>
            <w:tcW w:w="374" w:type="pct"/>
            <w:tcBorders>
              <w:tl2br w:val="nil"/>
              <w:tr2bl w:val="nil"/>
            </w:tcBorders>
            <w:vAlign w:val="center"/>
          </w:tcPr>
          <w:p w14:paraId="78B64B05">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kern w:val="2"/>
                <w:sz w:val="21"/>
                <w:szCs w:val="22"/>
                <w:lang w:val="en-US" w:eastAsia="zh-CN"/>
              </w:rPr>
              <w:t>0.1142</w:t>
            </w:r>
          </w:p>
        </w:tc>
        <w:tc>
          <w:tcPr>
            <w:tcW w:w="328" w:type="pct"/>
            <w:tcBorders>
              <w:tl2br w:val="nil"/>
              <w:tr2bl w:val="nil"/>
            </w:tcBorders>
            <w:vAlign w:val="center"/>
          </w:tcPr>
          <w:p w14:paraId="35A7883B">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sz w:val="21"/>
                <w:szCs w:val="21"/>
                <w:lang w:val="en-US" w:eastAsia="zh-CN"/>
              </w:rPr>
              <w:t>0.5</w:t>
            </w:r>
          </w:p>
        </w:tc>
        <w:tc>
          <w:tcPr>
            <w:tcW w:w="368" w:type="pct"/>
            <w:vMerge w:val="continue"/>
            <w:tcBorders>
              <w:tl2br w:val="nil"/>
              <w:tr2bl w:val="nil"/>
            </w:tcBorders>
            <w:vAlign w:val="center"/>
          </w:tcPr>
          <w:p w14:paraId="0DA1B5E6">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p>
        </w:tc>
      </w:tr>
      <w:tr w14:paraId="3B9AC91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90" w:type="pct"/>
            <w:tcBorders>
              <w:tl2br w:val="nil"/>
              <w:tr2bl w:val="nil"/>
            </w:tcBorders>
            <w:vAlign w:val="center"/>
          </w:tcPr>
          <w:p w14:paraId="7A7939FA">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颗粒物</w:t>
            </w:r>
          </w:p>
        </w:tc>
        <w:tc>
          <w:tcPr>
            <w:tcW w:w="466" w:type="pct"/>
            <w:tcBorders>
              <w:tl2br w:val="nil"/>
              <w:tr2bl w:val="nil"/>
            </w:tcBorders>
            <w:vAlign w:val="center"/>
          </w:tcPr>
          <w:p w14:paraId="2B1BC647">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color w:val="0000FF"/>
                <w:kern w:val="2"/>
                <w:sz w:val="21"/>
                <w:szCs w:val="22"/>
                <w:lang w:val="en-US" w:eastAsia="zh-CN"/>
              </w:rPr>
              <w:t>菌剂、秸秆投料粉尘</w:t>
            </w:r>
          </w:p>
        </w:tc>
        <w:tc>
          <w:tcPr>
            <w:tcW w:w="312" w:type="pct"/>
            <w:tcBorders>
              <w:tl2br w:val="nil"/>
              <w:tr2bl w:val="nil"/>
            </w:tcBorders>
            <w:vAlign w:val="center"/>
          </w:tcPr>
          <w:p w14:paraId="04AD3098">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无组织</w:t>
            </w:r>
          </w:p>
        </w:tc>
        <w:tc>
          <w:tcPr>
            <w:tcW w:w="398" w:type="pct"/>
            <w:tcBorders>
              <w:tl2br w:val="nil"/>
              <w:tr2bl w:val="nil"/>
            </w:tcBorders>
            <w:vAlign w:val="center"/>
          </w:tcPr>
          <w:p w14:paraId="1D0C2B8C">
            <w:pPr>
              <w:jc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w:t>
            </w:r>
          </w:p>
        </w:tc>
        <w:tc>
          <w:tcPr>
            <w:tcW w:w="389" w:type="pct"/>
            <w:tcBorders>
              <w:tl2br w:val="nil"/>
              <w:tr2bl w:val="nil"/>
            </w:tcBorders>
            <w:vAlign w:val="center"/>
          </w:tcPr>
          <w:p w14:paraId="6F80379F">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sz w:val="21"/>
                <w:szCs w:val="21"/>
                <w:lang w:val="en-US" w:eastAsia="zh-CN"/>
              </w:rPr>
              <w:t>0.0115</w:t>
            </w:r>
          </w:p>
        </w:tc>
        <w:tc>
          <w:tcPr>
            <w:tcW w:w="323" w:type="pct"/>
            <w:tcBorders>
              <w:tl2br w:val="nil"/>
              <w:tr2bl w:val="nil"/>
            </w:tcBorders>
            <w:vAlign w:val="center"/>
          </w:tcPr>
          <w:p w14:paraId="754F449B">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sz w:val="21"/>
                <w:szCs w:val="21"/>
                <w:lang w:val="en-US" w:eastAsia="zh-CN"/>
              </w:rPr>
              <w:t>0.0503</w:t>
            </w:r>
          </w:p>
        </w:tc>
        <w:tc>
          <w:tcPr>
            <w:tcW w:w="675" w:type="pct"/>
            <w:tcBorders>
              <w:tl2br w:val="nil"/>
              <w:tr2bl w:val="nil"/>
            </w:tcBorders>
            <w:vAlign w:val="center"/>
          </w:tcPr>
          <w:p w14:paraId="25A8FB77">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kern w:val="2"/>
                <w:sz w:val="21"/>
                <w:szCs w:val="22"/>
                <w:lang w:val="en-US" w:eastAsia="zh-CN"/>
              </w:rPr>
              <w:t>湿料混合，</w:t>
            </w:r>
            <w:r>
              <w:rPr>
                <w:rFonts w:hint="default" w:ascii="Times New Roman" w:hAnsi="Times New Roman" w:eastAsia="宋体" w:cs="Times New Roman"/>
                <w:color w:val="0000FF"/>
                <w:sz w:val="21"/>
                <w:lang w:val="en-US" w:eastAsia="zh-CN" w:bidi="ar-SA"/>
              </w:rPr>
              <w:t>加强封闭式作业</w:t>
            </w:r>
          </w:p>
        </w:tc>
        <w:tc>
          <w:tcPr>
            <w:tcW w:w="219" w:type="pct"/>
            <w:tcBorders>
              <w:tl2br w:val="nil"/>
              <w:tr2bl w:val="nil"/>
            </w:tcBorders>
            <w:vAlign w:val="center"/>
          </w:tcPr>
          <w:p w14:paraId="5F9D5D0A">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kern w:val="2"/>
                <w:sz w:val="21"/>
                <w:szCs w:val="22"/>
                <w:lang w:val="en-US" w:eastAsia="zh-CN"/>
              </w:rPr>
              <w:t>/</w:t>
            </w:r>
          </w:p>
        </w:tc>
        <w:tc>
          <w:tcPr>
            <w:tcW w:w="432" w:type="pct"/>
            <w:tcBorders>
              <w:tl2br w:val="nil"/>
              <w:tr2bl w:val="nil"/>
            </w:tcBorders>
            <w:vAlign w:val="center"/>
          </w:tcPr>
          <w:p w14:paraId="7653D169">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kern w:val="2"/>
                <w:sz w:val="21"/>
                <w:szCs w:val="22"/>
                <w:lang w:val="en-US" w:eastAsia="zh-CN"/>
              </w:rPr>
              <w:t>可行</w:t>
            </w:r>
          </w:p>
        </w:tc>
        <w:tc>
          <w:tcPr>
            <w:tcW w:w="423" w:type="pct"/>
            <w:tcBorders>
              <w:tl2br w:val="nil"/>
              <w:tr2bl w:val="nil"/>
            </w:tcBorders>
            <w:vAlign w:val="center"/>
          </w:tcPr>
          <w:p w14:paraId="38FE1E76">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kern w:val="2"/>
                <w:sz w:val="21"/>
                <w:szCs w:val="22"/>
                <w:lang w:val="en-US" w:eastAsia="zh-CN"/>
              </w:rPr>
              <w:t>/</w:t>
            </w:r>
          </w:p>
        </w:tc>
        <w:tc>
          <w:tcPr>
            <w:tcW w:w="374" w:type="pct"/>
            <w:tcBorders>
              <w:tl2br w:val="nil"/>
              <w:tr2bl w:val="nil"/>
            </w:tcBorders>
            <w:vAlign w:val="center"/>
          </w:tcPr>
          <w:p w14:paraId="3AABF8F0">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sz w:val="21"/>
                <w:szCs w:val="21"/>
                <w:lang w:val="en-US" w:eastAsia="zh-CN"/>
              </w:rPr>
              <w:t>0.0115</w:t>
            </w:r>
          </w:p>
        </w:tc>
        <w:tc>
          <w:tcPr>
            <w:tcW w:w="328" w:type="pct"/>
            <w:tcBorders>
              <w:tl2br w:val="nil"/>
              <w:tr2bl w:val="nil"/>
            </w:tcBorders>
            <w:vAlign w:val="center"/>
          </w:tcPr>
          <w:p w14:paraId="69995A46">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sz w:val="21"/>
                <w:szCs w:val="21"/>
                <w:lang w:val="en-US" w:eastAsia="zh-CN"/>
              </w:rPr>
              <w:t>0.0503</w:t>
            </w:r>
          </w:p>
        </w:tc>
        <w:tc>
          <w:tcPr>
            <w:tcW w:w="368" w:type="pct"/>
            <w:vMerge w:val="continue"/>
            <w:tcBorders>
              <w:tl2br w:val="nil"/>
              <w:tr2bl w:val="nil"/>
            </w:tcBorders>
            <w:vAlign w:val="center"/>
          </w:tcPr>
          <w:p w14:paraId="05F9475C">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p>
        </w:tc>
      </w:tr>
      <w:tr w14:paraId="128899C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90" w:type="pct"/>
            <w:tcBorders>
              <w:tl2br w:val="nil"/>
              <w:tr2bl w:val="nil"/>
            </w:tcBorders>
            <w:vAlign w:val="center"/>
          </w:tcPr>
          <w:p w14:paraId="434F6979">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颗粒物</w:t>
            </w:r>
          </w:p>
        </w:tc>
        <w:tc>
          <w:tcPr>
            <w:tcW w:w="466" w:type="pct"/>
            <w:tcBorders>
              <w:tl2br w:val="nil"/>
              <w:tr2bl w:val="nil"/>
            </w:tcBorders>
            <w:vAlign w:val="center"/>
          </w:tcPr>
          <w:p w14:paraId="0F7ACBD4">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kern w:val="2"/>
                <w:sz w:val="21"/>
                <w:szCs w:val="22"/>
                <w:lang w:val="en-US" w:eastAsia="zh-CN"/>
              </w:rPr>
              <w:t>产品堆存粉尘</w:t>
            </w:r>
          </w:p>
        </w:tc>
        <w:tc>
          <w:tcPr>
            <w:tcW w:w="312" w:type="pct"/>
            <w:tcBorders>
              <w:tl2br w:val="nil"/>
              <w:tr2bl w:val="nil"/>
            </w:tcBorders>
            <w:vAlign w:val="center"/>
          </w:tcPr>
          <w:p w14:paraId="1E337E09">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无组织</w:t>
            </w:r>
          </w:p>
        </w:tc>
        <w:tc>
          <w:tcPr>
            <w:tcW w:w="398" w:type="pct"/>
            <w:tcBorders>
              <w:tl2br w:val="nil"/>
              <w:tr2bl w:val="nil"/>
            </w:tcBorders>
            <w:vAlign w:val="center"/>
          </w:tcPr>
          <w:p w14:paraId="02F52380">
            <w:pPr>
              <w:jc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w:t>
            </w:r>
          </w:p>
        </w:tc>
        <w:tc>
          <w:tcPr>
            <w:tcW w:w="389" w:type="pct"/>
            <w:tcBorders>
              <w:tl2br w:val="nil"/>
              <w:tr2bl w:val="nil"/>
            </w:tcBorders>
            <w:vAlign w:val="center"/>
          </w:tcPr>
          <w:p w14:paraId="1056F999">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0.0833</w:t>
            </w:r>
          </w:p>
        </w:tc>
        <w:tc>
          <w:tcPr>
            <w:tcW w:w="323" w:type="pct"/>
            <w:tcBorders>
              <w:tl2br w:val="nil"/>
              <w:tr2bl w:val="nil"/>
            </w:tcBorders>
            <w:vAlign w:val="center"/>
          </w:tcPr>
          <w:p w14:paraId="06D359C1">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0.730</w:t>
            </w:r>
          </w:p>
        </w:tc>
        <w:tc>
          <w:tcPr>
            <w:tcW w:w="675" w:type="pct"/>
            <w:tcBorders>
              <w:tl2br w:val="nil"/>
              <w:tr2bl w:val="nil"/>
            </w:tcBorders>
            <w:vAlign w:val="center"/>
          </w:tcPr>
          <w:p w14:paraId="2B1A799D">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kern w:val="2"/>
                <w:sz w:val="21"/>
                <w:szCs w:val="22"/>
                <w:lang w:val="en-US" w:eastAsia="zh-CN"/>
              </w:rPr>
              <w:t>封闭式堆场</w:t>
            </w:r>
          </w:p>
        </w:tc>
        <w:tc>
          <w:tcPr>
            <w:tcW w:w="219" w:type="pct"/>
            <w:tcBorders>
              <w:tl2br w:val="nil"/>
              <w:tr2bl w:val="nil"/>
            </w:tcBorders>
            <w:vAlign w:val="center"/>
          </w:tcPr>
          <w:p w14:paraId="3E56338A">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bidi="ar-SA"/>
              </w:rPr>
            </w:pPr>
            <w:r>
              <w:rPr>
                <w:rFonts w:hint="default" w:ascii="Times New Roman" w:hAnsi="Times New Roman" w:eastAsia="宋体" w:cs="Times New Roman"/>
                <w:i w:val="0"/>
                <w:iCs w:val="0"/>
                <w:color w:val="0000FF"/>
                <w:kern w:val="0"/>
                <w:sz w:val="21"/>
                <w:szCs w:val="21"/>
                <w:u w:val="none"/>
                <w:lang w:val="en-US" w:eastAsia="zh-CN" w:bidi="ar"/>
              </w:rPr>
              <w:t>99</w:t>
            </w:r>
            <w:r>
              <w:rPr>
                <w:rFonts w:hint="default" w:ascii="Times New Roman" w:hAnsi="Times New Roman" w:eastAsia="宋体" w:cs="Times New Roman"/>
                <w:color w:val="0000FF"/>
                <w:sz w:val="21"/>
                <w:lang w:val="en-US" w:eastAsia="zh-CN" w:bidi="ar-SA"/>
              </w:rPr>
              <w:t>%</w:t>
            </w:r>
          </w:p>
        </w:tc>
        <w:tc>
          <w:tcPr>
            <w:tcW w:w="432" w:type="pct"/>
            <w:tcBorders>
              <w:tl2br w:val="nil"/>
              <w:tr2bl w:val="nil"/>
            </w:tcBorders>
            <w:vAlign w:val="center"/>
          </w:tcPr>
          <w:p w14:paraId="20F6A929">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kern w:val="2"/>
                <w:sz w:val="21"/>
                <w:szCs w:val="22"/>
                <w:lang w:val="en-US" w:eastAsia="zh-CN"/>
              </w:rPr>
              <w:t>可行</w:t>
            </w:r>
          </w:p>
        </w:tc>
        <w:tc>
          <w:tcPr>
            <w:tcW w:w="423" w:type="pct"/>
            <w:tcBorders>
              <w:tl2br w:val="nil"/>
              <w:tr2bl w:val="nil"/>
            </w:tcBorders>
            <w:vAlign w:val="center"/>
          </w:tcPr>
          <w:p w14:paraId="60AA378E">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kern w:val="2"/>
                <w:sz w:val="21"/>
                <w:szCs w:val="22"/>
                <w:lang w:val="en-US" w:eastAsia="zh-CN"/>
              </w:rPr>
              <w:t>/</w:t>
            </w:r>
          </w:p>
        </w:tc>
        <w:tc>
          <w:tcPr>
            <w:tcW w:w="374" w:type="pct"/>
            <w:tcBorders>
              <w:tl2br w:val="nil"/>
              <w:tr2bl w:val="nil"/>
            </w:tcBorders>
            <w:vAlign w:val="center"/>
          </w:tcPr>
          <w:p w14:paraId="277095AC">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0.0008</w:t>
            </w:r>
          </w:p>
        </w:tc>
        <w:tc>
          <w:tcPr>
            <w:tcW w:w="328" w:type="pct"/>
            <w:tcBorders>
              <w:tl2br w:val="nil"/>
              <w:tr2bl w:val="nil"/>
            </w:tcBorders>
            <w:vAlign w:val="center"/>
          </w:tcPr>
          <w:p w14:paraId="1A2B0C73">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0.0073</w:t>
            </w:r>
          </w:p>
        </w:tc>
        <w:tc>
          <w:tcPr>
            <w:tcW w:w="368" w:type="pct"/>
            <w:tcBorders>
              <w:tl2br w:val="nil"/>
              <w:tr2bl w:val="nil"/>
            </w:tcBorders>
            <w:vAlign w:val="center"/>
          </w:tcPr>
          <w:p w14:paraId="38279DDC">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8760</w:t>
            </w:r>
          </w:p>
        </w:tc>
      </w:tr>
      <w:tr w14:paraId="6C7143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290" w:type="pct"/>
            <w:tcBorders>
              <w:tl2br w:val="nil"/>
              <w:tr2bl w:val="nil"/>
            </w:tcBorders>
            <w:vAlign w:val="center"/>
          </w:tcPr>
          <w:p w14:paraId="1F285130">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highlight w:val="none"/>
                <w:lang w:val="en-US" w:eastAsia="zh-CN" w:bidi="ar-SA"/>
              </w:rPr>
            </w:pPr>
            <w:r>
              <w:rPr>
                <w:rFonts w:hint="default" w:ascii="Times New Roman" w:hAnsi="Times New Roman" w:eastAsia="宋体" w:cs="Times New Roman"/>
                <w:color w:val="0000FF"/>
                <w:sz w:val="21"/>
                <w:highlight w:val="none"/>
                <w:lang w:val="en-US" w:eastAsia="zh-CN" w:bidi="ar-SA"/>
              </w:rPr>
              <w:t>颗粒物</w:t>
            </w:r>
          </w:p>
        </w:tc>
        <w:tc>
          <w:tcPr>
            <w:tcW w:w="466" w:type="pct"/>
            <w:tcBorders>
              <w:tl2br w:val="nil"/>
              <w:tr2bl w:val="nil"/>
            </w:tcBorders>
            <w:vAlign w:val="center"/>
          </w:tcPr>
          <w:p w14:paraId="31B3A6EE">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highlight w:val="none"/>
                <w:u w:val="none"/>
                <w:lang w:val="en-US" w:eastAsia="zh-CN" w:bidi="ar"/>
              </w:rPr>
            </w:pPr>
            <w:r>
              <w:rPr>
                <w:rFonts w:hint="default" w:ascii="Times New Roman" w:hAnsi="Times New Roman" w:eastAsia="宋体" w:cs="Times New Roman"/>
                <w:color w:val="0000FF"/>
                <w:kern w:val="2"/>
                <w:sz w:val="21"/>
                <w:szCs w:val="22"/>
                <w:highlight w:val="none"/>
                <w:lang w:val="en-US" w:eastAsia="zh-CN"/>
              </w:rPr>
              <w:t>生产车间（筛分、包装粉尘）</w:t>
            </w:r>
          </w:p>
        </w:tc>
        <w:tc>
          <w:tcPr>
            <w:tcW w:w="312" w:type="pct"/>
            <w:tcBorders>
              <w:tl2br w:val="nil"/>
              <w:tr2bl w:val="nil"/>
            </w:tcBorders>
            <w:vAlign w:val="center"/>
          </w:tcPr>
          <w:p w14:paraId="70D8A48A">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highlight w:val="none"/>
                <w:lang w:val="en-US" w:eastAsia="zh-CN" w:bidi="ar-SA"/>
              </w:rPr>
            </w:pPr>
            <w:r>
              <w:rPr>
                <w:rFonts w:hint="default" w:ascii="Times New Roman" w:hAnsi="Times New Roman" w:eastAsia="宋体" w:cs="Times New Roman"/>
                <w:color w:val="0000FF"/>
                <w:sz w:val="21"/>
                <w:highlight w:val="none"/>
                <w:lang w:val="en-US" w:eastAsia="zh-CN" w:bidi="ar-SA"/>
              </w:rPr>
              <w:t>无组织</w:t>
            </w:r>
          </w:p>
        </w:tc>
        <w:tc>
          <w:tcPr>
            <w:tcW w:w="398" w:type="pct"/>
            <w:tcBorders>
              <w:tl2br w:val="nil"/>
              <w:tr2bl w:val="nil"/>
            </w:tcBorders>
            <w:vAlign w:val="center"/>
          </w:tcPr>
          <w:p w14:paraId="6379300E">
            <w:pPr>
              <w:jc w:val="center"/>
              <w:rPr>
                <w:rFonts w:hint="default" w:ascii="Times New Roman" w:hAnsi="Times New Roman" w:eastAsia="宋体" w:cs="Times New Roman"/>
                <w:i w:val="0"/>
                <w:iCs w:val="0"/>
                <w:color w:val="0000FF"/>
                <w:kern w:val="0"/>
                <w:sz w:val="21"/>
                <w:szCs w:val="21"/>
                <w:highlight w:val="yellow"/>
                <w:u w:val="none"/>
                <w:lang w:val="en-US" w:eastAsia="zh-CN" w:bidi="ar"/>
              </w:rPr>
            </w:pPr>
            <w:r>
              <w:rPr>
                <w:rFonts w:hint="default" w:ascii="Times New Roman" w:hAnsi="Times New Roman" w:eastAsia="宋体" w:cs="Times New Roman"/>
                <w:i w:val="0"/>
                <w:iCs w:val="0"/>
                <w:color w:val="0000FF"/>
                <w:kern w:val="0"/>
                <w:sz w:val="21"/>
                <w:szCs w:val="21"/>
                <w:highlight w:val="none"/>
                <w:u w:val="none"/>
                <w:lang w:val="en-US" w:eastAsia="zh-CN" w:bidi="ar"/>
              </w:rPr>
              <w:t>/</w:t>
            </w:r>
          </w:p>
        </w:tc>
        <w:tc>
          <w:tcPr>
            <w:tcW w:w="389" w:type="pct"/>
            <w:tcBorders>
              <w:tl2br w:val="nil"/>
              <w:tr2bl w:val="nil"/>
            </w:tcBorders>
            <w:vAlign w:val="center"/>
          </w:tcPr>
          <w:p w14:paraId="11683DB3">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highlight w:val="none"/>
                <w:u w:val="none"/>
                <w:lang w:val="en-US" w:eastAsia="zh-CN" w:bidi="ar"/>
              </w:rPr>
            </w:pPr>
            <w:r>
              <w:rPr>
                <w:rFonts w:hint="eastAsia" w:ascii="Times New Roman" w:hAnsi="Times New Roman" w:eastAsia="宋体" w:cs="Times New Roman"/>
                <w:color w:val="0000FF"/>
                <w:sz w:val="21"/>
                <w:szCs w:val="21"/>
                <w:highlight w:val="none"/>
                <w:lang w:val="en-US" w:eastAsia="zh-CN"/>
              </w:rPr>
              <w:t>0.169</w:t>
            </w:r>
          </w:p>
        </w:tc>
        <w:tc>
          <w:tcPr>
            <w:tcW w:w="323" w:type="pct"/>
            <w:tcBorders>
              <w:tl2br w:val="nil"/>
              <w:tr2bl w:val="nil"/>
            </w:tcBorders>
            <w:vAlign w:val="center"/>
          </w:tcPr>
          <w:p w14:paraId="6693F1F0">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highlight w:val="none"/>
                <w:u w:val="none"/>
                <w:lang w:val="en-US" w:eastAsia="zh-CN" w:bidi="ar"/>
              </w:rPr>
            </w:pPr>
            <w:r>
              <w:rPr>
                <w:rFonts w:hint="eastAsia" w:ascii="Times New Roman" w:hAnsi="Times New Roman" w:eastAsia="宋体" w:cs="Times New Roman"/>
                <w:color w:val="0000FF"/>
                <w:sz w:val="21"/>
                <w:szCs w:val="21"/>
                <w:highlight w:val="none"/>
                <w:lang w:val="en-US" w:eastAsia="zh-CN"/>
              </w:rPr>
              <w:t>0.74</w:t>
            </w:r>
          </w:p>
        </w:tc>
        <w:tc>
          <w:tcPr>
            <w:tcW w:w="675" w:type="pct"/>
            <w:tcBorders>
              <w:tl2br w:val="nil"/>
              <w:tr2bl w:val="nil"/>
            </w:tcBorders>
            <w:vAlign w:val="center"/>
          </w:tcPr>
          <w:p w14:paraId="5B98E197">
            <w:pPr>
              <w:jc w:val="center"/>
              <w:rPr>
                <w:rFonts w:hint="default" w:ascii="Times New Roman" w:hAnsi="Times New Roman" w:eastAsia="宋体" w:cs="Times New Roman"/>
                <w:i w:val="0"/>
                <w:iCs w:val="0"/>
                <w:color w:val="0000FF"/>
                <w:kern w:val="0"/>
                <w:sz w:val="21"/>
                <w:szCs w:val="21"/>
                <w:highlight w:val="none"/>
                <w:u w:val="none"/>
                <w:lang w:val="en-US" w:eastAsia="zh-CN" w:bidi="ar"/>
              </w:rPr>
            </w:pPr>
            <w:r>
              <w:rPr>
                <w:rFonts w:hint="default" w:ascii="Times New Roman" w:hAnsi="Times New Roman" w:eastAsia="宋体" w:cs="Times New Roman"/>
                <w:color w:val="0000FF"/>
                <w:sz w:val="21"/>
                <w:highlight w:val="none"/>
                <w:lang w:val="en-US" w:eastAsia="zh-CN" w:bidi="ar-SA"/>
              </w:rPr>
              <w:t>加强封闭式作业</w:t>
            </w:r>
          </w:p>
        </w:tc>
        <w:tc>
          <w:tcPr>
            <w:tcW w:w="219" w:type="pct"/>
            <w:tcBorders>
              <w:tl2br w:val="nil"/>
              <w:tr2bl w:val="nil"/>
            </w:tcBorders>
            <w:vAlign w:val="center"/>
          </w:tcPr>
          <w:p w14:paraId="6DCF1040">
            <w:pPr>
              <w:jc w:val="center"/>
              <w:rPr>
                <w:rFonts w:hint="default" w:ascii="Times New Roman" w:hAnsi="Times New Roman" w:eastAsia="宋体" w:cs="Times New Roman"/>
                <w:i w:val="0"/>
                <w:iCs w:val="0"/>
                <w:color w:val="0000FF"/>
                <w:kern w:val="0"/>
                <w:sz w:val="21"/>
                <w:szCs w:val="21"/>
                <w:highlight w:val="none"/>
                <w:u w:val="none"/>
                <w:lang w:val="en-US" w:eastAsia="zh-CN" w:bidi="ar"/>
              </w:rPr>
            </w:pPr>
            <w:r>
              <w:rPr>
                <w:rFonts w:hint="default" w:ascii="Times New Roman" w:hAnsi="Times New Roman" w:eastAsia="宋体" w:cs="Times New Roman"/>
                <w:color w:val="0000FF"/>
                <w:kern w:val="2"/>
                <w:sz w:val="21"/>
                <w:szCs w:val="22"/>
                <w:highlight w:val="none"/>
                <w:lang w:val="en-US" w:eastAsia="zh-CN"/>
              </w:rPr>
              <w:t>/</w:t>
            </w:r>
          </w:p>
        </w:tc>
        <w:tc>
          <w:tcPr>
            <w:tcW w:w="432" w:type="pct"/>
            <w:tcBorders>
              <w:tl2br w:val="nil"/>
              <w:tr2bl w:val="nil"/>
            </w:tcBorders>
            <w:vAlign w:val="center"/>
          </w:tcPr>
          <w:p w14:paraId="60F6D929">
            <w:pPr>
              <w:jc w:val="center"/>
              <w:rPr>
                <w:rFonts w:hint="default" w:ascii="Times New Roman" w:hAnsi="Times New Roman" w:eastAsia="宋体" w:cs="Times New Roman"/>
                <w:i w:val="0"/>
                <w:iCs w:val="0"/>
                <w:color w:val="0000FF"/>
                <w:kern w:val="0"/>
                <w:sz w:val="21"/>
                <w:szCs w:val="21"/>
                <w:highlight w:val="none"/>
                <w:u w:val="none"/>
                <w:lang w:val="en-US" w:eastAsia="zh-CN" w:bidi="ar"/>
              </w:rPr>
            </w:pPr>
            <w:r>
              <w:rPr>
                <w:rFonts w:hint="default" w:ascii="Times New Roman" w:hAnsi="Times New Roman" w:eastAsia="宋体" w:cs="Times New Roman"/>
                <w:i w:val="0"/>
                <w:iCs w:val="0"/>
                <w:color w:val="0000FF"/>
                <w:kern w:val="0"/>
                <w:sz w:val="21"/>
                <w:szCs w:val="21"/>
                <w:highlight w:val="none"/>
                <w:u w:val="none"/>
                <w:lang w:val="en-US" w:eastAsia="zh-CN" w:bidi="ar"/>
              </w:rPr>
              <w:t>可行</w:t>
            </w:r>
          </w:p>
        </w:tc>
        <w:tc>
          <w:tcPr>
            <w:tcW w:w="423" w:type="pct"/>
            <w:tcBorders>
              <w:tl2br w:val="nil"/>
              <w:tr2bl w:val="nil"/>
            </w:tcBorders>
            <w:vAlign w:val="center"/>
          </w:tcPr>
          <w:p w14:paraId="34175CFD">
            <w:pPr>
              <w:jc w:val="center"/>
              <w:rPr>
                <w:rFonts w:hint="default" w:ascii="Times New Roman" w:hAnsi="Times New Roman" w:eastAsia="宋体" w:cs="Times New Roman"/>
                <w:i w:val="0"/>
                <w:iCs w:val="0"/>
                <w:color w:val="0000FF"/>
                <w:kern w:val="0"/>
                <w:sz w:val="21"/>
                <w:szCs w:val="21"/>
                <w:highlight w:val="none"/>
                <w:u w:val="none"/>
                <w:lang w:val="en-US" w:eastAsia="zh-CN" w:bidi="ar"/>
              </w:rPr>
            </w:pPr>
            <w:r>
              <w:rPr>
                <w:rFonts w:hint="default" w:ascii="Times New Roman" w:hAnsi="Times New Roman" w:eastAsia="宋体" w:cs="Times New Roman"/>
                <w:i w:val="0"/>
                <w:iCs w:val="0"/>
                <w:color w:val="0000FF"/>
                <w:kern w:val="0"/>
                <w:sz w:val="21"/>
                <w:szCs w:val="21"/>
                <w:highlight w:val="none"/>
                <w:u w:val="none"/>
                <w:lang w:val="en-US" w:eastAsia="zh-CN" w:bidi="ar"/>
              </w:rPr>
              <w:t>/</w:t>
            </w:r>
          </w:p>
        </w:tc>
        <w:tc>
          <w:tcPr>
            <w:tcW w:w="1061" w:type="dxa"/>
            <w:tcBorders>
              <w:tl2br w:val="nil"/>
              <w:tr2bl w:val="nil"/>
            </w:tcBorders>
            <w:vAlign w:val="center"/>
          </w:tcPr>
          <w:p w14:paraId="2F2A26F3">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highlight w:val="yellow"/>
                <w:u w:val="none"/>
                <w:lang w:val="en-US" w:eastAsia="zh-CN" w:bidi="ar"/>
              </w:rPr>
            </w:pPr>
            <w:r>
              <w:rPr>
                <w:rFonts w:hint="eastAsia" w:ascii="Times New Roman" w:hAnsi="Times New Roman" w:eastAsia="宋体" w:cs="Times New Roman"/>
                <w:color w:val="0000FF"/>
                <w:sz w:val="21"/>
                <w:szCs w:val="21"/>
                <w:highlight w:val="none"/>
                <w:lang w:val="en-US" w:eastAsia="zh-CN"/>
              </w:rPr>
              <w:t>0.169</w:t>
            </w:r>
          </w:p>
        </w:tc>
        <w:tc>
          <w:tcPr>
            <w:tcW w:w="930" w:type="dxa"/>
            <w:tcBorders>
              <w:tl2br w:val="nil"/>
              <w:tr2bl w:val="nil"/>
            </w:tcBorders>
            <w:vAlign w:val="center"/>
          </w:tcPr>
          <w:p w14:paraId="1DB3F79F">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highlight w:val="yellow"/>
                <w:u w:val="none"/>
                <w:lang w:val="en-US" w:eastAsia="zh-CN" w:bidi="ar"/>
              </w:rPr>
            </w:pPr>
            <w:r>
              <w:rPr>
                <w:rFonts w:hint="eastAsia" w:ascii="Times New Roman" w:hAnsi="Times New Roman" w:eastAsia="宋体" w:cs="Times New Roman"/>
                <w:color w:val="0000FF"/>
                <w:sz w:val="21"/>
                <w:szCs w:val="21"/>
                <w:highlight w:val="none"/>
                <w:lang w:val="en-US" w:eastAsia="zh-CN"/>
              </w:rPr>
              <w:t>0.74</w:t>
            </w:r>
          </w:p>
        </w:tc>
        <w:tc>
          <w:tcPr>
            <w:tcW w:w="368" w:type="pct"/>
            <w:tcBorders>
              <w:tl2br w:val="nil"/>
              <w:tr2bl w:val="nil"/>
            </w:tcBorders>
            <w:vAlign w:val="center"/>
          </w:tcPr>
          <w:p w14:paraId="0882A684">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4380</w:t>
            </w:r>
          </w:p>
        </w:tc>
      </w:tr>
      <w:tr w14:paraId="6ED8F1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5" w:hRule="atLeast"/>
          <w:jc w:val="center"/>
        </w:trPr>
        <w:tc>
          <w:tcPr>
            <w:tcW w:w="290" w:type="pct"/>
            <w:tcBorders>
              <w:tl2br w:val="nil"/>
              <w:tr2bl w:val="nil"/>
            </w:tcBorders>
            <w:vAlign w:val="center"/>
          </w:tcPr>
          <w:p w14:paraId="3703680D">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b w:val="0"/>
                <w:bCs w:val="0"/>
                <w:color w:val="0000FF"/>
                <w:kern w:val="2"/>
                <w:sz w:val="21"/>
                <w:szCs w:val="22"/>
                <w:lang w:val="en-US" w:eastAsia="zh-CN"/>
              </w:rPr>
              <w:t>氨</w:t>
            </w:r>
          </w:p>
        </w:tc>
        <w:tc>
          <w:tcPr>
            <w:tcW w:w="466" w:type="pct"/>
            <w:vMerge w:val="restart"/>
            <w:tcBorders>
              <w:tl2br w:val="nil"/>
              <w:tr2bl w:val="nil"/>
            </w:tcBorders>
            <w:vAlign w:val="center"/>
          </w:tcPr>
          <w:p w14:paraId="1EE2A951">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r>
              <w:rPr>
                <w:rFonts w:hint="default" w:ascii="Times New Roman" w:hAnsi="Times New Roman" w:eastAsia="宋体" w:cs="Times New Roman"/>
                <w:color w:val="0000FF"/>
                <w:kern w:val="2"/>
                <w:sz w:val="21"/>
                <w:szCs w:val="22"/>
                <w:lang w:val="en-US" w:eastAsia="zh-CN"/>
              </w:rPr>
              <w:t>发酵、卸料</w:t>
            </w:r>
          </w:p>
        </w:tc>
        <w:tc>
          <w:tcPr>
            <w:tcW w:w="312" w:type="pct"/>
            <w:vMerge w:val="restart"/>
            <w:tcBorders>
              <w:tl2br w:val="nil"/>
              <w:tr2bl w:val="nil"/>
            </w:tcBorders>
            <w:vAlign w:val="center"/>
          </w:tcPr>
          <w:p w14:paraId="15AE4604">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无组织</w:t>
            </w:r>
          </w:p>
        </w:tc>
        <w:tc>
          <w:tcPr>
            <w:tcW w:w="398" w:type="pct"/>
            <w:tcBorders>
              <w:tl2br w:val="nil"/>
              <w:tr2bl w:val="nil"/>
            </w:tcBorders>
            <w:vAlign w:val="center"/>
          </w:tcPr>
          <w:p w14:paraId="3BC93D8C">
            <w:pPr>
              <w:jc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w:t>
            </w:r>
          </w:p>
        </w:tc>
        <w:tc>
          <w:tcPr>
            <w:tcW w:w="389" w:type="pct"/>
            <w:tcBorders>
              <w:tl2br w:val="nil"/>
              <w:tr2bl w:val="nil"/>
            </w:tcBorders>
            <w:vAlign w:val="center"/>
          </w:tcPr>
          <w:p w14:paraId="204F5286">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0.0023</w:t>
            </w:r>
          </w:p>
        </w:tc>
        <w:tc>
          <w:tcPr>
            <w:tcW w:w="323" w:type="pct"/>
            <w:tcBorders>
              <w:tl2br w:val="nil"/>
              <w:tr2bl w:val="nil"/>
            </w:tcBorders>
            <w:vAlign w:val="center"/>
          </w:tcPr>
          <w:p w14:paraId="315A4A8C">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color w:val="0000FF"/>
                <w:sz w:val="21"/>
                <w:szCs w:val="21"/>
                <w:lang w:val="en-US" w:eastAsia="zh-CN"/>
              </w:rPr>
              <w:t>0.02</w:t>
            </w:r>
          </w:p>
        </w:tc>
        <w:tc>
          <w:tcPr>
            <w:tcW w:w="675" w:type="pct"/>
            <w:vMerge w:val="restart"/>
            <w:tcBorders>
              <w:tl2br w:val="nil"/>
              <w:tr2bl w:val="nil"/>
            </w:tcBorders>
            <w:vAlign w:val="center"/>
          </w:tcPr>
          <w:p w14:paraId="4F749488">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加强封闭式作业</w:t>
            </w:r>
          </w:p>
        </w:tc>
        <w:tc>
          <w:tcPr>
            <w:tcW w:w="219" w:type="pct"/>
            <w:vMerge w:val="restart"/>
            <w:tcBorders>
              <w:tl2br w:val="nil"/>
              <w:tr2bl w:val="nil"/>
            </w:tcBorders>
            <w:vAlign w:val="center"/>
          </w:tcPr>
          <w:p w14:paraId="5DB349AE">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kern w:val="2"/>
                <w:sz w:val="21"/>
                <w:szCs w:val="22"/>
                <w:lang w:val="en-US" w:eastAsia="zh-CN"/>
              </w:rPr>
              <w:t>/</w:t>
            </w:r>
          </w:p>
        </w:tc>
        <w:tc>
          <w:tcPr>
            <w:tcW w:w="432" w:type="pct"/>
            <w:vMerge w:val="restart"/>
            <w:tcBorders>
              <w:tl2br w:val="nil"/>
              <w:tr2bl w:val="nil"/>
            </w:tcBorders>
            <w:vAlign w:val="center"/>
          </w:tcPr>
          <w:p w14:paraId="21975273">
            <w:pPr>
              <w:jc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可行</w:t>
            </w:r>
          </w:p>
        </w:tc>
        <w:tc>
          <w:tcPr>
            <w:tcW w:w="423" w:type="pct"/>
            <w:tcBorders>
              <w:tl2br w:val="nil"/>
              <w:tr2bl w:val="nil"/>
            </w:tcBorders>
            <w:vAlign w:val="center"/>
          </w:tcPr>
          <w:p w14:paraId="5BCB3EA3">
            <w:pPr>
              <w:jc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w:t>
            </w:r>
          </w:p>
        </w:tc>
        <w:tc>
          <w:tcPr>
            <w:tcW w:w="374" w:type="pct"/>
            <w:tcBorders>
              <w:tl2br w:val="nil"/>
              <w:tr2bl w:val="nil"/>
            </w:tcBorders>
            <w:vAlign w:val="center"/>
          </w:tcPr>
          <w:p w14:paraId="691F6D66">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0.0023</w:t>
            </w:r>
          </w:p>
        </w:tc>
        <w:tc>
          <w:tcPr>
            <w:tcW w:w="328" w:type="pct"/>
            <w:tcBorders>
              <w:tl2br w:val="nil"/>
              <w:tr2bl w:val="nil"/>
            </w:tcBorders>
            <w:vAlign w:val="center"/>
          </w:tcPr>
          <w:p w14:paraId="32B6E968">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color w:val="0000FF"/>
                <w:sz w:val="21"/>
                <w:szCs w:val="21"/>
                <w:lang w:val="en-US" w:eastAsia="zh-CN"/>
              </w:rPr>
              <w:t>0.02</w:t>
            </w:r>
          </w:p>
        </w:tc>
        <w:tc>
          <w:tcPr>
            <w:tcW w:w="368" w:type="pct"/>
            <w:vMerge w:val="restart"/>
            <w:tcBorders>
              <w:tl2br w:val="nil"/>
              <w:tr2bl w:val="nil"/>
            </w:tcBorders>
            <w:vAlign w:val="center"/>
          </w:tcPr>
          <w:p w14:paraId="7B7FF3F3">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8760</w:t>
            </w:r>
          </w:p>
        </w:tc>
      </w:tr>
      <w:tr w14:paraId="2003A0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0" w:hRule="atLeast"/>
          <w:jc w:val="center"/>
        </w:trPr>
        <w:tc>
          <w:tcPr>
            <w:tcW w:w="290" w:type="pct"/>
            <w:tcBorders>
              <w:tl2br w:val="nil"/>
              <w:tr2bl w:val="nil"/>
            </w:tcBorders>
            <w:vAlign w:val="center"/>
          </w:tcPr>
          <w:p w14:paraId="16103B00">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硫化氢</w:t>
            </w:r>
          </w:p>
        </w:tc>
        <w:tc>
          <w:tcPr>
            <w:tcW w:w="466" w:type="pct"/>
            <w:vMerge w:val="continue"/>
            <w:tcBorders>
              <w:tl2br w:val="nil"/>
              <w:tr2bl w:val="nil"/>
            </w:tcBorders>
            <w:vAlign w:val="center"/>
          </w:tcPr>
          <w:p w14:paraId="3F5D5EC0">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p>
        </w:tc>
        <w:tc>
          <w:tcPr>
            <w:tcW w:w="312" w:type="pct"/>
            <w:vMerge w:val="continue"/>
            <w:tcBorders>
              <w:tl2br w:val="nil"/>
              <w:tr2bl w:val="nil"/>
            </w:tcBorders>
            <w:vAlign w:val="center"/>
          </w:tcPr>
          <w:p w14:paraId="29503E31">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p>
        </w:tc>
        <w:tc>
          <w:tcPr>
            <w:tcW w:w="398" w:type="pct"/>
            <w:tcBorders>
              <w:tl2br w:val="nil"/>
              <w:tr2bl w:val="nil"/>
            </w:tcBorders>
            <w:vAlign w:val="center"/>
          </w:tcPr>
          <w:p w14:paraId="4448A636">
            <w:pPr>
              <w:jc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w:t>
            </w:r>
          </w:p>
        </w:tc>
        <w:tc>
          <w:tcPr>
            <w:tcW w:w="389" w:type="pct"/>
            <w:tcBorders>
              <w:tl2br w:val="nil"/>
              <w:tr2bl w:val="nil"/>
            </w:tcBorders>
            <w:vAlign w:val="center"/>
          </w:tcPr>
          <w:p w14:paraId="7674F33B">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0.0012</w:t>
            </w:r>
          </w:p>
        </w:tc>
        <w:tc>
          <w:tcPr>
            <w:tcW w:w="323" w:type="pct"/>
            <w:tcBorders>
              <w:tl2br w:val="nil"/>
              <w:tr2bl w:val="nil"/>
            </w:tcBorders>
            <w:vAlign w:val="center"/>
          </w:tcPr>
          <w:p w14:paraId="376EFE96">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0.0104</w:t>
            </w:r>
          </w:p>
        </w:tc>
        <w:tc>
          <w:tcPr>
            <w:tcW w:w="675" w:type="pct"/>
            <w:vMerge w:val="continue"/>
            <w:tcBorders>
              <w:tl2br w:val="nil"/>
              <w:tr2bl w:val="nil"/>
            </w:tcBorders>
            <w:vAlign w:val="center"/>
          </w:tcPr>
          <w:p w14:paraId="7E0F434C">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p>
        </w:tc>
        <w:tc>
          <w:tcPr>
            <w:tcW w:w="219" w:type="pct"/>
            <w:vMerge w:val="continue"/>
            <w:tcBorders>
              <w:tl2br w:val="nil"/>
              <w:tr2bl w:val="nil"/>
            </w:tcBorders>
            <w:vAlign w:val="center"/>
          </w:tcPr>
          <w:p w14:paraId="7B6464FA">
            <w:pPr>
              <w:jc w:val="center"/>
              <w:rPr>
                <w:rFonts w:hint="default" w:ascii="Times New Roman" w:hAnsi="Times New Roman" w:eastAsia="宋体" w:cs="Times New Roman"/>
                <w:color w:val="0000FF"/>
                <w:sz w:val="21"/>
                <w:szCs w:val="21"/>
                <w:lang w:val="en-US" w:eastAsia="zh-CN"/>
              </w:rPr>
            </w:pPr>
          </w:p>
        </w:tc>
        <w:tc>
          <w:tcPr>
            <w:tcW w:w="432" w:type="pct"/>
            <w:vMerge w:val="continue"/>
            <w:tcBorders>
              <w:tl2br w:val="nil"/>
              <w:tr2bl w:val="nil"/>
            </w:tcBorders>
            <w:vAlign w:val="center"/>
          </w:tcPr>
          <w:p w14:paraId="1FFCE62D">
            <w:pPr>
              <w:jc w:val="center"/>
              <w:rPr>
                <w:rFonts w:hint="default" w:ascii="Times New Roman" w:hAnsi="Times New Roman" w:eastAsia="宋体" w:cs="Times New Roman"/>
                <w:i w:val="0"/>
                <w:iCs w:val="0"/>
                <w:color w:val="0000FF"/>
                <w:kern w:val="0"/>
                <w:sz w:val="21"/>
                <w:szCs w:val="21"/>
                <w:u w:val="none"/>
                <w:lang w:val="en-US" w:eastAsia="zh-CN" w:bidi="ar"/>
              </w:rPr>
            </w:pPr>
          </w:p>
        </w:tc>
        <w:tc>
          <w:tcPr>
            <w:tcW w:w="423" w:type="pct"/>
            <w:tcBorders>
              <w:tl2br w:val="nil"/>
              <w:tr2bl w:val="nil"/>
            </w:tcBorders>
            <w:vAlign w:val="center"/>
          </w:tcPr>
          <w:p w14:paraId="455FFDB8">
            <w:pPr>
              <w:jc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w:t>
            </w:r>
          </w:p>
        </w:tc>
        <w:tc>
          <w:tcPr>
            <w:tcW w:w="374" w:type="pct"/>
            <w:tcBorders>
              <w:tl2br w:val="nil"/>
              <w:tr2bl w:val="nil"/>
            </w:tcBorders>
            <w:vAlign w:val="center"/>
          </w:tcPr>
          <w:p w14:paraId="39746B16">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0.0012</w:t>
            </w:r>
          </w:p>
        </w:tc>
        <w:tc>
          <w:tcPr>
            <w:tcW w:w="328" w:type="pct"/>
            <w:tcBorders>
              <w:tl2br w:val="nil"/>
              <w:tr2bl w:val="nil"/>
            </w:tcBorders>
            <w:vAlign w:val="center"/>
          </w:tcPr>
          <w:p w14:paraId="1D7FFD36">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0.0104</w:t>
            </w:r>
          </w:p>
        </w:tc>
        <w:tc>
          <w:tcPr>
            <w:tcW w:w="368" w:type="pct"/>
            <w:vMerge w:val="continue"/>
            <w:tcBorders>
              <w:tl2br w:val="nil"/>
              <w:tr2bl w:val="nil"/>
            </w:tcBorders>
            <w:vAlign w:val="center"/>
          </w:tcPr>
          <w:p w14:paraId="438378B5">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auto"/>
                <w:sz w:val="21"/>
                <w:lang w:val="en-US" w:eastAsia="zh-CN" w:bidi="ar-SA"/>
              </w:rPr>
            </w:pPr>
          </w:p>
        </w:tc>
      </w:tr>
      <w:tr w14:paraId="4781CC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90" w:type="pct"/>
            <w:tcBorders>
              <w:tl2br w:val="nil"/>
              <w:tr2bl w:val="nil"/>
            </w:tcBorders>
            <w:vAlign w:val="center"/>
          </w:tcPr>
          <w:p w14:paraId="7E81AF7E">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臭气浓度</w:t>
            </w:r>
          </w:p>
        </w:tc>
        <w:tc>
          <w:tcPr>
            <w:tcW w:w="466" w:type="pct"/>
            <w:vMerge w:val="continue"/>
            <w:tcBorders>
              <w:tl2br w:val="nil"/>
              <w:tr2bl w:val="nil"/>
            </w:tcBorders>
            <w:vAlign w:val="center"/>
          </w:tcPr>
          <w:p w14:paraId="7C4F31D7">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2"/>
                <w:lang w:val="en-US" w:eastAsia="zh-CN"/>
              </w:rPr>
            </w:pPr>
          </w:p>
        </w:tc>
        <w:tc>
          <w:tcPr>
            <w:tcW w:w="312" w:type="pct"/>
            <w:vMerge w:val="continue"/>
            <w:tcBorders>
              <w:tl2br w:val="nil"/>
              <w:tr2bl w:val="nil"/>
            </w:tcBorders>
            <w:vAlign w:val="center"/>
          </w:tcPr>
          <w:p w14:paraId="5FA3AF54">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p>
        </w:tc>
        <w:tc>
          <w:tcPr>
            <w:tcW w:w="398" w:type="pct"/>
            <w:tcBorders>
              <w:tl2br w:val="nil"/>
              <w:tr2bl w:val="nil"/>
            </w:tcBorders>
            <w:vAlign w:val="center"/>
          </w:tcPr>
          <w:p w14:paraId="2BB590F0">
            <w:pPr>
              <w:jc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w:t>
            </w:r>
          </w:p>
        </w:tc>
        <w:tc>
          <w:tcPr>
            <w:tcW w:w="389" w:type="pct"/>
            <w:tcBorders>
              <w:tl2br w:val="nil"/>
              <w:tr2bl w:val="nil"/>
            </w:tcBorders>
            <w:vAlign w:val="center"/>
          </w:tcPr>
          <w:p w14:paraId="6C1DCC5E">
            <w:pPr>
              <w:jc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w:t>
            </w:r>
          </w:p>
        </w:tc>
        <w:tc>
          <w:tcPr>
            <w:tcW w:w="323" w:type="pct"/>
            <w:tcBorders>
              <w:tl2br w:val="nil"/>
              <w:tr2bl w:val="nil"/>
            </w:tcBorders>
            <w:vAlign w:val="center"/>
          </w:tcPr>
          <w:p w14:paraId="0AD259FE">
            <w:pPr>
              <w:keepNext w:val="0"/>
              <w:keepLines w:val="0"/>
              <w:widowControl/>
              <w:suppressLineNumbers w:val="0"/>
              <w:jc w:val="center"/>
              <w:textAlignment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i w:val="0"/>
                <w:iCs w:val="0"/>
                <w:color w:val="0000FF"/>
                <w:kern w:val="0"/>
                <w:sz w:val="21"/>
                <w:szCs w:val="21"/>
                <w:u w:val="none"/>
                <w:lang w:val="en-US" w:eastAsia="zh-CN" w:bidi="ar"/>
              </w:rPr>
              <w:t>少量</w:t>
            </w:r>
          </w:p>
        </w:tc>
        <w:tc>
          <w:tcPr>
            <w:tcW w:w="675" w:type="pct"/>
            <w:vMerge w:val="continue"/>
            <w:tcBorders>
              <w:tl2br w:val="nil"/>
              <w:tr2bl w:val="nil"/>
            </w:tcBorders>
            <w:vAlign w:val="center"/>
          </w:tcPr>
          <w:p w14:paraId="3FD28C79">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p>
        </w:tc>
        <w:tc>
          <w:tcPr>
            <w:tcW w:w="219" w:type="pct"/>
            <w:vMerge w:val="continue"/>
            <w:tcBorders>
              <w:tl2br w:val="nil"/>
              <w:tr2bl w:val="nil"/>
            </w:tcBorders>
            <w:vAlign w:val="center"/>
          </w:tcPr>
          <w:p w14:paraId="3712EDD6">
            <w:pPr>
              <w:jc w:val="center"/>
              <w:rPr>
                <w:rFonts w:hint="default" w:ascii="Times New Roman" w:hAnsi="Times New Roman" w:eastAsia="宋体" w:cs="Times New Roman"/>
                <w:color w:val="0000FF"/>
                <w:sz w:val="21"/>
                <w:szCs w:val="21"/>
                <w:lang w:val="en-US" w:eastAsia="zh-CN"/>
              </w:rPr>
            </w:pPr>
          </w:p>
        </w:tc>
        <w:tc>
          <w:tcPr>
            <w:tcW w:w="432" w:type="pct"/>
            <w:vMerge w:val="continue"/>
            <w:tcBorders>
              <w:tl2br w:val="nil"/>
              <w:tr2bl w:val="nil"/>
            </w:tcBorders>
            <w:vAlign w:val="center"/>
          </w:tcPr>
          <w:p w14:paraId="453C1C33">
            <w:pPr>
              <w:jc w:val="center"/>
              <w:rPr>
                <w:rFonts w:hint="default" w:ascii="Times New Roman" w:hAnsi="Times New Roman" w:eastAsia="宋体" w:cs="Times New Roman"/>
                <w:i w:val="0"/>
                <w:iCs w:val="0"/>
                <w:color w:val="0000FF"/>
                <w:kern w:val="0"/>
                <w:sz w:val="21"/>
                <w:szCs w:val="21"/>
                <w:u w:val="none"/>
                <w:lang w:val="en-US" w:eastAsia="zh-CN" w:bidi="ar"/>
              </w:rPr>
            </w:pPr>
          </w:p>
        </w:tc>
        <w:tc>
          <w:tcPr>
            <w:tcW w:w="423" w:type="pct"/>
            <w:tcBorders>
              <w:tl2br w:val="nil"/>
              <w:tr2bl w:val="nil"/>
            </w:tcBorders>
            <w:vAlign w:val="center"/>
          </w:tcPr>
          <w:p w14:paraId="306DFDC1">
            <w:pPr>
              <w:jc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w:t>
            </w:r>
          </w:p>
        </w:tc>
        <w:tc>
          <w:tcPr>
            <w:tcW w:w="374" w:type="pct"/>
            <w:tcBorders>
              <w:tl2br w:val="nil"/>
              <w:tr2bl w:val="nil"/>
            </w:tcBorders>
            <w:vAlign w:val="center"/>
          </w:tcPr>
          <w:p w14:paraId="54E471D3">
            <w:pPr>
              <w:jc w:val="center"/>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w:t>
            </w:r>
          </w:p>
        </w:tc>
        <w:tc>
          <w:tcPr>
            <w:tcW w:w="328" w:type="pct"/>
            <w:tcBorders>
              <w:tl2br w:val="nil"/>
              <w:tr2bl w:val="nil"/>
            </w:tcBorders>
            <w:vAlign w:val="center"/>
          </w:tcPr>
          <w:p w14:paraId="38B79B9A">
            <w:pPr>
              <w:keepNext w:val="0"/>
              <w:keepLines w:val="0"/>
              <w:widowControl/>
              <w:suppressLineNumbers w:val="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少量</w:t>
            </w:r>
          </w:p>
        </w:tc>
        <w:tc>
          <w:tcPr>
            <w:tcW w:w="368" w:type="pct"/>
            <w:vMerge w:val="continue"/>
            <w:tcBorders>
              <w:tl2br w:val="nil"/>
              <w:tr2bl w:val="nil"/>
            </w:tcBorders>
            <w:vAlign w:val="center"/>
          </w:tcPr>
          <w:p w14:paraId="00426586">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auto"/>
                <w:sz w:val="21"/>
                <w:lang w:val="en-US" w:eastAsia="zh-CN" w:bidi="ar-SA"/>
              </w:rPr>
            </w:pPr>
          </w:p>
        </w:tc>
      </w:tr>
    </w:tbl>
    <w:p w14:paraId="071BEFCD">
      <w:pPr>
        <w:widowControl w:val="0"/>
        <w:bidi w:val="0"/>
        <w:spacing w:line="400" w:lineRule="exact"/>
        <w:ind w:firstLine="0" w:firstLineChars="0"/>
        <w:jc w:val="center"/>
        <w:rPr>
          <w:rFonts w:hint="default" w:ascii="Times New Roman" w:hAnsi="Times New Roman" w:eastAsia="宋体" w:cs="Times New Roman"/>
          <w:b/>
          <w:color w:val="auto"/>
          <w:sz w:val="24"/>
          <w:szCs w:val="24"/>
          <w:lang w:val="en-US" w:eastAsia="zh-CN" w:bidi="ar-SA"/>
        </w:rPr>
      </w:pPr>
      <w:r>
        <w:rPr>
          <w:rFonts w:hint="default" w:ascii="Times New Roman" w:hAnsi="Times New Roman" w:eastAsia="宋体" w:cs="Times New Roman"/>
          <w:b/>
          <w:color w:val="auto"/>
          <w:sz w:val="24"/>
          <w:szCs w:val="24"/>
          <w:lang w:val="zh-CN" w:eastAsia="zh-CN" w:bidi="ar-SA"/>
        </w:rPr>
        <w:t>表</w:t>
      </w:r>
      <w:r>
        <w:rPr>
          <w:rFonts w:hint="default" w:ascii="Times New Roman" w:hAnsi="Times New Roman" w:eastAsia="宋体" w:cs="Times New Roman"/>
          <w:b/>
          <w:color w:val="auto"/>
          <w:sz w:val="24"/>
          <w:szCs w:val="24"/>
          <w:lang w:val="en-US" w:eastAsia="zh-CN" w:bidi="ar-SA"/>
        </w:rPr>
        <w:t>4.5-6点源大气排放口基本情况表</w:t>
      </w:r>
    </w:p>
    <w:tbl>
      <w:tblPr>
        <w:tblStyle w:val="22"/>
        <w:tblW w:w="5267"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07"/>
        <w:gridCol w:w="915"/>
        <w:gridCol w:w="878"/>
        <w:gridCol w:w="873"/>
        <w:gridCol w:w="644"/>
        <w:gridCol w:w="763"/>
        <w:gridCol w:w="880"/>
        <w:gridCol w:w="880"/>
        <w:gridCol w:w="880"/>
        <w:gridCol w:w="880"/>
        <w:gridCol w:w="702"/>
        <w:gridCol w:w="717"/>
        <w:gridCol w:w="840"/>
        <w:gridCol w:w="1243"/>
        <w:gridCol w:w="1376"/>
        <w:gridCol w:w="1095"/>
      </w:tblGrid>
      <w:tr w14:paraId="000F0DE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14" w:type="pct"/>
            <w:vMerge w:val="restart"/>
            <w:tcBorders>
              <w:tl2br w:val="nil"/>
              <w:tr2bl w:val="nil"/>
            </w:tcBorders>
            <w:vAlign w:val="center"/>
          </w:tcPr>
          <w:p w14:paraId="552F38B0">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编号</w:t>
            </w:r>
          </w:p>
        </w:tc>
        <w:tc>
          <w:tcPr>
            <w:tcW w:w="322" w:type="pct"/>
            <w:vMerge w:val="restart"/>
            <w:tcBorders>
              <w:tl2br w:val="nil"/>
              <w:tr2bl w:val="nil"/>
            </w:tcBorders>
            <w:vAlign w:val="center"/>
          </w:tcPr>
          <w:p w14:paraId="0E6A54E7">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污染源</w:t>
            </w:r>
          </w:p>
          <w:p w14:paraId="50D1EC66">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名称</w:t>
            </w:r>
          </w:p>
        </w:tc>
        <w:tc>
          <w:tcPr>
            <w:tcW w:w="617" w:type="pct"/>
            <w:gridSpan w:val="2"/>
            <w:tcBorders>
              <w:tl2br w:val="nil"/>
              <w:tr2bl w:val="nil"/>
            </w:tcBorders>
            <w:vAlign w:val="center"/>
          </w:tcPr>
          <w:p w14:paraId="5A28A041">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排气筒底部中心坐标</w:t>
            </w:r>
          </w:p>
        </w:tc>
        <w:tc>
          <w:tcPr>
            <w:tcW w:w="227" w:type="pct"/>
            <w:vMerge w:val="restart"/>
            <w:tcBorders>
              <w:tl2br w:val="nil"/>
              <w:tr2bl w:val="nil"/>
            </w:tcBorders>
            <w:vAlign w:val="center"/>
          </w:tcPr>
          <w:p w14:paraId="6B1470CE">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排气筒高度/m</w:t>
            </w:r>
          </w:p>
        </w:tc>
        <w:tc>
          <w:tcPr>
            <w:tcW w:w="269" w:type="pct"/>
            <w:vMerge w:val="restart"/>
            <w:tcBorders>
              <w:tl2br w:val="nil"/>
              <w:tr2bl w:val="nil"/>
            </w:tcBorders>
            <w:vAlign w:val="center"/>
          </w:tcPr>
          <w:p w14:paraId="39FE0438">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排气筒出口内径/m</w:t>
            </w:r>
          </w:p>
        </w:tc>
        <w:tc>
          <w:tcPr>
            <w:tcW w:w="310" w:type="pct"/>
            <w:vMerge w:val="restart"/>
            <w:tcBorders>
              <w:tl2br w:val="nil"/>
              <w:tr2bl w:val="nil"/>
            </w:tcBorders>
            <w:vAlign w:val="center"/>
          </w:tcPr>
          <w:p w14:paraId="3400D924">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bCs w:val="0"/>
                <w:color w:val="0000FF"/>
                <w:spacing w:val="0"/>
                <w:kern w:val="2"/>
                <w:sz w:val="21"/>
                <w:szCs w:val="21"/>
                <w:lang w:val="en-US" w:eastAsia="zh-CN" w:bidi="ar-SA"/>
              </w:rPr>
              <w:t>排气筒底部海拔m</w:t>
            </w:r>
          </w:p>
        </w:tc>
        <w:tc>
          <w:tcPr>
            <w:tcW w:w="310" w:type="pct"/>
            <w:vMerge w:val="restart"/>
            <w:tcBorders>
              <w:tl2br w:val="nil"/>
              <w:tr2bl w:val="nil"/>
            </w:tcBorders>
            <w:vAlign w:val="center"/>
          </w:tcPr>
          <w:p w14:paraId="46CB9144">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烟气流量（m</w:t>
            </w:r>
            <w:r>
              <w:rPr>
                <w:rFonts w:hint="default" w:ascii="Times New Roman" w:hAnsi="Times New Roman" w:eastAsia="宋体" w:cs="Times New Roman"/>
                <w:color w:val="0000FF"/>
                <w:sz w:val="21"/>
                <w:szCs w:val="22"/>
                <w:vertAlign w:val="superscript"/>
                <w:lang w:val="en-US" w:eastAsia="zh-CN" w:bidi="ar-SA"/>
              </w:rPr>
              <w:t>3</w:t>
            </w:r>
            <w:r>
              <w:rPr>
                <w:rFonts w:hint="default" w:ascii="Times New Roman" w:hAnsi="Times New Roman" w:eastAsia="宋体" w:cs="Times New Roman"/>
                <w:color w:val="0000FF"/>
                <w:sz w:val="21"/>
                <w:szCs w:val="22"/>
                <w:lang w:val="en-US" w:eastAsia="zh-CN" w:bidi="ar-SA"/>
              </w:rPr>
              <w:t>/h）</w:t>
            </w:r>
          </w:p>
        </w:tc>
        <w:tc>
          <w:tcPr>
            <w:tcW w:w="310" w:type="pct"/>
            <w:vMerge w:val="restart"/>
            <w:tcBorders>
              <w:tl2br w:val="nil"/>
              <w:tr2bl w:val="nil"/>
            </w:tcBorders>
            <w:vAlign w:val="center"/>
          </w:tcPr>
          <w:p w14:paraId="4DBBAD13">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烟气流速m/s</w:t>
            </w:r>
          </w:p>
        </w:tc>
        <w:tc>
          <w:tcPr>
            <w:tcW w:w="310" w:type="pct"/>
            <w:vMerge w:val="restart"/>
            <w:tcBorders>
              <w:tl2br w:val="nil"/>
              <w:tr2bl w:val="nil"/>
            </w:tcBorders>
            <w:vAlign w:val="center"/>
          </w:tcPr>
          <w:p w14:paraId="3BBC5876">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废气出口温度/℃</w:t>
            </w:r>
          </w:p>
        </w:tc>
        <w:tc>
          <w:tcPr>
            <w:tcW w:w="247" w:type="pct"/>
            <w:vMerge w:val="restart"/>
            <w:tcBorders>
              <w:tl2br w:val="nil"/>
              <w:tr2bl w:val="nil"/>
            </w:tcBorders>
            <w:vAlign w:val="center"/>
          </w:tcPr>
          <w:p w14:paraId="35381A31">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排放口</w:t>
            </w:r>
          </w:p>
          <w:p w14:paraId="23A2AE3B">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类型</w:t>
            </w:r>
          </w:p>
        </w:tc>
        <w:tc>
          <w:tcPr>
            <w:tcW w:w="252" w:type="pct"/>
            <w:vMerge w:val="restart"/>
            <w:tcBorders>
              <w:tl2br w:val="nil"/>
              <w:tr2bl w:val="nil"/>
            </w:tcBorders>
            <w:vAlign w:val="center"/>
          </w:tcPr>
          <w:p w14:paraId="0FC9AEE0">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排放</w:t>
            </w:r>
          </w:p>
          <w:p w14:paraId="1681C9FB">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工况</w:t>
            </w:r>
          </w:p>
        </w:tc>
        <w:tc>
          <w:tcPr>
            <w:tcW w:w="1606" w:type="pct"/>
            <w:gridSpan w:val="4"/>
            <w:tcBorders>
              <w:tl2br w:val="nil"/>
              <w:tr2bl w:val="nil"/>
            </w:tcBorders>
            <w:vAlign w:val="center"/>
          </w:tcPr>
          <w:p w14:paraId="0FEBBAB4">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污染物排放情况</w:t>
            </w:r>
          </w:p>
        </w:tc>
      </w:tr>
      <w:tr w14:paraId="2ED1BAB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40" w:hRule="atLeast"/>
          <w:jc w:val="center"/>
        </w:trPr>
        <w:tc>
          <w:tcPr>
            <w:tcW w:w="214" w:type="pct"/>
            <w:vMerge w:val="continue"/>
            <w:tcBorders>
              <w:tl2br w:val="nil"/>
              <w:tr2bl w:val="nil"/>
            </w:tcBorders>
            <w:vAlign w:val="center"/>
          </w:tcPr>
          <w:p w14:paraId="6E2E92F1">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p>
        </w:tc>
        <w:tc>
          <w:tcPr>
            <w:tcW w:w="322" w:type="pct"/>
            <w:vMerge w:val="continue"/>
            <w:tcBorders>
              <w:tl2br w:val="nil"/>
              <w:tr2bl w:val="nil"/>
            </w:tcBorders>
            <w:vAlign w:val="center"/>
          </w:tcPr>
          <w:p w14:paraId="0C91EF3D">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p>
        </w:tc>
        <w:tc>
          <w:tcPr>
            <w:tcW w:w="309" w:type="pct"/>
            <w:tcBorders>
              <w:tl2br w:val="nil"/>
              <w:tr2bl w:val="nil"/>
            </w:tcBorders>
            <w:vAlign w:val="center"/>
          </w:tcPr>
          <w:p w14:paraId="050C844F">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经度</w:t>
            </w:r>
          </w:p>
        </w:tc>
        <w:tc>
          <w:tcPr>
            <w:tcW w:w="307" w:type="pct"/>
            <w:tcBorders>
              <w:tl2br w:val="nil"/>
              <w:tr2bl w:val="nil"/>
            </w:tcBorders>
            <w:vAlign w:val="center"/>
          </w:tcPr>
          <w:p w14:paraId="399D36C8">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纬度</w:t>
            </w:r>
          </w:p>
        </w:tc>
        <w:tc>
          <w:tcPr>
            <w:tcW w:w="227" w:type="pct"/>
            <w:vMerge w:val="continue"/>
            <w:tcBorders>
              <w:tl2br w:val="nil"/>
              <w:tr2bl w:val="nil"/>
            </w:tcBorders>
            <w:vAlign w:val="center"/>
          </w:tcPr>
          <w:p w14:paraId="1794BA5C">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p>
        </w:tc>
        <w:tc>
          <w:tcPr>
            <w:tcW w:w="269" w:type="pct"/>
            <w:vMerge w:val="continue"/>
            <w:tcBorders>
              <w:tl2br w:val="nil"/>
              <w:tr2bl w:val="nil"/>
            </w:tcBorders>
            <w:vAlign w:val="center"/>
          </w:tcPr>
          <w:p w14:paraId="65C20BE3">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p>
        </w:tc>
        <w:tc>
          <w:tcPr>
            <w:tcW w:w="310" w:type="pct"/>
            <w:vMerge w:val="continue"/>
            <w:tcBorders>
              <w:tl2br w:val="nil"/>
              <w:tr2bl w:val="nil"/>
            </w:tcBorders>
            <w:vAlign w:val="center"/>
          </w:tcPr>
          <w:p w14:paraId="4F9C4FDF">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p>
        </w:tc>
        <w:tc>
          <w:tcPr>
            <w:tcW w:w="310" w:type="pct"/>
            <w:vMerge w:val="continue"/>
            <w:tcBorders>
              <w:tl2br w:val="nil"/>
              <w:tr2bl w:val="nil"/>
            </w:tcBorders>
            <w:vAlign w:val="center"/>
          </w:tcPr>
          <w:p w14:paraId="4C6519B9">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p>
        </w:tc>
        <w:tc>
          <w:tcPr>
            <w:tcW w:w="310" w:type="pct"/>
            <w:vMerge w:val="continue"/>
            <w:tcBorders>
              <w:tl2br w:val="nil"/>
              <w:tr2bl w:val="nil"/>
            </w:tcBorders>
            <w:vAlign w:val="center"/>
          </w:tcPr>
          <w:p w14:paraId="2EAE4469">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p>
        </w:tc>
        <w:tc>
          <w:tcPr>
            <w:tcW w:w="310" w:type="pct"/>
            <w:vMerge w:val="continue"/>
            <w:tcBorders>
              <w:tl2br w:val="nil"/>
              <w:tr2bl w:val="nil"/>
            </w:tcBorders>
            <w:vAlign w:val="center"/>
          </w:tcPr>
          <w:p w14:paraId="08F42BBF">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p>
        </w:tc>
        <w:tc>
          <w:tcPr>
            <w:tcW w:w="247" w:type="pct"/>
            <w:vMerge w:val="continue"/>
            <w:tcBorders>
              <w:tl2br w:val="nil"/>
              <w:tr2bl w:val="nil"/>
            </w:tcBorders>
            <w:vAlign w:val="center"/>
          </w:tcPr>
          <w:p w14:paraId="58D70AB6">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p>
        </w:tc>
        <w:tc>
          <w:tcPr>
            <w:tcW w:w="252" w:type="pct"/>
            <w:vMerge w:val="continue"/>
            <w:tcBorders>
              <w:tl2br w:val="nil"/>
              <w:tr2bl w:val="nil"/>
            </w:tcBorders>
            <w:vAlign w:val="center"/>
          </w:tcPr>
          <w:p w14:paraId="35145CA2">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p>
        </w:tc>
        <w:tc>
          <w:tcPr>
            <w:tcW w:w="296" w:type="pct"/>
            <w:tcBorders>
              <w:tl2br w:val="nil"/>
              <w:tr2bl w:val="nil"/>
            </w:tcBorders>
            <w:vAlign w:val="center"/>
          </w:tcPr>
          <w:p w14:paraId="0028B0CA">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名称</w:t>
            </w:r>
          </w:p>
        </w:tc>
        <w:tc>
          <w:tcPr>
            <w:tcW w:w="438" w:type="pct"/>
            <w:tcBorders>
              <w:tl2br w:val="nil"/>
              <w:tr2bl w:val="nil"/>
            </w:tcBorders>
            <w:vAlign w:val="center"/>
          </w:tcPr>
          <w:p w14:paraId="7E20EDFE">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排放浓度（mg/m</w:t>
            </w:r>
            <w:r>
              <w:rPr>
                <w:rFonts w:hint="default" w:ascii="Times New Roman" w:hAnsi="Times New Roman" w:eastAsia="宋体" w:cs="Times New Roman"/>
                <w:color w:val="0000FF"/>
                <w:sz w:val="21"/>
                <w:szCs w:val="22"/>
                <w:vertAlign w:val="superscript"/>
                <w:lang w:val="en-US" w:eastAsia="zh-CN" w:bidi="ar-SA"/>
              </w:rPr>
              <w:t>3</w:t>
            </w:r>
            <w:r>
              <w:rPr>
                <w:rFonts w:hint="default" w:ascii="Times New Roman" w:hAnsi="Times New Roman" w:eastAsia="宋体" w:cs="Times New Roman"/>
                <w:color w:val="0000FF"/>
                <w:sz w:val="21"/>
                <w:szCs w:val="22"/>
                <w:lang w:val="en-US" w:eastAsia="zh-CN" w:bidi="ar-SA"/>
              </w:rPr>
              <w:t>）</w:t>
            </w:r>
          </w:p>
        </w:tc>
        <w:tc>
          <w:tcPr>
            <w:tcW w:w="485" w:type="pct"/>
            <w:tcBorders>
              <w:tl2br w:val="nil"/>
              <w:tr2bl w:val="nil"/>
            </w:tcBorders>
            <w:vAlign w:val="center"/>
          </w:tcPr>
          <w:p w14:paraId="16E04739">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排放速率（kg/h）</w:t>
            </w:r>
          </w:p>
        </w:tc>
        <w:tc>
          <w:tcPr>
            <w:tcW w:w="386" w:type="pct"/>
            <w:tcBorders>
              <w:tl2br w:val="nil"/>
              <w:tr2bl w:val="nil"/>
            </w:tcBorders>
            <w:vAlign w:val="center"/>
          </w:tcPr>
          <w:p w14:paraId="3A93C609">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排放量（t/a）</w:t>
            </w:r>
          </w:p>
        </w:tc>
      </w:tr>
      <w:tr w14:paraId="0AFE8D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15" w:hRule="atLeast"/>
          <w:jc w:val="center"/>
        </w:trPr>
        <w:tc>
          <w:tcPr>
            <w:tcW w:w="214" w:type="pct"/>
            <w:vMerge w:val="restart"/>
            <w:tcBorders>
              <w:tl2br w:val="nil"/>
              <w:tr2bl w:val="nil"/>
            </w:tcBorders>
            <w:vAlign w:val="center"/>
          </w:tcPr>
          <w:p w14:paraId="16FB04A8">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DA</w:t>
            </w:r>
          </w:p>
          <w:p w14:paraId="4EC091BC">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001</w:t>
            </w:r>
          </w:p>
        </w:tc>
        <w:tc>
          <w:tcPr>
            <w:tcW w:w="322" w:type="pct"/>
            <w:vMerge w:val="restart"/>
            <w:tcBorders>
              <w:tl2br w:val="nil"/>
              <w:tr2bl w:val="nil"/>
            </w:tcBorders>
            <w:vAlign w:val="center"/>
          </w:tcPr>
          <w:p w14:paraId="4E418C02">
            <w:pPr>
              <w:widowControl w:val="0"/>
              <w:autoSpaceDE w:val="0"/>
              <w:autoSpaceDN w:val="0"/>
              <w:spacing w:line="240" w:lineRule="auto"/>
              <w:ind w:left="0" w:leftChars="0"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kern w:val="2"/>
                <w:sz w:val="21"/>
                <w:szCs w:val="21"/>
                <w:lang w:val="en-US" w:eastAsia="zh-CN" w:bidi="ar-SA"/>
              </w:rPr>
              <w:t>发酵罐区排放口</w:t>
            </w:r>
          </w:p>
        </w:tc>
        <w:tc>
          <w:tcPr>
            <w:tcW w:w="309" w:type="pct"/>
            <w:vMerge w:val="restart"/>
            <w:tcBorders>
              <w:tl2br w:val="nil"/>
              <w:tr2bl w:val="nil"/>
            </w:tcBorders>
            <w:vAlign w:val="center"/>
          </w:tcPr>
          <w:p w14:paraId="71075E79">
            <w:pPr>
              <w:keepNext w:val="0"/>
              <w:keepLines w:val="0"/>
              <w:pageBreakBefore w:val="0"/>
              <w:widowControl w:val="0"/>
              <w:kinsoku/>
              <w:wordWrap/>
              <w:overflowPunct/>
              <w:topLinePunct w:val="0"/>
              <w:autoSpaceDE/>
              <w:autoSpaceDN/>
              <w:bidi w:val="0"/>
              <w:adjustRightInd/>
              <w:snapToGrid w:val="0"/>
              <w:spacing w:before="0" w:after="0" w:line="300" w:lineRule="exact"/>
              <w:ind w:left="0" w:leftChars="0" w:right="0" w:rightChars="0" w:firstLine="0" w:firstLineChars="0"/>
              <w:jc w:val="center"/>
              <w:textAlignment w:val="auto"/>
              <w:rPr>
                <w:rFonts w:hint="default" w:ascii="Times New Roman" w:hAnsi="Times New Roman" w:eastAsia="宋体" w:cs="Times New Roman"/>
                <w:color w:val="0000FF"/>
                <w:sz w:val="21"/>
                <w:szCs w:val="22"/>
                <w:highlight w:val="none"/>
                <w:lang w:val="en-US" w:eastAsia="zh-CN" w:bidi="ar-SA"/>
              </w:rPr>
            </w:pPr>
            <w:r>
              <w:rPr>
                <w:rFonts w:hint="default" w:ascii="Times New Roman" w:hAnsi="Times New Roman" w:eastAsia="宋体" w:cs="Times New Roman"/>
                <w:b w:val="0"/>
                <w:bCs w:val="0"/>
                <w:color w:val="0000FF"/>
                <w:spacing w:val="0"/>
                <w:kern w:val="2"/>
                <w:sz w:val="21"/>
                <w:szCs w:val="21"/>
                <w:highlight w:val="none"/>
                <w:lang w:val="en-US" w:eastAsia="zh-CN" w:bidi="ar-SA"/>
              </w:rPr>
              <w:t>86°18′05.344″</w:t>
            </w:r>
          </w:p>
        </w:tc>
        <w:tc>
          <w:tcPr>
            <w:tcW w:w="307" w:type="pct"/>
            <w:vMerge w:val="restart"/>
            <w:tcBorders>
              <w:tl2br w:val="nil"/>
              <w:tr2bl w:val="nil"/>
            </w:tcBorders>
            <w:vAlign w:val="center"/>
          </w:tcPr>
          <w:p w14:paraId="231FF4DE">
            <w:pPr>
              <w:keepNext w:val="0"/>
              <w:keepLines w:val="0"/>
              <w:pageBreakBefore w:val="0"/>
              <w:widowControl w:val="0"/>
              <w:kinsoku/>
              <w:wordWrap/>
              <w:overflowPunct/>
              <w:topLinePunct w:val="0"/>
              <w:autoSpaceDE/>
              <w:autoSpaceDN/>
              <w:bidi w:val="0"/>
              <w:adjustRightInd/>
              <w:snapToGrid w:val="0"/>
              <w:spacing w:before="0" w:after="0" w:line="300" w:lineRule="exact"/>
              <w:ind w:left="0" w:leftChars="0" w:right="0" w:rightChars="0" w:firstLine="0" w:firstLineChars="0"/>
              <w:jc w:val="center"/>
              <w:textAlignment w:val="auto"/>
              <w:rPr>
                <w:rFonts w:hint="default" w:ascii="Times New Roman" w:hAnsi="Times New Roman" w:eastAsia="宋体" w:cs="Times New Roman"/>
                <w:color w:val="0000FF"/>
                <w:sz w:val="21"/>
                <w:szCs w:val="22"/>
                <w:highlight w:val="none"/>
                <w:lang w:val="en-US" w:eastAsia="zh-CN" w:bidi="ar-SA"/>
              </w:rPr>
            </w:pPr>
            <w:r>
              <w:rPr>
                <w:rFonts w:hint="default" w:ascii="Times New Roman" w:hAnsi="Times New Roman" w:eastAsia="宋体" w:cs="Times New Roman"/>
                <w:b w:val="0"/>
                <w:bCs w:val="0"/>
                <w:color w:val="0000FF"/>
                <w:spacing w:val="0"/>
                <w:kern w:val="2"/>
                <w:sz w:val="21"/>
                <w:szCs w:val="21"/>
                <w:highlight w:val="none"/>
                <w:lang w:val="en-US" w:eastAsia="zh-CN" w:bidi="ar-SA"/>
              </w:rPr>
              <w:t>44°19′44.816″</w:t>
            </w:r>
          </w:p>
        </w:tc>
        <w:tc>
          <w:tcPr>
            <w:tcW w:w="227" w:type="pct"/>
            <w:vMerge w:val="restart"/>
            <w:tcBorders>
              <w:tl2br w:val="nil"/>
              <w:tr2bl w:val="nil"/>
            </w:tcBorders>
            <w:vAlign w:val="center"/>
          </w:tcPr>
          <w:p w14:paraId="44C9D6C9">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15</w:t>
            </w:r>
          </w:p>
        </w:tc>
        <w:tc>
          <w:tcPr>
            <w:tcW w:w="269" w:type="pct"/>
            <w:vMerge w:val="restart"/>
            <w:tcBorders>
              <w:tl2br w:val="nil"/>
              <w:tr2bl w:val="nil"/>
            </w:tcBorders>
            <w:vAlign w:val="center"/>
          </w:tcPr>
          <w:p w14:paraId="616334EB">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0.4</w:t>
            </w:r>
          </w:p>
        </w:tc>
        <w:tc>
          <w:tcPr>
            <w:tcW w:w="310" w:type="pct"/>
            <w:vMerge w:val="restart"/>
            <w:tcBorders>
              <w:tl2br w:val="nil"/>
              <w:tr2bl w:val="nil"/>
            </w:tcBorders>
            <w:vAlign w:val="center"/>
          </w:tcPr>
          <w:p w14:paraId="6033A972">
            <w:pPr>
              <w:widowControl w:val="0"/>
              <w:bidi w:val="0"/>
              <w:spacing w:line="360" w:lineRule="exact"/>
              <w:ind w:firstLine="0" w:firstLineChars="0"/>
              <w:jc w:val="center"/>
              <w:rPr>
                <w:rFonts w:hint="default" w:ascii="Times New Roman" w:hAnsi="Times New Roman" w:eastAsia="宋体" w:cs="Times New Roman"/>
                <w:color w:val="0000FF"/>
                <w:sz w:val="21"/>
                <w:szCs w:val="22"/>
                <w:highlight w:val="yellow"/>
                <w:lang w:val="en-US" w:eastAsia="zh-CN" w:bidi="ar-SA"/>
              </w:rPr>
            </w:pPr>
            <w:r>
              <w:rPr>
                <w:rFonts w:hint="default" w:ascii="Times New Roman" w:hAnsi="Times New Roman" w:eastAsia="宋体" w:cs="Times New Roman"/>
                <w:bCs w:val="0"/>
                <w:color w:val="0000FF"/>
                <w:spacing w:val="0"/>
                <w:kern w:val="2"/>
                <w:sz w:val="21"/>
                <w:szCs w:val="21"/>
                <w:highlight w:val="none"/>
                <w:lang w:val="en-US" w:eastAsia="zh-CN" w:bidi="ar-SA"/>
              </w:rPr>
              <w:t>441</w:t>
            </w:r>
          </w:p>
        </w:tc>
        <w:tc>
          <w:tcPr>
            <w:tcW w:w="310" w:type="pct"/>
            <w:vMerge w:val="restart"/>
            <w:tcBorders>
              <w:tl2br w:val="nil"/>
              <w:tr2bl w:val="nil"/>
            </w:tcBorders>
            <w:shd w:val="clear" w:color="auto" w:fill="auto"/>
            <w:vAlign w:val="center"/>
          </w:tcPr>
          <w:p w14:paraId="78274A0D">
            <w:pPr>
              <w:widowControl w:val="0"/>
              <w:bidi w:val="0"/>
              <w:spacing w:line="360" w:lineRule="exact"/>
              <w:ind w:firstLine="0" w:firstLineChars="0"/>
              <w:jc w:val="center"/>
              <w:rPr>
                <w:rFonts w:hint="default" w:ascii="Times New Roman" w:hAnsi="Times New Roman" w:eastAsia="宋体" w:cs="Times New Roman"/>
                <w:color w:val="0000FF"/>
                <w:sz w:val="21"/>
                <w:szCs w:val="22"/>
                <w:highlight w:val="none"/>
                <w:lang w:val="en-US" w:eastAsia="zh-CN" w:bidi="ar-SA"/>
              </w:rPr>
            </w:pPr>
            <w:r>
              <w:rPr>
                <w:rFonts w:hint="eastAsia" w:ascii="Times New Roman" w:hAnsi="Times New Roman" w:eastAsia="宋体" w:cs="Times New Roman"/>
                <w:color w:val="0000FF"/>
                <w:sz w:val="21"/>
                <w:szCs w:val="22"/>
                <w:highlight w:val="none"/>
                <w:lang w:val="en-US" w:eastAsia="zh-CN" w:bidi="ar-SA"/>
              </w:rPr>
              <w:t>2500</w:t>
            </w:r>
          </w:p>
        </w:tc>
        <w:tc>
          <w:tcPr>
            <w:tcW w:w="310" w:type="pct"/>
            <w:vMerge w:val="restart"/>
            <w:tcBorders>
              <w:tl2br w:val="nil"/>
              <w:tr2bl w:val="nil"/>
            </w:tcBorders>
            <w:shd w:val="clear" w:color="auto" w:fill="auto"/>
            <w:vAlign w:val="center"/>
          </w:tcPr>
          <w:p w14:paraId="1FB4F2E7">
            <w:pPr>
              <w:widowControl w:val="0"/>
              <w:bidi w:val="0"/>
              <w:spacing w:line="360" w:lineRule="exact"/>
              <w:ind w:firstLine="0" w:firstLineChars="0"/>
              <w:jc w:val="center"/>
              <w:rPr>
                <w:rFonts w:hint="default" w:ascii="Times New Roman" w:hAnsi="Times New Roman" w:eastAsia="宋体" w:cs="Times New Roman"/>
                <w:color w:val="0000FF"/>
                <w:sz w:val="21"/>
                <w:szCs w:val="22"/>
                <w:highlight w:val="none"/>
                <w:lang w:val="en-US" w:eastAsia="zh-CN" w:bidi="ar-SA"/>
              </w:rPr>
            </w:pPr>
            <w:r>
              <w:rPr>
                <w:rFonts w:hint="default" w:ascii="Times New Roman" w:hAnsi="Times New Roman" w:eastAsia="宋体" w:cs="Times New Roman"/>
                <w:color w:val="0000FF"/>
                <w:sz w:val="21"/>
                <w:szCs w:val="22"/>
                <w:highlight w:val="none"/>
                <w:lang w:val="en-US" w:eastAsia="zh-CN" w:bidi="ar-SA"/>
              </w:rPr>
              <w:t>11</w:t>
            </w:r>
          </w:p>
        </w:tc>
        <w:tc>
          <w:tcPr>
            <w:tcW w:w="310" w:type="pct"/>
            <w:vMerge w:val="restart"/>
            <w:tcBorders>
              <w:tl2br w:val="nil"/>
              <w:tr2bl w:val="nil"/>
            </w:tcBorders>
            <w:vAlign w:val="center"/>
          </w:tcPr>
          <w:p w14:paraId="0D165355">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20</w:t>
            </w:r>
          </w:p>
        </w:tc>
        <w:tc>
          <w:tcPr>
            <w:tcW w:w="247" w:type="pct"/>
            <w:vMerge w:val="restart"/>
            <w:tcBorders>
              <w:tl2br w:val="nil"/>
              <w:tr2bl w:val="nil"/>
            </w:tcBorders>
            <w:vAlign w:val="center"/>
          </w:tcPr>
          <w:p w14:paraId="4701AC1E">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一般排放口</w:t>
            </w:r>
          </w:p>
        </w:tc>
        <w:tc>
          <w:tcPr>
            <w:tcW w:w="252" w:type="pct"/>
            <w:vMerge w:val="restart"/>
            <w:tcBorders>
              <w:tl2br w:val="nil"/>
              <w:tr2bl w:val="nil"/>
            </w:tcBorders>
            <w:vAlign w:val="center"/>
          </w:tcPr>
          <w:p w14:paraId="2D5BA2BD">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正常工况</w:t>
            </w:r>
          </w:p>
        </w:tc>
        <w:tc>
          <w:tcPr>
            <w:tcW w:w="296" w:type="pct"/>
            <w:tcBorders>
              <w:tl2br w:val="nil"/>
              <w:tr2bl w:val="nil"/>
            </w:tcBorders>
            <w:vAlign w:val="center"/>
          </w:tcPr>
          <w:p w14:paraId="0AFDDF86">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氨</w:t>
            </w:r>
          </w:p>
        </w:tc>
        <w:tc>
          <w:tcPr>
            <w:tcW w:w="438" w:type="pct"/>
            <w:tcBorders>
              <w:tl2br w:val="nil"/>
              <w:tr2bl w:val="nil"/>
            </w:tcBorders>
            <w:vAlign w:val="center"/>
          </w:tcPr>
          <w:p w14:paraId="2D24F891">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sz w:val="21"/>
                <w:szCs w:val="21"/>
                <w:u w:val="none"/>
                <w:lang w:val="en-US" w:eastAsia="zh-CN" w:bidi="ar-SA"/>
              </w:rPr>
              <w:t>0.99</w:t>
            </w:r>
          </w:p>
        </w:tc>
        <w:tc>
          <w:tcPr>
            <w:tcW w:w="485" w:type="pct"/>
            <w:tcBorders>
              <w:tl2br w:val="nil"/>
              <w:tr2bl w:val="nil"/>
            </w:tcBorders>
            <w:vAlign w:val="center"/>
          </w:tcPr>
          <w:p w14:paraId="41021B4E">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sz w:val="21"/>
                <w:szCs w:val="21"/>
                <w:u w:val="none"/>
                <w:lang w:val="en-US" w:eastAsia="zh-CN" w:bidi="ar-SA"/>
              </w:rPr>
              <w:t>0.0025</w:t>
            </w:r>
          </w:p>
        </w:tc>
        <w:tc>
          <w:tcPr>
            <w:tcW w:w="386" w:type="pct"/>
            <w:tcBorders>
              <w:tl2br w:val="nil"/>
              <w:tr2bl w:val="nil"/>
            </w:tcBorders>
            <w:vAlign w:val="center"/>
          </w:tcPr>
          <w:p w14:paraId="1D523ADD">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sz w:val="21"/>
                <w:szCs w:val="21"/>
                <w:u w:val="none"/>
                <w:lang w:val="en-US" w:eastAsia="zh-CN" w:bidi="ar-SA"/>
              </w:rPr>
              <w:t>0.0216</w:t>
            </w:r>
          </w:p>
        </w:tc>
      </w:tr>
      <w:tr w14:paraId="09703D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15" w:hRule="atLeast"/>
          <w:jc w:val="center"/>
        </w:trPr>
        <w:tc>
          <w:tcPr>
            <w:tcW w:w="214" w:type="pct"/>
            <w:vMerge w:val="continue"/>
            <w:tcBorders>
              <w:tl2br w:val="nil"/>
              <w:tr2bl w:val="nil"/>
            </w:tcBorders>
            <w:vAlign w:val="center"/>
          </w:tcPr>
          <w:p w14:paraId="586235FF">
            <w:pPr>
              <w:keepNext w:val="0"/>
              <w:keepLines w:val="0"/>
              <w:widowControl/>
              <w:suppressLineNumbers w:val="0"/>
              <w:jc w:val="center"/>
              <w:textAlignment w:val="center"/>
              <w:rPr>
                <w:rFonts w:hint="default" w:ascii="Times New Roman" w:hAnsi="Times New Roman" w:eastAsia="宋体" w:cs="Times New Roman"/>
                <w:color w:val="0000FF"/>
              </w:rPr>
            </w:pPr>
          </w:p>
        </w:tc>
        <w:tc>
          <w:tcPr>
            <w:tcW w:w="322" w:type="pct"/>
            <w:vMerge w:val="continue"/>
            <w:tcBorders>
              <w:tl2br w:val="nil"/>
              <w:tr2bl w:val="nil"/>
            </w:tcBorders>
            <w:vAlign w:val="center"/>
          </w:tcPr>
          <w:p w14:paraId="2E33F51E">
            <w:pPr>
              <w:keepNext w:val="0"/>
              <w:keepLines w:val="0"/>
              <w:widowControl/>
              <w:suppressLineNumbers w:val="0"/>
              <w:jc w:val="center"/>
              <w:textAlignment w:val="center"/>
              <w:rPr>
                <w:rFonts w:hint="default" w:ascii="Times New Roman" w:hAnsi="Times New Roman" w:eastAsia="宋体" w:cs="Times New Roman"/>
                <w:color w:val="0000FF"/>
              </w:rPr>
            </w:pPr>
          </w:p>
        </w:tc>
        <w:tc>
          <w:tcPr>
            <w:tcW w:w="309" w:type="pct"/>
            <w:vMerge w:val="continue"/>
            <w:tcBorders>
              <w:tl2br w:val="nil"/>
              <w:tr2bl w:val="nil"/>
            </w:tcBorders>
            <w:vAlign w:val="center"/>
          </w:tcPr>
          <w:p w14:paraId="21BF7734">
            <w:pPr>
              <w:keepNext w:val="0"/>
              <w:keepLines w:val="0"/>
              <w:widowControl/>
              <w:suppressLineNumbers w:val="0"/>
              <w:jc w:val="center"/>
              <w:textAlignment w:val="center"/>
              <w:rPr>
                <w:rFonts w:hint="default" w:ascii="Times New Roman" w:hAnsi="Times New Roman" w:eastAsia="宋体" w:cs="Times New Roman"/>
                <w:color w:val="0000FF"/>
                <w:highlight w:val="yellow"/>
              </w:rPr>
            </w:pPr>
          </w:p>
        </w:tc>
        <w:tc>
          <w:tcPr>
            <w:tcW w:w="307" w:type="pct"/>
            <w:vMerge w:val="continue"/>
            <w:tcBorders>
              <w:tl2br w:val="nil"/>
              <w:tr2bl w:val="nil"/>
            </w:tcBorders>
            <w:vAlign w:val="center"/>
          </w:tcPr>
          <w:p w14:paraId="68B3C581">
            <w:pPr>
              <w:keepNext w:val="0"/>
              <w:keepLines w:val="0"/>
              <w:widowControl/>
              <w:suppressLineNumbers w:val="0"/>
              <w:jc w:val="center"/>
              <w:textAlignment w:val="center"/>
              <w:rPr>
                <w:rFonts w:hint="default" w:ascii="Times New Roman" w:hAnsi="Times New Roman" w:eastAsia="宋体" w:cs="Times New Roman"/>
                <w:color w:val="0000FF"/>
                <w:highlight w:val="yellow"/>
              </w:rPr>
            </w:pPr>
          </w:p>
        </w:tc>
        <w:tc>
          <w:tcPr>
            <w:tcW w:w="227" w:type="pct"/>
            <w:vMerge w:val="continue"/>
            <w:tcBorders>
              <w:tl2br w:val="nil"/>
              <w:tr2bl w:val="nil"/>
            </w:tcBorders>
            <w:vAlign w:val="center"/>
          </w:tcPr>
          <w:p w14:paraId="10FE08BC">
            <w:pPr>
              <w:keepNext w:val="0"/>
              <w:keepLines w:val="0"/>
              <w:widowControl/>
              <w:suppressLineNumbers w:val="0"/>
              <w:jc w:val="center"/>
              <w:textAlignment w:val="center"/>
              <w:rPr>
                <w:rFonts w:hint="default" w:ascii="Times New Roman" w:hAnsi="Times New Roman" w:eastAsia="宋体" w:cs="Times New Roman"/>
                <w:color w:val="0000FF"/>
              </w:rPr>
            </w:pPr>
          </w:p>
        </w:tc>
        <w:tc>
          <w:tcPr>
            <w:tcW w:w="269" w:type="pct"/>
            <w:vMerge w:val="continue"/>
            <w:tcBorders>
              <w:tl2br w:val="nil"/>
              <w:tr2bl w:val="nil"/>
            </w:tcBorders>
            <w:vAlign w:val="center"/>
          </w:tcPr>
          <w:p w14:paraId="0840A2FB">
            <w:pPr>
              <w:keepNext w:val="0"/>
              <w:keepLines w:val="0"/>
              <w:widowControl/>
              <w:suppressLineNumbers w:val="0"/>
              <w:jc w:val="center"/>
              <w:textAlignment w:val="center"/>
              <w:rPr>
                <w:rFonts w:hint="default" w:ascii="Times New Roman" w:hAnsi="Times New Roman" w:eastAsia="宋体" w:cs="Times New Roman"/>
                <w:color w:val="0000FF"/>
              </w:rPr>
            </w:pPr>
          </w:p>
        </w:tc>
        <w:tc>
          <w:tcPr>
            <w:tcW w:w="310" w:type="pct"/>
            <w:vMerge w:val="continue"/>
            <w:tcBorders>
              <w:tl2br w:val="nil"/>
              <w:tr2bl w:val="nil"/>
            </w:tcBorders>
            <w:vAlign w:val="center"/>
          </w:tcPr>
          <w:p w14:paraId="09A12A0B">
            <w:pPr>
              <w:keepNext w:val="0"/>
              <w:keepLines w:val="0"/>
              <w:widowControl/>
              <w:suppressLineNumbers w:val="0"/>
              <w:jc w:val="center"/>
              <w:textAlignment w:val="center"/>
              <w:rPr>
                <w:rFonts w:hint="default" w:ascii="Times New Roman" w:hAnsi="Times New Roman" w:eastAsia="宋体" w:cs="Times New Roman"/>
                <w:color w:val="0000FF"/>
                <w:highlight w:val="yellow"/>
              </w:rPr>
            </w:pPr>
          </w:p>
        </w:tc>
        <w:tc>
          <w:tcPr>
            <w:tcW w:w="310" w:type="pct"/>
            <w:vMerge w:val="continue"/>
            <w:tcBorders>
              <w:tl2br w:val="nil"/>
              <w:tr2bl w:val="nil"/>
            </w:tcBorders>
            <w:vAlign w:val="center"/>
          </w:tcPr>
          <w:p w14:paraId="20A31129">
            <w:pPr>
              <w:keepNext w:val="0"/>
              <w:keepLines w:val="0"/>
              <w:widowControl/>
              <w:suppressLineNumbers w:val="0"/>
              <w:jc w:val="center"/>
              <w:textAlignment w:val="center"/>
              <w:rPr>
                <w:rFonts w:hint="default" w:ascii="Times New Roman" w:hAnsi="Times New Roman" w:eastAsia="宋体" w:cs="Times New Roman"/>
                <w:color w:val="0000FF"/>
                <w:highlight w:val="none"/>
              </w:rPr>
            </w:pPr>
          </w:p>
        </w:tc>
        <w:tc>
          <w:tcPr>
            <w:tcW w:w="310" w:type="pct"/>
            <w:vMerge w:val="continue"/>
            <w:tcBorders>
              <w:tl2br w:val="nil"/>
              <w:tr2bl w:val="nil"/>
            </w:tcBorders>
            <w:vAlign w:val="center"/>
          </w:tcPr>
          <w:p w14:paraId="47FC2B83">
            <w:pPr>
              <w:keepNext w:val="0"/>
              <w:keepLines w:val="0"/>
              <w:widowControl/>
              <w:suppressLineNumbers w:val="0"/>
              <w:jc w:val="center"/>
              <w:textAlignment w:val="center"/>
              <w:rPr>
                <w:rFonts w:hint="default" w:ascii="Times New Roman" w:hAnsi="Times New Roman" w:eastAsia="宋体" w:cs="Times New Roman"/>
                <w:color w:val="0000FF"/>
                <w:highlight w:val="none"/>
              </w:rPr>
            </w:pPr>
          </w:p>
        </w:tc>
        <w:tc>
          <w:tcPr>
            <w:tcW w:w="310" w:type="pct"/>
            <w:vMerge w:val="continue"/>
            <w:tcBorders>
              <w:tl2br w:val="nil"/>
              <w:tr2bl w:val="nil"/>
            </w:tcBorders>
            <w:vAlign w:val="center"/>
          </w:tcPr>
          <w:p w14:paraId="7EF68952">
            <w:pPr>
              <w:keepNext w:val="0"/>
              <w:keepLines w:val="0"/>
              <w:widowControl/>
              <w:suppressLineNumbers w:val="0"/>
              <w:jc w:val="center"/>
              <w:textAlignment w:val="center"/>
              <w:rPr>
                <w:rFonts w:hint="default" w:ascii="Times New Roman" w:hAnsi="Times New Roman" w:eastAsia="宋体" w:cs="Times New Roman"/>
                <w:color w:val="0000FF"/>
              </w:rPr>
            </w:pPr>
          </w:p>
        </w:tc>
        <w:tc>
          <w:tcPr>
            <w:tcW w:w="247" w:type="pct"/>
            <w:vMerge w:val="continue"/>
            <w:tcBorders>
              <w:tl2br w:val="nil"/>
              <w:tr2bl w:val="nil"/>
            </w:tcBorders>
            <w:vAlign w:val="center"/>
          </w:tcPr>
          <w:p w14:paraId="146ABDAE">
            <w:pPr>
              <w:keepNext w:val="0"/>
              <w:keepLines w:val="0"/>
              <w:widowControl/>
              <w:suppressLineNumbers w:val="0"/>
              <w:jc w:val="center"/>
              <w:textAlignment w:val="center"/>
              <w:rPr>
                <w:rFonts w:hint="default" w:ascii="Times New Roman" w:hAnsi="Times New Roman" w:eastAsia="宋体" w:cs="Times New Roman"/>
                <w:color w:val="0000FF"/>
              </w:rPr>
            </w:pPr>
          </w:p>
        </w:tc>
        <w:tc>
          <w:tcPr>
            <w:tcW w:w="252" w:type="pct"/>
            <w:vMerge w:val="continue"/>
            <w:tcBorders>
              <w:tl2br w:val="nil"/>
              <w:tr2bl w:val="nil"/>
            </w:tcBorders>
            <w:vAlign w:val="center"/>
          </w:tcPr>
          <w:p w14:paraId="0CEB6A8D">
            <w:pPr>
              <w:keepNext w:val="0"/>
              <w:keepLines w:val="0"/>
              <w:widowControl/>
              <w:suppressLineNumbers w:val="0"/>
              <w:jc w:val="center"/>
              <w:textAlignment w:val="center"/>
              <w:rPr>
                <w:rFonts w:hint="default" w:ascii="Times New Roman" w:hAnsi="Times New Roman" w:eastAsia="宋体" w:cs="Times New Roman"/>
                <w:color w:val="0000FF"/>
              </w:rPr>
            </w:pPr>
          </w:p>
        </w:tc>
        <w:tc>
          <w:tcPr>
            <w:tcW w:w="296" w:type="pct"/>
            <w:tcBorders>
              <w:tl2br w:val="nil"/>
              <w:tr2bl w:val="nil"/>
            </w:tcBorders>
            <w:vAlign w:val="center"/>
          </w:tcPr>
          <w:p w14:paraId="74EBD91C">
            <w:pPr>
              <w:keepNext w:val="0"/>
              <w:keepLines w:val="0"/>
              <w:widowControl/>
              <w:suppressLineNumbers w:val="0"/>
              <w:jc w:val="center"/>
              <w:textAlignment w:val="center"/>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硫化氢</w:t>
            </w:r>
          </w:p>
        </w:tc>
        <w:tc>
          <w:tcPr>
            <w:tcW w:w="438" w:type="pct"/>
            <w:tcBorders>
              <w:tl2br w:val="nil"/>
              <w:tr2bl w:val="nil"/>
            </w:tcBorders>
            <w:vAlign w:val="center"/>
          </w:tcPr>
          <w:p w14:paraId="7F02F2A0">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lang w:val="en-US" w:eastAsia="zh-CN" w:bidi="ar-SA"/>
              </w:rPr>
            </w:pPr>
            <w:r>
              <w:rPr>
                <w:rFonts w:hint="eastAsia" w:ascii="Times New Roman" w:hAnsi="Times New Roman" w:eastAsia="宋体" w:cs="Times New Roman"/>
                <w:i w:val="0"/>
                <w:iCs w:val="0"/>
                <w:color w:val="0000FF"/>
                <w:kern w:val="0"/>
                <w:sz w:val="21"/>
                <w:szCs w:val="21"/>
                <w:u w:val="none"/>
                <w:lang w:val="en-US" w:eastAsia="zh-CN" w:bidi="ar"/>
              </w:rPr>
              <w:t>0.53</w:t>
            </w:r>
          </w:p>
        </w:tc>
        <w:tc>
          <w:tcPr>
            <w:tcW w:w="485" w:type="pct"/>
            <w:tcBorders>
              <w:tl2br w:val="nil"/>
              <w:tr2bl w:val="nil"/>
            </w:tcBorders>
            <w:vAlign w:val="center"/>
          </w:tcPr>
          <w:p w14:paraId="3A3EA9EB">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i w:val="0"/>
                <w:iCs w:val="0"/>
                <w:color w:val="0000FF"/>
                <w:kern w:val="0"/>
                <w:sz w:val="21"/>
                <w:szCs w:val="21"/>
                <w:u w:val="none"/>
                <w:lang w:val="en-US" w:eastAsia="zh-CN" w:bidi="ar"/>
              </w:rPr>
              <w:t>0.0013</w:t>
            </w:r>
          </w:p>
        </w:tc>
        <w:tc>
          <w:tcPr>
            <w:tcW w:w="386" w:type="pct"/>
            <w:tcBorders>
              <w:tl2br w:val="nil"/>
              <w:tr2bl w:val="nil"/>
            </w:tcBorders>
            <w:vAlign w:val="center"/>
          </w:tcPr>
          <w:p w14:paraId="4F1522FB">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i w:val="0"/>
                <w:iCs w:val="0"/>
                <w:color w:val="0000FF"/>
                <w:kern w:val="0"/>
                <w:sz w:val="21"/>
                <w:szCs w:val="21"/>
                <w:u w:val="none"/>
                <w:lang w:val="en-US" w:eastAsia="zh-CN" w:bidi="ar"/>
              </w:rPr>
              <w:t>0.0116</w:t>
            </w:r>
          </w:p>
        </w:tc>
      </w:tr>
      <w:tr w14:paraId="4022B24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31" w:hRule="atLeast"/>
          <w:jc w:val="center"/>
        </w:trPr>
        <w:tc>
          <w:tcPr>
            <w:tcW w:w="214" w:type="pct"/>
            <w:tcBorders>
              <w:tl2br w:val="nil"/>
              <w:tr2bl w:val="nil"/>
            </w:tcBorders>
            <w:vAlign w:val="center"/>
          </w:tcPr>
          <w:p w14:paraId="64C79C68">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DA</w:t>
            </w:r>
          </w:p>
          <w:p w14:paraId="482AE9E9">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002</w:t>
            </w:r>
          </w:p>
        </w:tc>
        <w:tc>
          <w:tcPr>
            <w:tcW w:w="322" w:type="pct"/>
            <w:tcBorders>
              <w:tl2br w:val="nil"/>
              <w:tr2bl w:val="nil"/>
            </w:tcBorders>
            <w:vAlign w:val="center"/>
          </w:tcPr>
          <w:p w14:paraId="58DD052A">
            <w:pPr>
              <w:widowControl w:val="0"/>
              <w:autoSpaceDE w:val="0"/>
              <w:autoSpaceDN w:val="0"/>
              <w:spacing w:line="240" w:lineRule="auto"/>
              <w:ind w:left="0" w:leftChars="0"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kern w:val="2"/>
                <w:sz w:val="21"/>
                <w:szCs w:val="21"/>
                <w:lang w:val="en-US" w:eastAsia="zh-CN" w:bidi="ar-SA"/>
              </w:rPr>
              <w:t>生产车间排放口</w:t>
            </w:r>
          </w:p>
        </w:tc>
        <w:tc>
          <w:tcPr>
            <w:tcW w:w="309" w:type="pct"/>
            <w:tcBorders>
              <w:tl2br w:val="nil"/>
              <w:tr2bl w:val="nil"/>
            </w:tcBorders>
            <w:vAlign w:val="center"/>
          </w:tcPr>
          <w:p w14:paraId="20F640D7">
            <w:pPr>
              <w:keepNext w:val="0"/>
              <w:keepLines w:val="0"/>
              <w:pageBreakBefore w:val="0"/>
              <w:widowControl w:val="0"/>
              <w:kinsoku/>
              <w:wordWrap/>
              <w:overflowPunct/>
              <w:topLinePunct w:val="0"/>
              <w:autoSpaceDE/>
              <w:autoSpaceDN/>
              <w:bidi w:val="0"/>
              <w:adjustRightInd/>
              <w:snapToGrid w:val="0"/>
              <w:spacing w:before="0" w:after="0" w:line="300" w:lineRule="exact"/>
              <w:ind w:left="0" w:leftChars="0" w:right="0" w:rightChars="0" w:firstLine="0" w:firstLineChars="0"/>
              <w:jc w:val="center"/>
              <w:textAlignment w:val="auto"/>
              <w:rPr>
                <w:rFonts w:hint="default" w:ascii="Times New Roman" w:hAnsi="Times New Roman" w:eastAsia="宋体" w:cs="Times New Roman"/>
                <w:color w:val="0000FF"/>
                <w:sz w:val="21"/>
                <w:szCs w:val="22"/>
                <w:highlight w:val="yellow"/>
                <w:lang w:val="en-US" w:eastAsia="zh-CN" w:bidi="ar-SA"/>
              </w:rPr>
            </w:pPr>
            <w:r>
              <w:rPr>
                <w:rFonts w:hint="default" w:ascii="Times New Roman" w:hAnsi="Times New Roman" w:eastAsia="宋体" w:cs="Times New Roman"/>
                <w:b w:val="0"/>
                <w:bCs w:val="0"/>
                <w:color w:val="0000FF"/>
                <w:spacing w:val="0"/>
                <w:kern w:val="2"/>
                <w:sz w:val="21"/>
                <w:szCs w:val="21"/>
                <w:highlight w:val="none"/>
                <w:lang w:val="en-US" w:eastAsia="zh-CN" w:bidi="ar-SA"/>
              </w:rPr>
              <w:t>86°18′05.344″</w:t>
            </w:r>
          </w:p>
        </w:tc>
        <w:tc>
          <w:tcPr>
            <w:tcW w:w="307" w:type="pct"/>
            <w:tcBorders>
              <w:tl2br w:val="nil"/>
              <w:tr2bl w:val="nil"/>
            </w:tcBorders>
            <w:vAlign w:val="center"/>
          </w:tcPr>
          <w:p w14:paraId="3A26D9BF">
            <w:pPr>
              <w:keepNext w:val="0"/>
              <w:keepLines w:val="0"/>
              <w:pageBreakBefore w:val="0"/>
              <w:widowControl w:val="0"/>
              <w:kinsoku/>
              <w:wordWrap/>
              <w:overflowPunct/>
              <w:topLinePunct w:val="0"/>
              <w:autoSpaceDE/>
              <w:autoSpaceDN/>
              <w:bidi w:val="0"/>
              <w:adjustRightInd/>
              <w:snapToGrid w:val="0"/>
              <w:spacing w:before="0" w:after="0" w:line="300" w:lineRule="exact"/>
              <w:ind w:left="0" w:leftChars="0" w:right="0" w:rightChars="0" w:firstLine="0" w:firstLineChars="0"/>
              <w:jc w:val="center"/>
              <w:textAlignment w:val="auto"/>
              <w:rPr>
                <w:rFonts w:hint="default" w:ascii="Times New Roman" w:hAnsi="Times New Roman" w:eastAsia="宋体" w:cs="Times New Roman"/>
                <w:color w:val="0000FF"/>
                <w:sz w:val="21"/>
                <w:szCs w:val="22"/>
                <w:highlight w:val="yellow"/>
                <w:lang w:val="en-US" w:eastAsia="zh-CN" w:bidi="ar-SA"/>
              </w:rPr>
            </w:pPr>
            <w:r>
              <w:rPr>
                <w:rFonts w:hint="default" w:ascii="Times New Roman" w:hAnsi="Times New Roman" w:eastAsia="宋体" w:cs="Times New Roman"/>
                <w:b w:val="0"/>
                <w:bCs w:val="0"/>
                <w:color w:val="0000FF"/>
                <w:spacing w:val="0"/>
                <w:kern w:val="2"/>
                <w:sz w:val="21"/>
                <w:szCs w:val="21"/>
                <w:highlight w:val="none"/>
                <w:lang w:val="en-US" w:eastAsia="zh-CN" w:bidi="ar-SA"/>
              </w:rPr>
              <w:t>44°19′44.816″</w:t>
            </w:r>
          </w:p>
        </w:tc>
        <w:tc>
          <w:tcPr>
            <w:tcW w:w="227" w:type="pct"/>
            <w:tcBorders>
              <w:tl2br w:val="nil"/>
              <w:tr2bl w:val="nil"/>
            </w:tcBorders>
            <w:vAlign w:val="center"/>
          </w:tcPr>
          <w:p w14:paraId="2AC2DBB6">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15</w:t>
            </w:r>
          </w:p>
        </w:tc>
        <w:tc>
          <w:tcPr>
            <w:tcW w:w="269" w:type="pct"/>
            <w:tcBorders>
              <w:tl2br w:val="nil"/>
              <w:tr2bl w:val="nil"/>
            </w:tcBorders>
            <w:vAlign w:val="center"/>
          </w:tcPr>
          <w:p w14:paraId="6F97008D">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0.4</w:t>
            </w:r>
          </w:p>
        </w:tc>
        <w:tc>
          <w:tcPr>
            <w:tcW w:w="310" w:type="pct"/>
            <w:tcBorders>
              <w:tl2br w:val="nil"/>
              <w:tr2bl w:val="nil"/>
            </w:tcBorders>
            <w:vAlign w:val="center"/>
          </w:tcPr>
          <w:p w14:paraId="68E99CD0">
            <w:pPr>
              <w:widowControl w:val="0"/>
              <w:bidi w:val="0"/>
              <w:spacing w:line="360" w:lineRule="exact"/>
              <w:ind w:firstLine="0" w:firstLineChars="0"/>
              <w:jc w:val="center"/>
              <w:rPr>
                <w:rFonts w:hint="default" w:ascii="Times New Roman" w:hAnsi="Times New Roman" w:eastAsia="宋体" w:cs="Times New Roman"/>
                <w:color w:val="0000FF"/>
                <w:sz w:val="21"/>
                <w:szCs w:val="22"/>
                <w:highlight w:val="yellow"/>
                <w:lang w:val="en-US" w:eastAsia="zh-CN" w:bidi="ar-SA"/>
              </w:rPr>
            </w:pPr>
            <w:r>
              <w:rPr>
                <w:rFonts w:hint="default" w:ascii="Times New Roman" w:hAnsi="Times New Roman" w:eastAsia="宋体" w:cs="Times New Roman"/>
                <w:bCs w:val="0"/>
                <w:color w:val="0000FF"/>
                <w:spacing w:val="0"/>
                <w:kern w:val="2"/>
                <w:sz w:val="21"/>
                <w:szCs w:val="21"/>
                <w:highlight w:val="none"/>
                <w:lang w:val="en-US" w:eastAsia="zh-CN" w:bidi="ar-SA"/>
              </w:rPr>
              <w:t>441</w:t>
            </w:r>
          </w:p>
        </w:tc>
        <w:tc>
          <w:tcPr>
            <w:tcW w:w="310" w:type="pct"/>
            <w:tcBorders>
              <w:tl2br w:val="nil"/>
              <w:tr2bl w:val="nil"/>
            </w:tcBorders>
            <w:vAlign w:val="center"/>
          </w:tcPr>
          <w:p w14:paraId="64543C04">
            <w:pPr>
              <w:widowControl w:val="0"/>
              <w:bidi w:val="0"/>
              <w:spacing w:line="360" w:lineRule="exact"/>
              <w:ind w:firstLine="0" w:firstLineChars="0"/>
              <w:jc w:val="center"/>
              <w:rPr>
                <w:rFonts w:hint="default" w:ascii="Times New Roman" w:hAnsi="Times New Roman" w:eastAsia="宋体" w:cs="Times New Roman"/>
                <w:color w:val="0000FF"/>
                <w:sz w:val="21"/>
                <w:szCs w:val="22"/>
                <w:highlight w:val="none"/>
                <w:lang w:val="en-US" w:eastAsia="zh-CN" w:bidi="ar-SA"/>
              </w:rPr>
            </w:pPr>
            <w:r>
              <w:rPr>
                <w:rFonts w:hint="default" w:ascii="Times New Roman" w:hAnsi="Times New Roman" w:eastAsia="宋体" w:cs="Times New Roman"/>
                <w:color w:val="0000FF"/>
                <w:sz w:val="21"/>
                <w:szCs w:val="22"/>
                <w:highlight w:val="none"/>
                <w:lang w:val="en-US" w:eastAsia="zh-CN" w:bidi="ar-SA"/>
              </w:rPr>
              <w:t>2500</w:t>
            </w:r>
          </w:p>
        </w:tc>
        <w:tc>
          <w:tcPr>
            <w:tcW w:w="310" w:type="pct"/>
            <w:tcBorders>
              <w:tl2br w:val="nil"/>
              <w:tr2bl w:val="nil"/>
            </w:tcBorders>
            <w:vAlign w:val="center"/>
          </w:tcPr>
          <w:p w14:paraId="249F4A9E">
            <w:pPr>
              <w:widowControl w:val="0"/>
              <w:bidi w:val="0"/>
              <w:spacing w:line="360" w:lineRule="exact"/>
              <w:ind w:firstLine="0" w:firstLineChars="0"/>
              <w:jc w:val="center"/>
              <w:rPr>
                <w:rFonts w:hint="default" w:ascii="Times New Roman" w:hAnsi="Times New Roman" w:eastAsia="宋体" w:cs="Times New Roman"/>
                <w:color w:val="0000FF"/>
                <w:sz w:val="21"/>
                <w:szCs w:val="22"/>
                <w:highlight w:val="none"/>
                <w:lang w:val="en-US" w:eastAsia="zh-CN" w:bidi="ar-SA"/>
              </w:rPr>
            </w:pPr>
            <w:r>
              <w:rPr>
                <w:rFonts w:hint="default" w:ascii="Times New Roman" w:hAnsi="Times New Roman" w:eastAsia="宋体" w:cs="Times New Roman"/>
                <w:color w:val="0000FF"/>
                <w:sz w:val="21"/>
                <w:szCs w:val="22"/>
                <w:highlight w:val="none"/>
                <w:lang w:val="en-US" w:eastAsia="zh-CN" w:bidi="ar-SA"/>
              </w:rPr>
              <w:t>5.5</w:t>
            </w:r>
          </w:p>
        </w:tc>
        <w:tc>
          <w:tcPr>
            <w:tcW w:w="310" w:type="pct"/>
            <w:tcBorders>
              <w:tl2br w:val="nil"/>
              <w:tr2bl w:val="nil"/>
            </w:tcBorders>
            <w:vAlign w:val="center"/>
          </w:tcPr>
          <w:p w14:paraId="0984F612">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20</w:t>
            </w:r>
          </w:p>
        </w:tc>
        <w:tc>
          <w:tcPr>
            <w:tcW w:w="247" w:type="pct"/>
            <w:tcBorders>
              <w:tl2br w:val="nil"/>
              <w:tr2bl w:val="nil"/>
            </w:tcBorders>
            <w:vAlign w:val="center"/>
          </w:tcPr>
          <w:p w14:paraId="2135E995">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一般排放口</w:t>
            </w:r>
          </w:p>
        </w:tc>
        <w:tc>
          <w:tcPr>
            <w:tcW w:w="252" w:type="pct"/>
            <w:tcBorders>
              <w:tl2br w:val="nil"/>
              <w:tr2bl w:val="nil"/>
            </w:tcBorders>
            <w:vAlign w:val="center"/>
          </w:tcPr>
          <w:p w14:paraId="3A724044">
            <w:pPr>
              <w:widowControl w:val="0"/>
              <w:bidi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正常工况</w:t>
            </w:r>
          </w:p>
        </w:tc>
        <w:tc>
          <w:tcPr>
            <w:tcW w:w="296" w:type="pct"/>
            <w:tcBorders>
              <w:tl2br w:val="nil"/>
              <w:tr2bl w:val="nil"/>
            </w:tcBorders>
            <w:vAlign w:val="center"/>
          </w:tcPr>
          <w:p w14:paraId="20FF3DF1">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lang w:val="en-US" w:eastAsia="zh-CN" w:bidi="ar-SA"/>
              </w:rPr>
            </w:pPr>
            <w:r>
              <w:rPr>
                <w:rFonts w:hint="default" w:ascii="Times New Roman" w:hAnsi="Times New Roman" w:eastAsia="宋体" w:cs="Times New Roman"/>
                <w:color w:val="0000FF"/>
                <w:sz w:val="21"/>
                <w:lang w:val="en-US" w:eastAsia="zh-CN" w:bidi="ar-SA"/>
              </w:rPr>
              <w:t>颗粒物</w:t>
            </w:r>
          </w:p>
        </w:tc>
        <w:tc>
          <w:tcPr>
            <w:tcW w:w="1243" w:type="dxa"/>
            <w:tcBorders>
              <w:tl2br w:val="nil"/>
              <w:tr2bl w:val="nil"/>
            </w:tcBorders>
            <w:vAlign w:val="center"/>
          </w:tcPr>
          <w:p w14:paraId="71D18B83">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highlight w:val="none"/>
                <w:u w:val="none"/>
                <w:lang w:val="en-US" w:eastAsia="zh-CN" w:bidi="ar"/>
              </w:rPr>
              <w:t>12.16</w:t>
            </w:r>
          </w:p>
        </w:tc>
        <w:tc>
          <w:tcPr>
            <w:tcW w:w="1376" w:type="dxa"/>
            <w:tcBorders>
              <w:tl2br w:val="nil"/>
              <w:tr2bl w:val="nil"/>
            </w:tcBorders>
            <w:vAlign w:val="center"/>
          </w:tcPr>
          <w:p w14:paraId="6BC3DF60">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highlight w:val="none"/>
                <w:u w:val="none"/>
                <w:lang w:val="en-US" w:eastAsia="zh-CN" w:bidi="ar"/>
              </w:rPr>
              <w:t>0.0304</w:t>
            </w:r>
          </w:p>
        </w:tc>
        <w:tc>
          <w:tcPr>
            <w:tcW w:w="1095" w:type="dxa"/>
            <w:tcBorders>
              <w:tl2br w:val="nil"/>
              <w:tr2bl w:val="nil"/>
            </w:tcBorders>
            <w:vAlign w:val="center"/>
          </w:tcPr>
          <w:p w14:paraId="4F072392">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highlight w:val="none"/>
                <w:u w:val="none"/>
                <w:lang w:val="en-US" w:eastAsia="zh-CN" w:bidi="ar"/>
              </w:rPr>
              <w:t>0.1332</w:t>
            </w:r>
          </w:p>
        </w:tc>
      </w:tr>
    </w:tbl>
    <w:p w14:paraId="1C8C63D0">
      <w:pPr>
        <w:widowControl w:val="0"/>
        <w:spacing w:line="400" w:lineRule="exact"/>
        <w:ind w:firstLine="0" w:firstLineChars="0"/>
        <w:jc w:val="center"/>
        <w:rPr>
          <w:rFonts w:hint="default" w:ascii="Times New Roman" w:hAnsi="Times New Roman" w:eastAsia="宋体" w:cs="Times New Roman"/>
          <w:b/>
          <w:color w:val="auto"/>
          <w:sz w:val="21"/>
          <w:szCs w:val="21"/>
          <w:lang w:val="en-US" w:eastAsia="zh-CN" w:bidi="ar-SA"/>
        </w:rPr>
      </w:pPr>
      <w:r>
        <w:rPr>
          <w:rFonts w:hint="default" w:ascii="Times New Roman" w:hAnsi="Times New Roman" w:eastAsia="宋体" w:cs="Times New Roman"/>
          <w:b/>
          <w:color w:val="auto"/>
          <w:sz w:val="21"/>
          <w:szCs w:val="21"/>
          <w:lang w:val="en-US" w:eastAsia="zh-CN" w:bidi="ar-SA"/>
        </w:rPr>
        <w:t>表4.5-</w:t>
      </w:r>
      <w:r>
        <w:rPr>
          <w:rFonts w:hint="eastAsia" w:cs="Times New Roman"/>
          <w:b/>
          <w:color w:val="auto"/>
          <w:sz w:val="21"/>
          <w:szCs w:val="21"/>
          <w:lang w:val="en-US" w:eastAsia="zh-CN" w:bidi="ar-SA"/>
        </w:rPr>
        <w:t>2</w:t>
      </w:r>
      <w:r>
        <w:rPr>
          <w:rFonts w:hint="default" w:ascii="Times New Roman" w:hAnsi="Times New Roman" w:eastAsia="宋体" w:cs="Times New Roman"/>
          <w:b/>
          <w:color w:val="auto"/>
          <w:sz w:val="21"/>
          <w:szCs w:val="21"/>
          <w:lang w:val="en-US" w:eastAsia="zh-CN" w:bidi="ar-SA"/>
        </w:rPr>
        <w:t>面源污染物排放基本情况表</w:t>
      </w:r>
    </w:p>
    <w:tbl>
      <w:tblPr>
        <w:tblStyle w:val="22"/>
        <w:tblW w:w="14173"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360"/>
        <w:gridCol w:w="1518"/>
        <w:gridCol w:w="1736"/>
        <w:gridCol w:w="1109"/>
        <w:gridCol w:w="2187"/>
        <w:gridCol w:w="2068"/>
        <w:gridCol w:w="1640"/>
        <w:gridCol w:w="814"/>
        <w:gridCol w:w="562"/>
        <w:gridCol w:w="2179"/>
      </w:tblGrid>
      <w:tr w14:paraId="4E1ED4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jc w:val="center"/>
        </w:trPr>
        <w:tc>
          <w:tcPr>
            <w:tcW w:w="127" w:type="pct"/>
            <w:vMerge w:val="restart"/>
            <w:tcBorders>
              <w:tl2br w:val="nil"/>
              <w:tr2bl w:val="nil"/>
            </w:tcBorders>
            <w:noWrap/>
            <w:vAlign w:val="center"/>
          </w:tcPr>
          <w:p w14:paraId="39A7B078">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color w:val="auto"/>
                <w:sz w:val="21"/>
                <w:szCs w:val="22"/>
                <w:lang w:val="en-US" w:eastAsia="zh-CN" w:bidi="ar-SA"/>
              </w:rPr>
              <w:t>编号</w:t>
            </w:r>
          </w:p>
        </w:tc>
        <w:tc>
          <w:tcPr>
            <w:tcW w:w="535" w:type="pct"/>
            <w:vMerge w:val="restart"/>
            <w:tcBorders>
              <w:tl2br w:val="nil"/>
              <w:tr2bl w:val="nil"/>
            </w:tcBorders>
            <w:noWrap/>
            <w:vAlign w:val="center"/>
          </w:tcPr>
          <w:p w14:paraId="265318CB">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color w:val="auto"/>
                <w:sz w:val="21"/>
                <w:szCs w:val="22"/>
                <w:lang w:val="en-US" w:eastAsia="zh-CN" w:bidi="ar-SA"/>
              </w:rPr>
              <w:t>生产设施编号/无组织排放编号</w:t>
            </w:r>
          </w:p>
        </w:tc>
        <w:tc>
          <w:tcPr>
            <w:tcW w:w="612" w:type="pct"/>
            <w:vMerge w:val="restart"/>
            <w:tcBorders>
              <w:tl2br w:val="nil"/>
              <w:tr2bl w:val="nil"/>
            </w:tcBorders>
            <w:noWrap/>
            <w:vAlign w:val="center"/>
          </w:tcPr>
          <w:p w14:paraId="06AE1634">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color w:val="auto"/>
                <w:sz w:val="21"/>
                <w:szCs w:val="22"/>
                <w:lang w:val="en-US" w:eastAsia="zh-CN" w:bidi="ar-SA"/>
              </w:rPr>
              <w:t>产污环节</w:t>
            </w:r>
          </w:p>
        </w:tc>
        <w:tc>
          <w:tcPr>
            <w:tcW w:w="391" w:type="pct"/>
            <w:vMerge w:val="restart"/>
            <w:tcBorders>
              <w:tl2br w:val="nil"/>
              <w:tr2bl w:val="nil"/>
            </w:tcBorders>
            <w:noWrap/>
            <w:vAlign w:val="center"/>
          </w:tcPr>
          <w:p w14:paraId="19F2DEC7">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color w:val="auto"/>
                <w:sz w:val="21"/>
                <w:szCs w:val="22"/>
                <w:lang w:val="en-US" w:eastAsia="zh-CN" w:bidi="ar-SA"/>
              </w:rPr>
              <w:t>污染物种类</w:t>
            </w:r>
          </w:p>
        </w:tc>
        <w:tc>
          <w:tcPr>
            <w:tcW w:w="1500" w:type="pct"/>
            <w:gridSpan w:val="2"/>
            <w:tcBorders>
              <w:tl2br w:val="nil"/>
              <w:tr2bl w:val="nil"/>
            </w:tcBorders>
            <w:noWrap/>
            <w:vAlign w:val="center"/>
          </w:tcPr>
          <w:p w14:paraId="00C07D2D">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color w:val="auto"/>
                <w:sz w:val="21"/>
                <w:szCs w:val="22"/>
                <w:lang w:val="en-US" w:eastAsia="zh-CN" w:bidi="ar-SA"/>
              </w:rPr>
              <w:t>国家或地方污染物排放标准</w:t>
            </w:r>
          </w:p>
        </w:tc>
        <w:tc>
          <w:tcPr>
            <w:tcW w:w="578" w:type="pct"/>
            <w:vMerge w:val="restart"/>
            <w:tcBorders>
              <w:tl2br w:val="nil"/>
              <w:tr2bl w:val="nil"/>
            </w:tcBorders>
            <w:noWrap/>
            <w:vAlign w:val="center"/>
          </w:tcPr>
          <w:p w14:paraId="43FE38CC">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color w:val="auto"/>
                <w:sz w:val="21"/>
                <w:szCs w:val="22"/>
                <w:lang w:val="en-US" w:eastAsia="zh-CN" w:bidi="ar-SA"/>
              </w:rPr>
              <w:t>其他信息</w:t>
            </w:r>
          </w:p>
        </w:tc>
        <w:tc>
          <w:tcPr>
            <w:tcW w:w="287" w:type="pct"/>
            <w:vMerge w:val="restart"/>
            <w:tcBorders>
              <w:tl2br w:val="nil"/>
              <w:tr2bl w:val="nil"/>
            </w:tcBorders>
            <w:noWrap/>
            <w:vAlign w:val="center"/>
          </w:tcPr>
          <w:p w14:paraId="5D2AFA87">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color w:val="auto"/>
                <w:sz w:val="21"/>
                <w:szCs w:val="22"/>
                <w:lang w:val="en-US" w:eastAsia="zh-CN" w:bidi="ar-SA"/>
              </w:rPr>
              <w:t>年排放小时数/h</w:t>
            </w:r>
          </w:p>
        </w:tc>
        <w:tc>
          <w:tcPr>
            <w:tcW w:w="198" w:type="pct"/>
            <w:vMerge w:val="restart"/>
            <w:tcBorders>
              <w:tl2br w:val="nil"/>
              <w:tr2bl w:val="nil"/>
            </w:tcBorders>
            <w:noWrap/>
            <w:vAlign w:val="center"/>
          </w:tcPr>
          <w:p w14:paraId="283F8F1E">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color w:val="auto"/>
                <w:sz w:val="21"/>
                <w:szCs w:val="22"/>
                <w:lang w:val="en-US" w:eastAsia="zh-CN" w:bidi="ar-SA"/>
              </w:rPr>
              <w:t>排放工况</w:t>
            </w:r>
          </w:p>
        </w:tc>
        <w:tc>
          <w:tcPr>
            <w:tcW w:w="768" w:type="pct"/>
            <w:vMerge w:val="restart"/>
            <w:tcBorders>
              <w:tl2br w:val="nil"/>
              <w:tr2bl w:val="nil"/>
            </w:tcBorders>
            <w:noWrap/>
            <w:vAlign w:val="center"/>
          </w:tcPr>
          <w:p w14:paraId="4D462EC3">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color w:val="auto"/>
                <w:sz w:val="21"/>
                <w:szCs w:val="22"/>
                <w:lang w:val="en-US" w:eastAsia="zh-CN" w:bidi="ar-SA"/>
              </w:rPr>
              <w:t>污染物排放速率/（kg/h）</w:t>
            </w:r>
          </w:p>
        </w:tc>
      </w:tr>
      <w:tr w14:paraId="2D6D47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99" w:hRule="atLeast"/>
          <w:jc w:val="center"/>
        </w:trPr>
        <w:tc>
          <w:tcPr>
            <w:tcW w:w="127" w:type="pct"/>
            <w:vMerge w:val="continue"/>
            <w:tcBorders>
              <w:tl2br w:val="nil"/>
              <w:tr2bl w:val="nil"/>
            </w:tcBorders>
            <w:noWrap/>
            <w:vAlign w:val="center"/>
          </w:tcPr>
          <w:p w14:paraId="101E08D0">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p>
        </w:tc>
        <w:tc>
          <w:tcPr>
            <w:tcW w:w="535" w:type="pct"/>
            <w:vMerge w:val="continue"/>
            <w:tcBorders>
              <w:tl2br w:val="nil"/>
              <w:tr2bl w:val="nil"/>
            </w:tcBorders>
            <w:noWrap/>
            <w:vAlign w:val="center"/>
          </w:tcPr>
          <w:p w14:paraId="6A93A46B">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p>
        </w:tc>
        <w:tc>
          <w:tcPr>
            <w:tcW w:w="612" w:type="pct"/>
            <w:vMerge w:val="continue"/>
            <w:tcBorders>
              <w:tl2br w:val="nil"/>
              <w:tr2bl w:val="nil"/>
            </w:tcBorders>
            <w:noWrap/>
            <w:vAlign w:val="center"/>
          </w:tcPr>
          <w:p w14:paraId="729CF176">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p>
        </w:tc>
        <w:tc>
          <w:tcPr>
            <w:tcW w:w="391" w:type="pct"/>
            <w:vMerge w:val="continue"/>
            <w:tcBorders>
              <w:tl2br w:val="nil"/>
              <w:tr2bl w:val="nil"/>
            </w:tcBorders>
            <w:noWrap/>
            <w:vAlign w:val="center"/>
          </w:tcPr>
          <w:p w14:paraId="368B04B2">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p>
        </w:tc>
        <w:tc>
          <w:tcPr>
            <w:tcW w:w="771" w:type="pct"/>
            <w:tcBorders>
              <w:tl2br w:val="nil"/>
              <w:tr2bl w:val="nil"/>
            </w:tcBorders>
            <w:noWrap/>
            <w:vAlign w:val="center"/>
          </w:tcPr>
          <w:p w14:paraId="1A45B3EC">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color w:val="auto"/>
                <w:sz w:val="21"/>
                <w:szCs w:val="22"/>
                <w:lang w:val="en-US" w:eastAsia="zh-CN" w:bidi="ar-SA"/>
              </w:rPr>
              <w:t>名称</w:t>
            </w:r>
          </w:p>
        </w:tc>
        <w:tc>
          <w:tcPr>
            <w:tcW w:w="729" w:type="pct"/>
            <w:tcBorders>
              <w:tl2br w:val="nil"/>
              <w:tr2bl w:val="nil"/>
            </w:tcBorders>
            <w:noWrap/>
            <w:vAlign w:val="center"/>
          </w:tcPr>
          <w:p w14:paraId="63C7DAD1">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color w:val="auto"/>
                <w:sz w:val="21"/>
                <w:szCs w:val="22"/>
                <w:lang w:val="en-US" w:eastAsia="zh-CN" w:bidi="ar-SA"/>
              </w:rPr>
              <w:t>浓度限值（mg/m</w:t>
            </w:r>
            <w:r>
              <w:rPr>
                <w:rFonts w:hint="default" w:ascii="Times New Roman" w:hAnsi="Times New Roman" w:eastAsia="宋体" w:cs="Times New Roman"/>
                <w:color w:val="auto"/>
                <w:sz w:val="21"/>
                <w:szCs w:val="22"/>
                <w:vertAlign w:val="superscript"/>
                <w:lang w:val="en-US" w:eastAsia="zh-CN" w:bidi="ar-SA"/>
              </w:rPr>
              <w:t>3</w:t>
            </w:r>
            <w:r>
              <w:rPr>
                <w:rFonts w:hint="default" w:ascii="Times New Roman" w:hAnsi="Times New Roman" w:eastAsia="宋体" w:cs="Times New Roman"/>
                <w:color w:val="auto"/>
                <w:sz w:val="21"/>
                <w:szCs w:val="22"/>
                <w:lang w:val="en-US" w:eastAsia="zh-CN" w:bidi="ar-SA"/>
              </w:rPr>
              <w:t>）</w:t>
            </w:r>
          </w:p>
        </w:tc>
        <w:tc>
          <w:tcPr>
            <w:tcW w:w="578" w:type="pct"/>
            <w:vMerge w:val="continue"/>
            <w:tcBorders>
              <w:tl2br w:val="nil"/>
              <w:tr2bl w:val="nil"/>
            </w:tcBorders>
            <w:noWrap/>
            <w:vAlign w:val="center"/>
          </w:tcPr>
          <w:p w14:paraId="7D7743DE">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p>
        </w:tc>
        <w:tc>
          <w:tcPr>
            <w:tcW w:w="287" w:type="pct"/>
            <w:vMerge w:val="continue"/>
            <w:tcBorders>
              <w:tl2br w:val="nil"/>
              <w:tr2bl w:val="nil"/>
            </w:tcBorders>
            <w:noWrap/>
            <w:vAlign w:val="center"/>
          </w:tcPr>
          <w:p w14:paraId="3C105E7F">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p>
        </w:tc>
        <w:tc>
          <w:tcPr>
            <w:tcW w:w="198" w:type="pct"/>
            <w:vMerge w:val="continue"/>
            <w:tcBorders>
              <w:tl2br w:val="nil"/>
              <w:tr2bl w:val="nil"/>
            </w:tcBorders>
            <w:noWrap/>
            <w:vAlign w:val="center"/>
          </w:tcPr>
          <w:p w14:paraId="2DB2A277">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p>
        </w:tc>
        <w:tc>
          <w:tcPr>
            <w:tcW w:w="768" w:type="pct"/>
            <w:vMerge w:val="continue"/>
            <w:tcBorders>
              <w:tl2br w:val="nil"/>
              <w:tr2bl w:val="nil"/>
            </w:tcBorders>
            <w:noWrap/>
            <w:vAlign w:val="center"/>
          </w:tcPr>
          <w:p w14:paraId="2B9409C6">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p>
        </w:tc>
      </w:tr>
      <w:tr w14:paraId="3002EC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5" w:hRule="atLeast"/>
          <w:jc w:val="center"/>
        </w:trPr>
        <w:tc>
          <w:tcPr>
            <w:tcW w:w="127" w:type="pct"/>
            <w:vMerge w:val="restart"/>
            <w:tcBorders>
              <w:tl2br w:val="nil"/>
              <w:tr2bl w:val="nil"/>
            </w:tcBorders>
            <w:noWrap/>
            <w:vAlign w:val="center"/>
          </w:tcPr>
          <w:p w14:paraId="20B241FC">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color w:val="auto"/>
                <w:sz w:val="21"/>
                <w:szCs w:val="22"/>
                <w:lang w:val="en-US" w:eastAsia="zh-CN" w:bidi="ar-SA"/>
              </w:rPr>
              <w:t>1</w:t>
            </w:r>
          </w:p>
        </w:tc>
        <w:tc>
          <w:tcPr>
            <w:tcW w:w="535" w:type="pct"/>
            <w:vMerge w:val="restart"/>
            <w:tcBorders>
              <w:tl2br w:val="nil"/>
              <w:tr2bl w:val="nil"/>
            </w:tcBorders>
            <w:noWrap/>
            <w:vAlign w:val="center"/>
          </w:tcPr>
          <w:p w14:paraId="75E84F34">
            <w:pPr>
              <w:widowControl w:val="0"/>
              <w:bidi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color w:val="auto"/>
                <w:sz w:val="21"/>
                <w:szCs w:val="22"/>
                <w:lang w:val="en-US" w:eastAsia="zh-CN" w:bidi="ar-SA"/>
              </w:rPr>
              <w:t>厂界</w:t>
            </w:r>
          </w:p>
        </w:tc>
        <w:tc>
          <w:tcPr>
            <w:tcW w:w="612" w:type="pct"/>
            <w:tcBorders>
              <w:tl2br w:val="nil"/>
              <w:tr2bl w:val="nil"/>
            </w:tcBorders>
            <w:noWrap/>
            <w:vAlign w:val="center"/>
          </w:tcPr>
          <w:p w14:paraId="627AFC49">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4"/>
                <w:szCs w:val="22"/>
                <w:lang w:val="en-US" w:eastAsia="zh-CN" w:bidi="ar-SA"/>
              </w:rPr>
            </w:pPr>
            <w:r>
              <w:rPr>
                <w:rFonts w:hint="default" w:ascii="Times New Roman" w:hAnsi="Times New Roman" w:eastAsia="宋体" w:cs="Times New Roman"/>
                <w:color w:val="auto"/>
                <w:kern w:val="2"/>
                <w:sz w:val="21"/>
                <w:szCs w:val="22"/>
                <w:lang w:val="en-US" w:eastAsia="zh-CN"/>
              </w:rPr>
              <w:t>车辆进出场、卸料转运粉尘、菌剂、秸秆投料粉尘、堆存粉尘</w:t>
            </w:r>
            <w:r>
              <w:rPr>
                <w:rFonts w:hint="default" w:ascii="Times New Roman" w:hAnsi="Times New Roman" w:eastAsia="宋体" w:cs="Times New Roman"/>
                <w:i w:val="0"/>
                <w:iCs w:val="0"/>
                <w:color w:val="auto"/>
                <w:kern w:val="0"/>
                <w:sz w:val="21"/>
                <w:szCs w:val="21"/>
                <w:u w:val="none"/>
                <w:lang w:val="en-US" w:eastAsia="zh-CN" w:bidi="ar"/>
              </w:rPr>
              <w:t>、筛分</w:t>
            </w:r>
            <w:r>
              <w:rPr>
                <w:rFonts w:hint="default" w:ascii="Times New Roman" w:hAnsi="Times New Roman" w:eastAsia="宋体" w:cs="Times New Roman"/>
                <w:color w:val="auto"/>
                <w:kern w:val="2"/>
                <w:sz w:val="21"/>
                <w:szCs w:val="22"/>
                <w:lang w:val="en-US" w:eastAsia="zh-CN"/>
              </w:rPr>
              <w:t>粉尘、包装粉尘</w:t>
            </w:r>
          </w:p>
        </w:tc>
        <w:tc>
          <w:tcPr>
            <w:tcW w:w="391" w:type="pct"/>
            <w:tcBorders>
              <w:tl2br w:val="nil"/>
              <w:tr2bl w:val="nil"/>
            </w:tcBorders>
            <w:noWrap/>
            <w:vAlign w:val="center"/>
          </w:tcPr>
          <w:p w14:paraId="646EE2D1">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color w:val="auto"/>
                <w:sz w:val="21"/>
                <w:lang w:val="en-US" w:eastAsia="zh-CN" w:bidi="ar-SA"/>
              </w:rPr>
              <w:t>颗粒物</w:t>
            </w:r>
          </w:p>
        </w:tc>
        <w:tc>
          <w:tcPr>
            <w:tcW w:w="771" w:type="pct"/>
            <w:tcBorders>
              <w:tl2br w:val="nil"/>
              <w:tr2bl w:val="nil"/>
            </w:tcBorders>
            <w:noWrap/>
            <w:vAlign w:val="center"/>
          </w:tcPr>
          <w:p w14:paraId="0EAEBD0E">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color w:val="auto"/>
                <w:sz w:val="21"/>
                <w:szCs w:val="22"/>
                <w:lang w:val="en-US" w:eastAsia="zh-CN" w:bidi="ar-SA"/>
              </w:rPr>
              <w:t>《大气污染物综合排放标准》（GB 16297-1996）表2 新污染源大气污染物排放限值</w:t>
            </w:r>
          </w:p>
        </w:tc>
        <w:tc>
          <w:tcPr>
            <w:tcW w:w="729" w:type="pct"/>
            <w:tcBorders>
              <w:tl2br w:val="nil"/>
              <w:tr2bl w:val="nil"/>
            </w:tcBorders>
            <w:noWrap/>
            <w:vAlign w:val="center"/>
          </w:tcPr>
          <w:p w14:paraId="213C412D">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color w:val="auto"/>
                <w:sz w:val="21"/>
                <w:szCs w:val="22"/>
                <w:lang w:val="en-US" w:eastAsia="zh-CN" w:bidi="ar-SA"/>
              </w:rPr>
              <w:t>1.0</w:t>
            </w:r>
          </w:p>
        </w:tc>
        <w:tc>
          <w:tcPr>
            <w:tcW w:w="578" w:type="pct"/>
            <w:tcBorders>
              <w:tl2br w:val="nil"/>
              <w:tr2bl w:val="nil"/>
            </w:tcBorders>
            <w:noWrap/>
            <w:vAlign w:val="center"/>
          </w:tcPr>
          <w:p w14:paraId="7549906E">
            <w:pPr>
              <w:keepNext w:val="0"/>
              <w:keepLines w:val="0"/>
              <w:widowControl/>
              <w:suppressLineNumbers w:val="0"/>
              <w:jc w:val="center"/>
              <w:textAlignment w:val="center"/>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加强车辆管理、</w:t>
            </w:r>
            <w:r>
              <w:rPr>
                <w:rFonts w:hint="default" w:ascii="Times New Roman" w:hAnsi="Times New Roman" w:eastAsia="宋体" w:cs="Times New Roman"/>
                <w:color w:val="auto"/>
                <w:kern w:val="2"/>
                <w:sz w:val="21"/>
                <w:szCs w:val="22"/>
                <w:lang w:val="en-US" w:eastAsia="zh-CN"/>
              </w:rPr>
              <w:t>湿料混合，</w:t>
            </w:r>
            <w:r>
              <w:rPr>
                <w:rFonts w:hint="default" w:ascii="Times New Roman" w:hAnsi="Times New Roman" w:eastAsia="宋体" w:cs="Times New Roman"/>
                <w:color w:val="auto"/>
                <w:sz w:val="21"/>
                <w:lang w:val="en-US" w:eastAsia="zh-CN" w:bidi="ar-SA"/>
              </w:rPr>
              <w:t>加强封闭式作业、封闭式成品仓库</w:t>
            </w:r>
          </w:p>
        </w:tc>
        <w:tc>
          <w:tcPr>
            <w:tcW w:w="287" w:type="pct"/>
            <w:tcBorders>
              <w:tl2br w:val="nil"/>
              <w:tr2bl w:val="nil"/>
            </w:tcBorders>
            <w:noWrap/>
            <w:vAlign w:val="center"/>
          </w:tcPr>
          <w:p w14:paraId="278F5755">
            <w:pPr>
              <w:widowControl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8760</w:t>
            </w:r>
          </w:p>
        </w:tc>
        <w:tc>
          <w:tcPr>
            <w:tcW w:w="198" w:type="pct"/>
            <w:vMerge w:val="restart"/>
            <w:tcBorders>
              <w:tl2br w:val="nil"/>
              <w:tr2bl w:val="nil"/>
            </w:tcBorders>
            <w:noWrap/>
            <w:vAlign w:val="center"/>
          </w:tcPr>
          <w:p w14:paraId="7AF96762">
            <w:pPr>
              <w:widowControl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连续</w:t>
            </w:r>
          </w:p>
        </w:tc>
        <w:tc>
          <w:tcPr>
            <w:tcW w:w="2179" w:type="dxa"/>
            <w:tcBorders>
              <w:tl2br w:val="nil"/>
              <w:tr2bl w:val="nil"/>
            </w:tcBorders>
            <w:noWrap/>
            <w:vAlign w:val="center"/>
          </w:tcPr>
          <w:p w14:paraId="2D69C56C">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szCs w:val="22"/>
                <w:lang w:val="en-US" w:eastAsia="zh-CN" w:bidi="ar-SA"/>
              </w:rPr>
            </w:pPr>
            <w:r>
              <w:rPr>
                <w:rFonts w:hint="eastAsia" w:ascii="Times New Roman" w:hAnsi="Times New Roman" w:eastAsia="宋体" w:cs="Times New Roman"/>
                <w:color w:val="0000FF"/>
                <w:sz w:val="21"/>
                <w:szCs w:val="21"/>
                <w:lang w:val="en-US" w:eastAsia="zh-CN"/>
              </w:rPr>
              <w:t>0.2978</w:t>
            </w:r>
          </w:p>
        </w:tc>
      </w:tr>
      <w:tr w14:paraId="22EC1C9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5" w:hRule="atLeast"/>
          <w:jc w:val="center"/>
        </w:trPr>
        <w:tc>
          <w:tcPr>
            <w:tcW w:w="127" w:type="pct"/>
            <w:vMerge w:val="continue"/>
            <w:tcBorders>
              <w:tl2br w:val="nil"/>
              <w:tr2bl w:val="nil"/>
            </w:tcBorders>
            <w:noWrap/>
            <w:vAlign w:val="center"/>
          </w:tcPr>
          <w:p w14:paraId="0CD9FF77">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p>
        </w:tc>
        <w:tc>
          <w:tcPr>
            <w:tcW w:w="535" w:type="pct"/>
            <w:vMerge w:val="continue"/>
            <w:tcBorders>
              <w:tl2br w:val="nil"/>
              <w:tr2bl w:val="nil"/>
            </w:tcBorders>
            <w:noWrap/>
            <w:vAlign w:val="center"/>
          </w:tcPr>
          <w:p w14:paraId="79757CD5">
            <w:pPr>
              <w:widowControl w:val="0"/>
              <w:bidi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p>
        </w:tc>
        <w:tc>
          <w:tcPr>
            <w:tcW w:w="612" w:type="pct"/>
            <w:vMerge w:val="restart"/>
            <w:tcBorders>
              <w:tl2br w:val="nil"/>
              <w:tr2bl w:val="nil"/>
            </w:tcBorders>
            <w:noWrap/>
            <w:vAlign w:val="center"/>
          </w:tcPr>
          <w:p w14:paraId="2151A591">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color w:val="auto"/>
                <w:sz w:val="21"/>
                <w:szCs w:val="22"/>
                <w:lang w:val="en-US" w:eastAsia="zh-CN" w:bidi="ar-SA"/>
              </w:rPr>
              <w:t>备料、发酵</w:t>
            </w:r>
          </w:p>
        </w:tc>
        <w:tc>
          <w:tcPr>
            <w:tcW w:w="391" w:type="pct"/>
            <w:tcBorders>
              <w:tl2br w:val="nil"/>
              <w:tr2bl w:val="nil"/>
            </w:tcBorders>
            <w:noWrap/>
            <w:vAlign w:val="center"/>
          </w:tcPr>
          <w:p w14:paraId="2A6C6E07">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1"/>
                <w:lang w:val="en-US" w:eastAsia="zh-CN" w:bidi="ar-SA"/>
              </w:rPr>
            </w:pPr>
            <w:r>
              <w:rPr>
                <w:rFonts w:hint="default" w:ascii="Times New Roman" w:hAnsi="Times New Roman" w:eastAsia="宋体" w:cs="Times New Roman"/>
                <w:b w:val="0"/>
                <w:bCs w:val="0"/>
                <w:color w:val="auto"/>
                <w:kern w:val="2"/>
                <w:sz w:val="21"/>
                <w:szCs w:val="22"/>
                <w:lang w:val="en-US" w:eastAsia="zh-CN"/>
              </w:rPr>
              <w:t>氨</w:t>
            </w:r>
          </w:p>
        </w:tc>
        <w:tc>
          <w:tcPr>
            <w:tcW w:w="771" w:type="pct"/>
            <w:vMerge w:val="restart"/>
            <w:tcBorders>
              <w:tl2br w:val="nil"/>
              <w:tr2bl w:val="nil"/>
            </w:tcBorders>
            <w:noWrap/>
            <w:vAlign w:val="center"/>
          </w:tcPr>
          <w:p w14:paraId="277BAD9B">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auto"/>
                <w:sz w:val="21"/>
                <w:lang w:val="en-US" w:eastAsia="zh-CN" w:bidi="ar-SA"/>
              </w:rPr>
            </w:pPr>
            <w:r>
              <w:rPr>
                <w:rFonts w:hint="default" w:ascii="Times New Roman" w:hAnsi="Times New Roman" w:eastAsia="宋体" w:cs="Times New Roman"/>
                <w:color w:val="auto"/>
                <w:sz w:val="21"/>
                <w:lang w:val="en-US" w:eastAsia="zh-CN" w:bidi="ar-SA"/>
              </w:rPr>
              <w:t>《恶臭污染物排放标准》（GB14554-93）表1 恶臭污染物厂界标准值中二级标准限值</w:t>
            </w:r>
          </w:p>
        </w:tc>
        <w:tc>
          <w:tcPr>
            <w:tcW w:w="729" w:type="pct"/>
            <w:tcBorders>
              <w:tl2br w:val="nil"/>
              <w:tr2bl w:val="nil"/>
            </w:tcBorders>
            <w:noWrap/>
            <w:vAlign w:val="center"/>
          </w:tcPr>
          <w:p w14:paraId="61E21CEA">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color w:val="auto"/>
                <w:kern w:val="2"/>
                <w:sz w:val="21"/>
                <w:szCs w:val="21"/>
                <w:lang w:val="en-US" w:eastAsia="zh-CN" w:bidi="ar-SA"/>
              </w:rPr>
              <w:t>1.5</w:t>
            </w:r>
          </w:p>
        </w:tc>
        <w:tc>
          <w:tcPr>
            <w:tcW w:w="578" w:type="pct"/>
            <w:vMerge w:val="restart"/>
            <w:tcBorders>
              <w:tl2br w:val="nil"/>
              <w:tr2bl w:val="nil"/>
            </w:tcBorders>
            <w:noWrap/>
            <w:vAlign w:val="center"/>
          </w:tcPr>
          <w:p w14:paraId="498BDBA6">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color w:val="auto"/>
                <w:sz w:val="21"/>
                <w:szCs w:val="21"/>
                <w:lang w:val="en-US" w:eastAsia="zh-CN"/>
              </w:rPr>
              <w:t>加强封闭式作业、</w:t>
            </w:r>
            <w:r>
              <w:rPr>
                <w:rFonts w:hint="default" w:ascii="Times New Roman" w:hAnsi="Times New Roman" w:eastAsia="宋体" w:cs="Times New Roman"/>
                <w:color w:val="auto"/>
                <w:sz w:val="21"/>
                <w:szCs w:val="22"/>
                <w:lang w:val="en-US" w:eastAsia="zh-CN" w:bidi="ar-SA"/>
              </w:rPr>
              <w:t>喷洒除臭剂</w:t>
            </w:r>
          </w:p>
        </w:tc>
        <w:tc>
          <w:tcPr>
            <w:tcW w:w="287" w:type="pct"/>
            <w:vMerge w:val="restart"/>
            <w:tcBorders>
              <w:tl2br w:val="nil"/>
              <w:tr2bl w:val="nil"/>
            </w:tcBorders>
            <w:noWrap/>
            <w:vAlign w:val="center"/>
          </w:tcPr>
          <w:p w14:paraId="269DA9C4">
            <w:pPr>
              <w:widowControl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8760</w:t>
            </w:r>
          </w:p>
        </w:tc>
        <w:tc>
          <w:tcPr>
            <w:tcW w:w="198" w:type="pct"/>
            <w:vMerge w:val="continue"/>
            <w:tcBorders>
              <w:tl2br w:val="nil"/>
              <w:tr2bl w:val="nil"/>
            </w:tcBorders>
            <w:noWrap/>
            <w:vAlign w:val="center"/>
          </w:tcPr>
          <w:p w14:paraId="71E86878">
            <w:pPr>
              <w:widowControl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p>
        </w:tc>
        <w:tc>
          <w:tcPr>
            <w:tcW w:w="2179" w:type="dxa"/>
            <w:tcBorders>
              <w:tl2br w:val="nil"/>
              <w:tr2bl w:val="nil"/>
            </w:tcBorders>
            <w:noWrap/>
            <w:vAlign w:val="center"/>
          </w:tcPr>
          <w:p w14:paraId="02842C94">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0.0023</w:t>
            </w:r>
          </w:p>
        </w:tc>
      </w:tr>
      <w:tr w14:paraId="0EACC24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5" w:hRule="atLeast"/>
          <w:jc w:val="center"/>
        </w:trPr>
        <w:tc>
          <w:tcPr>
            <w:tcW w:w="127" w:type="pct"/>
            <w:vMerge w:val="continue"/>
            <w:tcBorders>
              <w:tl2br w:val="nil"/>
              <w:tr2bl w:val="nil"/>
            </w:tcBorders>
            <w:noWrap/>
            <w:vAlign w:val="center"/>
          </w:tcPr>
          <w:p w14:paraId="73D615FE">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p>
        </w:tc>
        <w:tc>
          <w:tcPr>
            <w:tcW w:w="535" w:type="pct"/>
            <w:vMerge w:val="continue"/>
            <w:tcBorders>
              <w:tl2br w:val="nil"/>
              <w:tr2bl w:val="nil"/>
            </w:tcBorders>
            <w:noWrap/>
            <w:vAlign w:val="center"/>
          </w:tcPr>
          <w:p w14:paraId="5E55A623">
            <w:pPr>
              <w:widowControl w:val="0"/>
              <w:bidi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p>
        </w:tc>
        <w:tc>
          <w:tcPr>
            <w:tcW w:w="612" w:type="pct"/>
            <w:vMerge w:val="continue"/>
            <w:tcBorders>
              <w:tl2br w:val="nil"/>
              <w:tr2bl w:val="nil"/>
            </w:tcBorders>
            <w:noWrap/>
            <w:vAlign w:val="center"/>
          </w:tcPr>
          <w:p w14:paraId="5FF5E95B">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p>
        </w:tc>
        <w:tc>
          <w:tcPr>
            <w:tcW w:w="391" w:type="pct"/>
            <w:tcBorders>
              <w:tl2br w:val="nil"/>
              <w:tr2bl w:val="nil"/>
            </w:tcBorders>
            <w:noWrap/>
            <w:vAlign w:val="center"/>
          </w:tcPr>
          <w:p w14:paraId="28A6E8D0">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1"/>
                <w:lang w:val="en-US" w:eastAsia="zh-CN" w:bidi="ar-SA"/>
              </w:rPr>
            </w:pPr>
            <w:r>
              <w:rPr>
                <w:rFonts w:hint="default" w:ascii="Times New Roman" w:hAnsi="Times New Roman" w:eastAsia="宋体" w:cs="Times New Roman"/>
                <w:color w:val="auto"/>
                <w:kern w:val="2"/>
                <w:sz w:val="21"/>
                <w:szCs w:val="24"/>
                <w:lang w:val="en-US" w:eastAsia="zh-CN"/>
              </w:rPr>
              <w:t>硫化氢</w:t>
            </w:r>
          </w:p>
        </w:tc>
        <w:tc>
          <w:tcPr>
            <w:tcW w:w="771" w:type="pct"/>
            <w:vMerge w:val="continue"/>
            <w:tcBorders>
              <w:tl2br w:val="nil"/>
              <w:tr2bl w:val="nil"/>
            </w:tcBorders>
            <w:noWrap/>
            <w:vAlign w:val="center"/>
          </w:tcPr>
          <w:p w14:paraId="4FB5F41F">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auto"/>
                <w:sz w:val="21"/>
                <w:lang w:val="en-US" w:eastAsia="zh-CN" w:bidi="ar-SA"/>
              </w:rPr>
            </w:pPr>
          </w:p>
        </w:tc>
        <w:tc>
          <w:tcPr>
            <w:tcW w:w="729" w:type="pct"/>
            <w:tcBorders>
              <w:tl2br w:val="nil"/>
              <w:tr2bl w:val="nil"/>
            </w:tcBorders>
            <w:noWrap/>
            <w:vAlign w:val="center"/>
          </w:tcPr>
          <w:p w14:paraId="2C107118">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sz w:val="21"/>
                <w:szCs w:val="22"/>
                <w:lang w:val="en-US" w:eastAsia="zh-CN" w:bidi="ar-SA"/>
              </w:rPr>
            </w:pPr>
            <w:r>
              <w:rPr>
                <w:rFonts w:hint="default" w:ascii="Times New Roman" w:hAnsi="Times New Roman" w:eastAsia="宋体" w:cs="Times New Roman"/>
                <w:color w:val="auto"/>
                <w:kern w:val="2"/>
                <w:sz w:val="21"/>
                <w:szCs w:val="21"/>
                <w:lang w:val="en-US" w:eastAsia="zh-CN" w:bidi="ar-SA"/>
              </w:rPr>
              <w:t>0.06</w:t>
            </w:r>
          </w:p>
        </w:tc>
        <w:tc>
          <w:tcPr>
            <w:tcW w:w="578" w:type="pct"/>
            <w:vMerge w:val="continue"/>
            <w:tcBorders>
              <w:tl2br w:val="nil"/>
              <w:tr2bl w:val="nil"/>
            </w:tcBorders>
            <w:noWrap/>
            <w:vAlign w:val="center"/>
          </w:tcPr>
          <w:p w14:paraId="3015A5E7">
            <w:pPr>
              <w:widowControl w:val="0"/>
              <w:spacing w:line="360" w:lineRule="exact"/>
              <w:ind w:firstLine="0" w:firstLineChars="0"/>
              <w:jc w:val="center"/>
              <w:rPr>
                <w:rFonts w:hint="default" w:ascii="Times New Roman" w:hAnsi="Times New Roman" w:eastAsia="宋体" w:cs="Times New Roman"/>
                <w:color w:val="auto"/>
                <w:sz w:val="21"/>
                <w:szCs w:val="22"/>
                <w:lang w:val="en-US" w:eastAsia="zh-CN" w:bidi="ar-SA"/>
              </w:rPr>
            </w:pPr>
          </w:p>
        </w:tc>
        <w:tc>
          <w:tcPr>
            <w:tcW w:w="287" w:type="pct"/>
            <w:vMerge w:val="continue"/>
            <w:tcBorders>
              <w:tl2br w:val="nil"/>
              <w:tr2bl w:val="nil"/>
            </w:tcBorders>
            <w:noWrap/>
            <w:vAlign w:val="center"/>
          </w:tcPr>
          <w:p w14:paraId="4BFC5402">
            <w:pPr>
              <w:widowControl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p>
        </w:tc>
        <w:tc>
          <w:tcPr>
            <w:tcW w:w="198" w:type="pct"/>
            <w:vMerge w:val="continue"/>
            <w:tcBorders>
              <w:tl2br w:val="nil"/>
              <w:tr2bl w:val="nil"/>
            </w:tcBorders>
            <w:noWrap/>
            <w:vAlign w:val="center"/>
          </w:tcPr>
          <w:p w14:paraId="78224D1A">
            <w:pPr>
              <w:widowControl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p>
        </w:tc>
        <w:tc>
          <w:tcPr>
            <w:tcW w:w="2179" w:type="dxa"/>
            <w:tcBorders>
              <w:tl2br w:val="nil"/>
              <w:tr2bl w:val="nil"/>
            </w:tcBorders>
            <w:noWrap/>
            <w:vAlign w:val="center"/>
          </w:tcPr>
          <w:p w14:paraId="3F9E553F">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color w:val="0000FF"/>
                <w:sz w:val="21"/>
                <w:szCs w:val="21"/>
                <w:lang w:val="en-US" w:eastAsia="zh-CN"/>
              </w:rPr>
              <w:t>0.0012</w:t>
            </w:r>
          </w:p>
        </w:tc>
      </w:tr>
    </w:tbl>
    <w:p w14:paraId="194CEAD5">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2" w:firstLineChars="200"/>
        <w:jc w:val="center"/>
        <w:textAlignment w:val="auto"/>
        <w:rPr>
          <w:rFonts w:hint="default" w:ascii="Times New Roman" w:hAnsi="Times New Roman" w:eastAsia="宋体" w:cs="Times New Roman"/>
          <w:b/>
          <w:bCs/>
          <w:color w:val="auto"/>
          <w:kern w:val="0"/>
          <w:sz w:val="24"/>
          <w:szCs w:val="24"/>
          <w:lang w:val="en-US" w:eastAsia="zh-CN" w:bidi="ar-SA"/>
        </w:rPr>
      </w:pPr>
    </w:p>
    <w:p w14:paraId="448697D3">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2" w:firstLineChars="200"/>
        <w:jc w:val="center"/>
        <w:textAlignment w:val="auto"/>
        <w:rPr>
          <w:rFonts w:hint="default" w:ascii="Times New Roman" w:hAnsi="Times New Roman" w:eastAsia="宋体" w:cs="Times New Roman"/>
          <w:b/>
          <w:bCs/>
          <w:color w:val="auto"/>
          <w:kern w:val="0"/>
          <w:sz w:val="24"/>
          <w:szCs w:val="24"/>
          <w:lang w:val="en-US" w:eastAsia="zh-CN" w:bidi="ar-SA"/>
        </w:rPr>
      </w:pPr>
    </w:p>
    <w:p w14:paraId="26BAF8B3">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2" w:firstLineChars="200"/>
        <w:jc w:val="center"/>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表4.5-</w:t>
      </w:r>
      <w:r>
        <w:rPr>
          <w:rFonts w:hint="eastAsia" w:cs="Times New Roman"/>
          <w:b/>
          <w:bCs/>
          <w:color w:val="auto"/>
          <w:kern w:val="0"/>
          <w:sz w:val="21"/>
          <w:szCs w:val="21"/>
          <w:lang w:val="en-US" w:eastAsia="zh-CN" w:bidi="ar-SA"/>
        </w:rPr>
        <w:t>3</w:t>
      </w:r>
      <w:r>
        <w:rPr>
          <w:rFonts w:hint="default" w:ascii="Times New Roman" w:hAnsi="Times New Roman" w:eastAsia="宋体" w:cs="Times New Roman"/>
          <w:b/>
          <w:bCs/>
          <w:color w:val="auto"/>
          <w:kern w:val="0"/>
          <w:sz w:val="21"/>
          <w:szCs w:val="21"/>
          <w:lang w:val="en-US" w:eastAsia="zh-CN" w:bidi="ar-SA"/>
        </w:rPr>
        <w:t>本项目矩形面源参数表参数一览表</w:t>
      </w:r>
    </w:p>
    <w:tbl>
      <w:tblPr>
        <w:tblStyle w:val="23"/>
        <w:tblW w:w="14173"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356"/>
        <w:gridCol w:w="1429"/>
        <w:gridCol w:w="806"/>
        <w:gridCol w:w="825"/>
        <w:gridCol w:w="1286"/>
        <w:gridCol w:w="990"/>
        <w:gridCol w:w="1084"/>
        <w:gridCol w:w="1286"/>
        <w:gridCol w:w="1378"/>
        <w:gridCol w:w="1137"/>
        <w:gridCol w:w="935"/>
        <w:gridCol w:w="1330"/>
        <w:gridCol w:w="1331"/>
      </w:tblGrid>
      <w:tr w14:paraId="5A6A0B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56" w:type="dxa"/>
            <w:vMerge w:val="restart"/>
            <w:tcBorders>
              <w:tl2br w:val="nil"/>
              <w:tr2bl w:val="nil"/>
            </w:tcBorders>
            <w:vAlign w:val="center"/>
          </w:tcPr>
          <w:p w14:paraId="2A9536A7">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编号</w:t>
            </w:r>
          </w:p>
        </w:tc>
        <w:tc>
          <w:tcPr>
            <w:tcW w:w="1429" w:type="dxa"/>
            <w:vMerge w:val="restart"/>
            <w:tcBorders>
              <w:tl2br w:val="nil"/>
              <w:tr2bl w:val="nil"/>
            </w:tcBorders>
            <w:vAlign w:val="center"/>
          </w:tcPr>
          <w:p w14:paraId="2BABF83E">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名称</w:t>
            </w:r>
          </w:p>
        </w:tc>
        <w:tc>
          <w:tcPr>
            <w:tcW w:w="1631" w:type="dxa"/>
            <w:gridSpan w:val="2"/>
            <w:tcBorders>
              <w:tl2br w:val="nil"/>
              <w:tr2bl w:val="nil"/>
            </w:tcBorders>
            <w:vAlign w:val="center"/>
          </w:tcPr>
          <w:p w14:paraId="0734042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面源起点坐标/m</w:t>
            </w:r>
          </w:p>
        </w:tc>
        <w:tc>
          <w:tcPr>
            <w:tcW w:w="1286" w:type="dxa"/>
            <w:vMerge w:val="restart"/>
            <w:tcBorders>
              <w:tl2br w:val="nil"/>
              <w:tr2bl w:val="nil"/>
            </w:tcBorders>
            <w:vAlign w:val="center"/>
          </w:tcPr>
          <w:p w14:paraId="73FC451B">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面源海拔高度/m</w:t>
            </w:r>
          </w:p>
        </w:tc>
        <w:tc>
          <w:tcPr>
            <w:tcW w:w="990" w:type="dxa"/>
            <w:vMerge w:val="restart"/>
            <w:tcBorders>
              <w:tl2br w:val="nil"/>
              <w:tr2bl w:val="nil"/>
            </w:tcBorders>
            <w:vAlign w:val="center"/>
          </w:tcPr>
          <w:p w14:paraId="07F03F05">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面源宽度/m</w:t>
            </w:r>
          </w:p>
        </w:tc>
        <w:tc>
          <w:tcPr>
            <w:tcW w:w="1084" w:type="dxa"/>
            <w:vMerge w:val="restart"/>
            <w:tcBorders>
              <w:tl2br w:val="nil"/>
              <w:tr2bl w:val="nil"/>
            </w:tcBorders>
            <w:vAlign w:val="center"/>
          </w:tcPr>
          <w:p w14:paraId="293FE1B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面源长度/m</w:t>
            </w:r>
          </w:p>
        </w:tc>
        <w:tc>
          <w:tcPr>
            <w:tcW w:w="1286" w:type="dxa"/>
            <w:vMerge w:val="restart"/>
            <w:tcBorders>
              <w:tl2br w:val="nil"/>
              <w:tr2bl w:val="nil"/>
            </w:tcBorders>
            <w:vAlign w:val="center"/>
          </w:tcPr>
          <w:p w14:paraId="58A27D05">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与正北向夹角/（°）</w:t>
            </w:r>
          </w:p>
        </w:tc>
        <w:tc>
          <w:tcPr>
            <w:tcW w:w="1378" w:type="dxa"/>
            <w:vMerge w:val="restart"/>
            <w:tcBorders>
              <w:tl2br w:val="nil"/>
              <w:tr2bl w:val="nil"/>
            </w:tcBorders>
            <w:vAlign w:val="center"/>
          </w:tcPr>
          <w:p w14:paraId="0787236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面源有效排放高度/m</w:t>
            </w:r>
          </w:p>
        </w:tc>
        <w:tc>
          <w:tcPr>
            <w:tcW w:w="1137" w:type="dxa"/>
            <w:vMerge w:val="restart"/>
            <w:tcBorders>
              <w:tl2br w:val="nil"/>
              <w:tr2bl w:val="nil"/>
            </w:tcBorders>
            <w:vAlign w:val="center"/>
          </w:tcPr>
          <w:p w14:paraId="7BB36C1C">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年排放小时数/h</w:t>
            </w:r>
          </w:p>
        </w:tc>
        <w:tc>
          <w:tcPr>
            <w:tcW w:w="935" w:type="dxa"/>
            <w:vMerge w:val="restart"/>
            <w:tcBorders>
              <w:tl2br w:val="nil"/>
              <w:tr2bl w:val="nil"/>
            </w:tcBorders>
            <w:vAlign w:val="center"/>
          </w:tcPr>
          <w:p w14:paraId="4ABD6A5A">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排放工况</w:t>
            </w:r>
          </w:p>
        </w:tc>
        <w:tc>
          <w:tcPr>
            <w:tcW w:w="2661" w:type="dxa"/>
            <w:gridSpan w:val="2"/>
            <w:tcBorders>
              <w:tl2br w:val="nil"/>
              <w:tr2bl w:val="nil"/>
            </w:tcBorders>
            <w:vAlign w:val="center"/>
          </w:tcPr>
          <w:p w14:paraId="0A59A5BE">
            <w:pPr>
              <w:widowControl w:val="0"/>
              <w:spacing w:line="360" w:lineRule="exact"/>
              <w:ind w:firstLine="0" w:firstLineChars="0"/>
              <w:jc w:val="center"/>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color w:val="0000FF"/>
                <w:sz w:val="21"/>
                <w:szCs w:val="22"/>
                <w:lang w:val="en-US" w:eastAsia="zh-CN" w:bidi="ar-SA"/>
              </w:rPr>
              <w:t>污染物</w:t>
            </w:r>
          </w:p>
        </w:tc>
      </w:tr>
      <w:tr w14:paraId="207B76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56" w:type="dxa"/>
            <w:vMerge w:val="continue"/>
            <w:tcBorders>
              <w:tl2br w:val="nil"/>
              <w:tr2bl w:val="nil"/>
            </w:tcBorders>
            <w:vAlign w:val="center"/>
          </w:tcPr>
          <w:p w14:paraId="45A9A2A7">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color w:val="auto"/>
                <w:kern w:val="2"/>
                <w:sz w:val="21"/>
                <w:szCs w:val="24"/>
                <w:lang w:val="en-US" w:eastAsia="zh-CN" w:bidi="ar-SA"/>
              </w:rPr>
            </w:pPr>
          </w:p>
        </w:tc>
        <w:tc>
          <w:tcPr>
            <w:tcW w:w="1429" w:type="dxa"/>
            <w:vMerge w:val="continue"/>
            <w:tcBorders>
              <w:tl2br w:val="nil"/>
              <w:tr2bl w:val="nil"/>
            </w:tcBorders>
            <w:vAlign w:val="center"/>
          </w:tcPr>
          <w:p w14:paraId="3FEE139F">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806" w:type="dxa"/>
            <w:tcBorders>
              <w:tl2br w:val="nil"/>
              <w:tr2bl w:val="nil"/>
            </w:tcBorders>
            <w:vAlign w:val="center"/>
          </w:tcPr>
          <w:p w14:paraId="074946C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X</w:t>
            </w:r>
          </w:p>
        </w:tc>
        <w:tc>
          <w:tcPr>
            <w:tcW w:w="825" w:type="dxa"/>
            <w:tcBorders>
              <w:tl2br w:val="nil"/>
              <w:tr2bl w:val="nil"/>
            </w:tcBorders>
            <w:vAlign w:val="center"/>
          </w:tcPr>
          <w:p w14:paraId="285E5A21">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Y</w:t>
            </w:r>
          </w:p>
        </w:tc>
        <w:tc>
          <w:tcPr>
            <w:tcW w:w="1286" w:type="dxa"/>
            <w:vMerge w:val="continue"/>
            <w:tcBorders>
              <w:tl2br w:val="nil"/>
              <w:tr2bl w:val="nil"/>
            </w:tcBorders>
            <w:vAlign w:val="center"/>
          </w:tcPr>
          <w:p w14:paraId="49BB02FE">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990" w:type="dxa"/>
            <w:vMerge w:val="continue"/>
            <w:tcBorders>
              <w:tl2br w:val="nil"/>
              <w:tr2bl w:val="nil"/>
            </w:tcBorders>
            <w:vAlign w:val="center"/>
          </w:tcPr>
          <w:p w14:paraId="4FEAAACA">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1084" w:type="dxa"/>
            <w:vMerge w:val="continue"/>
            <w:tcBorders>
              <w:tl2br w:val="nil"/>
              <w:tr2bl w:val="nil"/>
            </w:tcBorders>
            <w:vAlign w:val="center"/>
          </w:tcPr>
          <w:p w14:paraId="2AFCFC38">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1286" w:type="dxa"/>
            <w:vMerge w:val="continue"/>
            <w:tcBorders>
              <w:tl2br w:val="nil"/>
              <w:tr2bl w:val="nil"/>
            </w:tcBorders>
            <w:vAlign w:val="center"/>
          </w:tcPr>
          <w:p w14:paraId="261CCC75">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1378" w:type="dxa"/>
            <w:vMerge w:val="continue"/>
            <w:tcBorders>
              <w:tl2br w:val="nil"/>
              <w:tr2bl w:val="nil"/>
            </w:tcBorders>
            <w:vAlign w:val="center"/>
          </w:tcPr>
          <w:p w14:paraId="47BAF844">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1137" w:type="dxa"/>
            <w:vMerge w:val="continue"/>
            <w:tcBorders>
              <w:tl2br w:val="nil"/>
              <w:tr2bl w:val="nil"/>
            </w:tcBorders>
            <w:vAlign w:val="center"/>
          </w:tcPr>
          <w:p w14:paraId="73EF2D2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935" w:type="dxa"/>
            <w:vMerge w:val="continue"/>
            <w:tcBorders>
              <w:tl2br w:val="nil"/>
              <w:tr2bl w:val="nil"/>
            </w:tcBorders>
            <w:vAlign w:val="center"/>
          </w:tcPr>
          <w:p w14:paraId="42F82437">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1330" w:type="dxa"/>
            <w:tcBorders>
              <w:tl2br w:val="nil"/>
              <w:tr2bl w:val="nil"/>
            </w:tcBorders>
            <w:vAlign w:val="center"/>
          </w:tcPr>
          <w:p w14:paraId="07DC2F5A">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sz w:val="21"/>
                <w:szCs w:val="22"/>
                <w:lang w:val="en-US" w:eastAsia="zh-CN" w:bidi="ar-SA"/>
              </w:rPr>
              <w:t>污染物种类</w:t>
            </w:r>
          </w:p>
        </w:tc>
        <w:tc>
          <w:tcPr>
            <w:tcW w:w="1331" w:type="dxa"/>
            <w:tcBorders>
              <w:tl2br w:val="nil"/>
              <w:tr2bl w:val="nil"/>
            </w:tcBorders>
            <w:vAlign w:val="center"/>
          </w:tcPr>
          <w:p w14:paraId="0DF9430A">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sz w:val="21"/>
                <w:szCs w:val="22"/>
                <w:lang w:val="en-US" w:eastAsia="zh-CN" w:bidi="ar-SA"/>
              </w:rPr>
              <w:t>污染物排放速率/（kg/h）</w:t>
            </w:r>
          </w:p>
        </w:tc>
      </w:tr>
      <w:tr w14:paraId="714EBF2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56" w:type="dxa"/>
            <w:vMerge w:val="restart"/>
            <w:tcBorders>
              <w:tl2br w:val="nil"/>
              <w:tr2bl w:val="nil"/>
            </w:tcBorders>
            <w:vAlign w:val="center"/>
          </w:tcPr>
          <w:p w14:paraId="1E7448C0">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1</w:t>
            </w:r>
          </w:p>
        </w:tc>
        <w:tc>
          <w:tcPr>
            <w:tcW w:w="1429" w:type="dxa"/>
            <w:vMerge w:val="restart"/>
            <w:tcBorders>
              <w:tl2br w:val="nil"/>
              <w:tr2bl w:val="nil"/>
            </w:tcBorders>
            <w:vAlign w:val="center"/>
          </w:tcPr>
          <w:p w14:paraId="6AAB8318">
            <w:pPr>
              <w:widowControl w:val="0"/>
              <w:bidi w:val="0"/>
              <w:spacing w:line="360" w:lineRule="exact"/>
              <w:ind w:firstLine="0" w:firstLineChars="0"/>
              <w:jc w:val="center"/>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sz w:val="21"/>
                <w:szCs w:val="22"/>
                <w:lang w:val="en-US" w:eastAsia="zh-CN" w:bidi="ar-SA"/>
              </w:rPr>
              <w:t>厂界</w:t>
            </w:r>
          </w:p>
        </w:tc>
        <w:tc>
          <w:tcPr>
            <w:tcW w:w="806" w:type="dxa"/>
            <w:vMerge w:val="restart"/>
            <w:tcBorders>
              <w:tl2br w:val="nil"/>
              <w:tr2bl w:val="nil"/>
            </w:tcBorders>
            <w:vAlign w:val="center"/>
          </w:tcPr>
          <w:p w14:paraId="543A771A">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highlight w:val="none"/>
                <w:lang w:val="en-US" w:eastAsia="zh-CN" w:bidi="ar-SA"/>
              </w:rPr>
            </w:pPr>
            <w:r>
              <w:rPr>
                <w:rFonts w:hint="default" w:ascii="Times New Roman" w:hAnsi="Times New Roman" w:eastAsia="宋体" w:cs="Times New Roman"/>
                <w:color w:val="0000FF"/>
                <w:kern w:val="2"/>
                <w:sz w:val="21"/>
                <w:szCs w:val="24"/>
                <w:highlight w:val="none"/>
                <w:lang w:val="en-US" w:eastAsia="zh-CN" w:bidi="ar-SA"/>
              </w:rPr>
              <w:t>50</w:t>
            </w:r>
          </w:p>
        </w:tc>
        <w:tc>
          <w:tcPr>
            <w:tcW w:w="825" w:type="dxa"/>
            <w:vMerge w:val="restart"/>
            <w:tcBorders>
              <w:tl2br w:val="nil"/>
              <w:tr2bl w:val="nil"/>
            </w:tcBorders>
            <w:vAlign w:val="center"/>
          </w:tcPr>
          <w:p w14:paraId="5376D7FA">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highlight w:val="none"/>
                <w:lang w:val="en-US" w:eastAsia="zh-CN" w:bidi="ar-SA"/>
              </w:rPr>
            </w:pPr>
            <w:r>
              <w:rPr>
                <w:rFonts w:hint="default" w:ascii="Times New Roman" w:hAnsi="Times New Roman" w:eastAsia="宋体" w:cs="Times New Roman"/>
                <w:color w:val="0000FF"/>
                <w:kern w:val="2"/>
                <w:sz w:val="21"/>
                <w:szCs w:val="24"/>
                <w:highlight w:val="none"/>
                <w:lang w:val="en-US" w:eastAsia="zh-CN" w:bidi="ar-SA"/>
              </w:rPr>
              <w:t>50</w:t>
            </w:r>
          </w:p>
        </w:tc>
        <w:tc>
          <w:tcPr>
            <w:tcW w:w="1286" w:type="dxa"/>
            <w:vMerge w:val="restart"/>
            <w:tcBorders>
              <w:tl2br w:val="nil"/>
              <w:tr2bl w:val="nil"/>
            </w:tcBorders>
            <w:vAlign w:val="center"/>
          </w:tcPr>
          <w:p w14:paraId="03D271D4">
            <w:pPr>
              <w:keepNext w:val="0"/>
              <w:keepLines w:val="0"/>
              <w:pageBreakBefore w:val="0"/>
              <w:widowControl w:val="0"/>
              <w:kinsoku/>
              <w:wordWrap/>
              <w:overflowPunct w:val="0"/>
              <w:topLinePunct w:val="0"/>
              <w:autoSpaceDE w:val="0"/>
              <w:autoSpaceDN w:val="0"/>
              <w:bidi w:val="0"/>
              <w:adjustRightInd w:val="0"/>
              <w:snapToGrid w:val="0"/>
              <w:ind w:left="0" w:leftChars="0" w:firstLine="0" w:firstLineChars="0"/>
              <w:jc w:val="center"/>
              <w:textAlignment w:val="baseline"/>
              <w:rPr>
                <w:rFonts w:hint="default" w:ascii="Times New Roman" w:hAnsi="Times New Roman" w:eastAsia="宋体" w:cs="Times New Roman"/>
                <w:color w:val="0000FF"/>
                <w:sz w:val="21"/>
                <w:szCs w:val="22"/>
                <w:highlight w:val="none"/>
                <w:lang w:val="en-US" w:eastAsia="zh-CN" w:bidi="ar-SA"/>
              </w:rPr>
            </w:pPr>
            <w:r>
              <w:rPr>
                <w:rFonts w:hint="default" w:ascii="Times New Roman" w:hAnsi="Times New Roman" w:eastAsia="宋体" w:cs="Times New Roman"/>
                <w:bCs w:val="0"/>
                <w:color w:val="0000FF"/>
                <w:spacing w:val="0"/>
                <w:kern w:val="2"/>
                <w:sz w:val="21"/>
                <w:szCs w:val="21"/>
                <w:highlight w:val="none"/>
                <w:lang w:val="en-US" w:eastAsia="zh-CN" w:bidi="ar-SA"/>
              </w:rPr>
              <w:t>441</w:t>
            </w:r>
          </w:p>
        </w:tc>
        <w:tc>
          <w:tcPr>
            <w:tcW w:w="990" w:type="dxa"/>
            <w:vMerge w:val="restart"/>
            <w:tcBorders>
              <w:tl2br w:val="nil"/>
              <w:tr2bl w:val="nil"/>
            </w:tcBorders>
            <w:vAlign w:val="center"/>
          </w:tcPr>
          <w:p w14:paraId="59AE0CF0">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highlight w:val="none"/>
                <w:lang w:val="en-US" w:eastAsia="zh-CN" w:bidi="ar-SA"/>
              </w:rPr>
            </w:pPr>
            <w:r>
              <w:rPr>
                <w:rFonts w:hint="default" w:ascii="Times New Roman" w:hAnsi="Times New Roman" w:eastAsia="宋体" w:cs="Times New Roman"/>
                <w:color w:val="0000FF"/>
                <w:kern w:val="2"/>
                <w:sz w:val="21"/>
                <w:szCs w:val="24"/>
                <w:highlight w:val="none"/>
                <w:lang w:val="en-US" w:eastAsia="zh-CN" w:bidi="ar-SA"/>
              </w:rPr>
              <w:t>91.07</w:t>
            </w:r>
          </w:p>
        </w:tc>
        <w:tc>
          <w:tcPr>
            <w:tcW w:w="1084" w:type="dxa"/>
            <w:vMerge w:val="restart"/>
            <w:tcBorders>
              <w:tl2br w:val="nil"/>
              <w:tr2bl w:val="nil"/>
            </w:tcBorders>
            <w:vAlign w:val="center"/>
          </w:tcPr>
          <w:p w14:paraId="71CC066A">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highlight w:val="none"/>
                <w:lang w:val="en-US" w:eastAsia="zh-CN" w:bidi="ar-SA"/>
              </w:rPr>
            </w:pPr>
            <w:r>
              <w:rPr>
                <w:rFonts w:hint="default" w:ascii="Times New Roman" w:hAnsi="Times New Roman" w:eastAsia="宋体" w:cs="Times New Roman"/>
                <w:color w:val="0000FF"/>
                <w:kern w:val="2"/>
                <w:sz w:val="21"/>
                <w:szCs w:val="24"/>
                <w:highlight w:val="none"/>
                <w:lang w:val="en-US" w:eastAsia="zh-CN" w:bidi="ar-SA"/>
              </w:rPr>
              <w:t>108.5</w:t>
            </w:r>
          </w:p>
        </w:tc>
        <w:tc>
          <w:tcPr>
            <w:tcW w:w="1286" w:type="dxa"/>
            <w:vMerge w:val="restart"/>
            <w:tcBorders>
              <w:tl2br w:val="nil"/>
              <w:tr2bl w:val="nil"/>
            </w:tcBorders>
            <w:vAlign w:val="center"/>
          </w:tcPr>
          <w:p w14:paraId="4C4CF42E">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highlight w:val="none"/>
                <w:lang w:val="en-US" w:eastAsia="zh-CN" w:bidi="ar-SA"/>
              </w:rPr>
            </w:pPr>
            <w:r>
              <w:rPr>
                <w:rFonts w:hint="default" w:ascii="Times New Roman" w:hAnsi="Times New Roman" w:eastAsia="宋体" w:cs="Times New Roman"/>
                <w:color w:val="0000FF"/>
                <w:kern w:val="2"/>
                <w:sz w:val="21"/>
                <w:szCs w:val="24"/>
                <w:highlight w:val="none"/>
                <w:lang w:val="en-US" w:eastAsia="zh-CN" w:bidi="ar-SA"/>
              </w:rPr>
              <w:t>15</w:t>
            </w:r>
          </w:p>
        </w:tc>
        <w:tc>
          <w:tcPr>
            <w:tcW w:w="1378" w:type="dxa"/>
            <w:vMerge w:val="restart"/>
            <w:tcBorders>
              <w:tl2br w:val="nil"/>
              <w:tr2bl w:val="nil"/>
            </w:tcBorders>
            <w:vAlign w:val="center"/>
          </w:tcPr>
          <w:p w14:paraId="16277823">
            <w:pPr>
              <w:keepNext w:val="0"/>
              <w:keepLines w:val="0"/>
              <w:pageBreakBefore w:val="0"/>
              <w:widowControl w:val="0"/>
              <w:kinsoku/>
              <w:wordWrap/>
              <w:overflowPunct w:val="0"/>
              <w:topLinePunct w:val="0"/>
              <w:autoSpaceDE w:val="0"/>
              <w:autoSpaceDN w:val="0"/>
              <w:bidi w:val="0"/>
              <w:adjustRightInd w:val="0"/>
              <w:snapToGrid w:val="0"/>
              <w:ind w:left="0" w:leftChars="0" w:firstLine="0" w:firstLineChars="0"/>
              <w:jc w:val="center"/>
              <w:textAlignment w:val="baseline"/>
              <w:rPr>
                <w:rFonts w:hint="default" w:ascii="Times New Roman" w:hAnsi="Times New Roman" w:eastAsia="宋体" w:cs="Times New Roman"/>
                <w:bCs w:val="0"/>
                <w:color w:val="0000FF"/>
                <w:spacing w:val="0"/>
                <w:kern w:val="2"/>
                <w:sz w:val="21"/>
                <w:szCs w:val="21"/>
                <w:highlight w:val="none"/>
                <w:lang w:val="en-US" w:eastAsia="zh-CN" w:bidi="ar-SA"/>
              </w:rPr>
            </w:pPr>
            <w:r>
              <w:rPr>
                <w:rFonts w:hint="default" w:ascii="Times New Roman" w:hAnsi="Times New Roman" w:eastAsia="宋体" w:cs="Times New Roman"/>
                <w:bCs w:val="0"/>
                <w:color w:val="0000FF"/>
                <w:spacing w:val="0"/>
                <w:kern w:val="2"/>
                <w:sz w:val="21"/>
                <w:szCs w:val="21"/>
                <w:highlight w:val="none"/>
                <w:lang w:val="en-US" w:eastAsia="zh-CN" w:bidi="ar-SA"/>
              </w:rPr>
              <w:t>8</w:t>
            </w:r>
          </w:p>
        </w:tc>
        <w:tc>
          <w:tcPr>
            <w:tcW w:w="1137" w:type="dxa"/>
            <w:vMerge w:val="restart"/>
            <w:tcBorders>
              <w:tl2br w:val="nil"/>
              <w:tr2bl w:val="nil"/>
            </w:tcBorders>
            <w:vAlign w:val="center"/>
          </w:tcPr>
          <w:p w14:paraId="7E2F84B6">
            <w:pPr>
              <w:keepNext w:val="0"/>
              <w:keepLines w:val="0"/>
              <w:pageBreakBefore w:val="0"/>
              <w:widowControl w:val="0"/>
              <w:kinsoku/>
              <w:wordWrap/>
              <w:overflowPunct w:val="0"/>
              <w:topLinePunct w:val="0"/>
              <w:autoSpaceDE w:val="0"/>
              <w:autoSpaceDN w:val="0"/>
              <w:bidi w:val="0"/>
              <w:adjustRightInd w:val="0"/>
              <w:snapToGrid w:val="0"/>
              <w:jc w:val="center"/>
              <w:textAlignment w:val="baseline"/>
              <w:rPr>
                <w:rFonts w:hint="default" w:ascii="Times New Roman" w:hAnsi="Times New Roman" w:eastAsia="宋体" w:cs="Times New Roman"/>
                <w:bCs w:val="0"/>
                <w:color w:val="0000FF"/>
                <w:spacing w:val="0"/>
                <w:kern w:val="2"/>
                <w:sz w:val="21"/>
                <w:szCs w:val="21"/>
                <w:highlight w:val="none"/>
                <w:lang w:val="en-US" w:eastAsia="zh-CN"/>
              </w:rPr>
            </w:pPr>
            <w:r>
              <w:rPr>
                <w:rFonts w:hint="default" w:ascii="Times New Roman" w:hAnsi="Times New Roman" w:eastAsia="宋体" w:cs="Times New Roman"/>
                <w:color w:val="0000FF"/>
                <w:sz w:val="21"/>
                <w:szCs w:val="22"/>
                <w:highlight w:val="none"/>
                <w:lang w:val="en-US" w:eastAsia="zh-CN" w:bidi="ar-SA"/>
              </w:rPr>
              <w:t>8760</w:t>
            </w:r>
          </w:p>
        </w:tc>
        <w:tc>
          <w:tcPr>
            <w:tcW w:w="935" w:type="dxa"/>
            <w:vMerge w:val="restart"/>
            <w:tcBorders>
              <w:tl2br w:val="nil"/>
              <w:tr2bl w:val="nil"/>
            </w:tcBorders>
            <w:vAlign w:val="center"/>
          </w:tcPr>
          <w:p w14:paraId="15ECAA0C">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连续</w:t>
            </w:r>
          </w:p>
        </w:tc>
        <w:tc>
          <w:tcPr>
            <w:tcW w:w="1330" w:type="dxa"/>
            <w:tcBorders>
              <w:tl2br w:val="nil"/>
              <w:tr2bl w:val="nil"/>
            </w:tcBorders>
            <w:vAlign w:val="center"/>
          </w:tcPr>
          <w:p w14:paraId="02EC01C6">
            <w:pPr>
              <w:widowControl w:val="0"/>
              <w:overflowPunct w:val="0"/>
              <w:autoSpaceDE w:val="0"/>
              <w:autoSpaceDN w:val="0"/>
              <w:bidi w:val="0"/>
              <w:adjustRightInd w:val="0"/>
              <w:snapToGrid w:val="0"/>
              <w:spacing w:line="300" w:lineRule="atLeast"/>
              <w:jc w:val="center"/>
              <w:textAlignment w:val="baseline"/>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lang w:val="en-US" w:eastAsia="zh-CN" w:bidi="ar-SA"/>
              </w:rPr>
              <w:t>颗粒物</w:t>
            </w:r>
          </w:p>
        </w:tc>
        <w:tc>
          <w:tcPr>
            <w:tcW w:w="1331" w:type="dxa"/>
            <w:tcBorders>
              <w:tl2br w:val="nil"/>
              <w:tr2bl w:val="nil"/>
            </w:tcBorders>
            <w:vAlign w:val="center"/>
          </w:tcPr>
          <w:p w14:paraId="5E45F460">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eastAsia" w:ascii="Times New Roman" w:hAnsi="Times New Roman" w:eastAsia="宋体" w:cs="Times New Roman"/>
                <w:color w:val="0000FF"/>
                <w:sz w:val="21"/>
                <w:szCs w:val="21"/>
                <w:lang w:val="en-US" w:eastAsia="zh-CN"/>
              </w:rPr>
              <w:t>0.2978</w:t>
            </w:r>
          </w:p>
        </w:tc>
      </w:tr>
      <w:tr w14:paraId="647656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56" w:type="dxa"/>
            <w:vMerge w:val="continue"/>
            <w:tcBorders>
              <w:tl2br w:val="nil"/>
              <w:tr2bl w:val="nil"/>
            </w:tcBorders>
            <w:vAlign w:val="center"/>
          </w:tcPr>
          <w:p w14:paraId="4CCDFF85">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auto"/>
                <w:kern w:val="2"/>
                <w:sz w:val="21"/>
                <w:szCs w:val="24"/>
                <w:lang w:val="en-US" w:eastAsia="zh-CN" w:bidi="ar-SA"/>
              </w:rPr>
            </w:pPr>
          </w:p>
        </w:tc>
        <w:tc>
          <w:tcPr>
            <w:tcW w:w="1429" w:type="dxa"/>
            <w:vMerge w:val="continue"/>
            <w:tcBorders>
              <w:tl2br w:val="nil"/>
              <w:tr2bl w:val="nil"/>
            </w:tcBorders>
            <w:vAlign w:val="center"/>
          </w:tcPr>
          <w:p w14:paraId="13FE9211">
            <w:pPr>
              <w:widowControl w:val="0"/>
              <w:bidi w:val="0"/>
              <w:spacing w:line="360" w:lineRule="exact"/>
              <w:ind w:firstLine="0" w:firstLineChars="0"/>
              <w:jc w:val="center"/>
              <w:rPr>
                <w:rFonts w:hint="default" w:ascii="Times New Roman" w:hAnsi="Times New Roman" w:eastAsia="宋体" w:cs="Times New Roman"/>
                <w:color w:val="0000FF"/>
                <w:kern w:val="2"/>
                <w:sz w:val="21"/>
                <w:szCs w:val="24"/>
                <w:lang w:val="en-US" w:eastAsia="zh-CN" w:bidi="ar-SA"/>
              </w:rPr>
            </w:pPr>
          </w:p>
        </w:tc>
        <w:tc>
          <w:tcPr>
            <w:tcW w:w="806" w:type="dxa"/>
            <w:vMerge w:val="continue"/>
            <w:tcBorders>
              <w:tl2br w:val="nil"/>
              <w:tr2bl w:val="nil"/>
            </w:tcBorders>
            <w:vAlign w:val="center"/>
          </w:tcPr>
          <w:p w14:paraId="3A7E3900">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825" w:type="dxa"/>
            <w:vMerge w:val="continue"/>
            <w:tcBorders>
              <w:tl2br w:val="nil"/>
              <w:tr2bl w:val="nil"/>
            </w:tcBorders>
            <w:vAlign w:val="center"/>
          </w:tcPr>
          <w:p w14:paraId="38A7BE67">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1286" w:type="dxa"/>
            <w:vMerge w:val="continue"/>
            <w:tcBorders>
              <w:tl2br w:val="nil"/>
              <w:tr2bl w:val="nil"/>
            </w:tcBorders>
            <w:vAlign w:val="center"/>
          </w:tcPr>
          <w:p w14:paraId="76CAE551">
            <w:pPr>
              <w:keepNext w:val="0"/>
              <w:keepLines w:val="0"/>
              <w:pageBreakBefore w:val="0"/>
              <w:widowControl w:val="0"/>
              <w:kinsoku/>
              <w:wordWrap/>
              <w:overflowPunct w:val="0"/>
              <w:topLinePunct w:val="0"/>
              <w:autoSpaceDE w:val="0"/>
              <w:autoSpaceDN w:val="0"/>
              <w:bidi w:val="0"/>
              <w:adjustRightInd w:val="0"/>
              <w:snapToGrid w:val="0"/>
              <w:ind w:left="0" w:leftChars="0" w:firstLine="0" w:firstLineChars="0"/>
              <w:jc w:val="center"/>
              <w:textAlignment w:val="baseline"/>
              <w:rPr>
                <w:rFonts w:hint="default" w:ascii="Times New Roman" w:hAnsi="Times New Roman" w:eastAsia="宋体" w:cs="Times New Roman"/>
                <w:color w:val="0000FF"/>
                <w:sz w:val="21"/>
                <w:szCs w:val="22"/>
                <w:lang w:val="en-US" w:eastAsia="zh-CN" w:bidi="ar-SA"/>
              </w:rPr>
            </w:pPr>
          </w:p>
        </w:tc>
        <w:tc>
          <w:tcPr>
            <w:tcW w:w="990" w:type="dxa"/>
            <w:vMerge w:val="continue"/>
            <w:tcBorders>
              <w:tl2br w:val="nil"/>
              <w:tr2bl w:val="nil"/>
            </w:tcBorders>
            <w:vAlign w:val="center"/>
          </w:tcPr>
          <w:p w14:paraId="0EC80EA2">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1084" w:type="dxa"/>
            <w:vMerge w:val="continue"/>
            <w:tcBorders>
              <w:tl2br w:val="nil"/>
              <w:tr2bl w:val="nil"/>
            </w:tcBorders>
            <w:vAlign w:val="center"/>
          </w:tcPr>
          <w:p w14:paraId="37D58A4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1286" w:type="dxa"/>
            <w:vMerge w:val="continue"/>
            <w:tcBorders>
              <w:tl2br w:val="nil"/>
              <w:tr2bl w:val="nil"/>
            </w:tcBorders>
            <w:vAlign w:val="center"/>
          </w:tcPr>
          <w:p w14:paraId="18F8410A">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1378" w:type="dxa"/>
            <w:vMerge w:val="continue"/>
            <w:tcBorders>
              <w:tl2br w:val="nil"/>
              <w:tr2bl w:val="nil"/>
            </w:tcBorders>
            <w:vAlign w:val="center"/>
          </w:tcPr>
          <w:p w14:paraId="517BF9F1">
            <w:pPr>
              <w:keepNext w:val="0"/>
              <w:keepLines w:val="0"/>
              <w:pageBreakBefore w:val="0"/>
              <w:widowControl w:val="0"/>
              <w:kinsoku/>
              <w:wordWrap/>
              <w:overflowPunct w:val="0"/>
              <w:topLinePunct w:val="0"/>
              <w:autoSpaceDE w:val="0"/>
              <w:autoSpaceDN w:val="0"/>
              <w:bidi w:val="0"/>
              <w:adjustRightInd w:val="0"/>
              <w:snapToGrid w:val="0"/>
              <w:ind w:left="0" w:leftChars="0" w:firstLine="0" w:firstLineChars="0"/>
              <w:jc w:val="center"/>
              <w:textAlignment w:val="baseline"/>
              <w:rPr>
                <w:rFonts w:hint="default" w:ascii="Times New Roman" w:hAnsi="Times New Roman" w:eastAsia="宋体" w:cs="Times New Roman"/>
                <w:bCs w:val="0"/>
                <w:color w:val="0000FF"/>
                <w:spacing w:val="0"/>
                <w:kern w:val="2"/>
                <w:sz w:val="21"/>
                <w:szCs w:val="21"/>
                <w:lang w:val="en-US" w:eastAsia="zh-CN" w:bidi="ar-SA"/>
              </w:rPr>
            </w:pPr>
          </w:p>
        </w:tc>
        <w:tc>
          <w:tcPr>
            <w:tcW w:w="1137" w:type="dxa"/>
            <w:vMerge w:val="continue"/>
            <w:tcBorders>
              <w:tl2br w:val="nil"/>
              <w:tr2bl w:val="nil"/>
            </w:tcBorders>
            <w:vAlign w:val="center"/>
          </w:tcPr>
          <w:p w14:paraId="7FC77942">
            <w:pPr>
              <w:keepNext w:val="0"/>
              <w:keepLines w:val="0"/>
              <w:pageBreakBefore w:val="0"/>
              <w:widowControl w:val="0"/>
              <w:kinsoku/>
              <w:wordWrap/>
              <w:overflowPunct w:val="0"/>
              <w:topLinePunct w:val="0"/>
              <w:autoSpaceDE w:val="0"/>
              <w:autoSpaceDN w:val="0"/>
              <w:bidi w:val="0"/>
              <w:adjustRightInd w:val="0"/>
              <w:snapToGrid w:val="0"/>
              <w:jc w:val="center"/>
              <w:textAlignment w:val="baseline"/>
              <w:rPr>
                <w:rFonts w:hint="default" w:ascii="Times New Roman" w:hAnsi="Times New Roman" w:eastAsia="宋体" w:cs="Times New Roman"/>
                <w:bCs w:val="0"/>
                <w:color w:val="0000FF"/>
                <w:spacing w:val="0"/>
                <w:kern w:val="2"/>
                <w:sz w:val="21"/>
                <w:szCs w:val="21"/>
                <w:lang w:val="en-US" w:eastAsia="zh-CN"/>
              </w:rPr>
            </w:pPr>
          </w:p>
        </w:tc>
        <w:tc>
          <w:tcPr>
            <w:tcW w:w="935" w:type="dxa"/>
            <w:vMerge w:val="continue"/>
            <w:tcBorders>
              <w:tl2br w:val="nil"/>
              <w:tr2bl w:val="nil"/>
            </w:tcBorders>
            <w:vAlign w:val="center"/>
          </w:tcPr>
          <w:p w14:paraId="782163A0">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1330" w:type="dxa"/>
            <w:tcBorders>
              <w:tl2br w:val="nil"/>
              <w:tr2bl w:val="nil"/>
            </w:tcBorders>
            <w:vAlign w:val="center"/>
          </w:tcPr>
          <w:p w14:paraId="7E06D575">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szCs w:val="22"/>
                <w:lang w:val="en-US" w:eastAsia="zh-CN" w:bidi="ar-SA"/>
              </w:rPr>
            </w:pPr>
            <w:r>
              <w:rPr>
                <w:rFonts w:hint="default" w:ascii="Times New Roman" w:hAnsi="Times New Roman" w:eastAsia="宋体" w:cs="Times New Roman"/>
                <w:b w:val="0"/>
                <w:bCs w:val="0"/>
                <w:color w:val="0000FF"/>
                <w:kern w:val="2"/>
                <w:sz w:val="21"/>
                <w:szCs w:val="22"/>
                <w:lang w:val="en-US" w:eastAsia="zh-CN"/>
              </w:rPr>
              <w:t>氨</w:t>
            </w:r>
          </w:p>
        </w:tc>
        <w:tc>
          <w:tcPr>
            <w:tcW w:w="1331" w:type="dxa"/>
            <w:tcBorders>
              <w:tl2br w:val="nil"/>
              <w:tr2bl w:val="nil"/>
            </w:tcBorders>
            <w:vAlign w:val="center"/>
          </w:tcPr>
          <w:p w14:paraId="6B60DE0B">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0.0023</w:t>
            </w:r>
          </w:p>
        </w:tc>
      </w:tr>
      <w:tr w14:paraId="235338F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56" w:type="dxa"/>
            <w:vMerge w:val="continue"/>
            <w:tcBorders>
              <w:tl2br w:val="nil"/>
              <w:tr2bl w:val="nil"/>
            </w:tcBorders>
            <w:vAlign w:val="center"/>
          </w:tcPr>
          <w:p w14:paraId="744FAD3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auto"/>
                <w:kern w:val="2"/>
                <w:sz w:val="21"/>
                <w:szCs w:val="24"/>
                <w:lang w:val="en-US" w:eastAsia="zh-CN" w:bidi="ar-SA"/>
              </w:rPr>
            </w:pPr>
          </w:p>
        </w:tc>
        <w:tc>
          <w:tcPr>
            <w:tcW w:w="1429" w:type="dxa"/>
            <w:vMerge w:val="continue"/>
            <w:tcBorders>
              <w:tl2br w:val="nil"/>
              <w:tr2bl w:val="nil"/>
            </w:tcBorders>
            <w:vAlign w:val="center"/>
          </w:tcPr>
          <w:p w14:paraId="0656EFF3">
            <w:pPr>
              <w:widowControl w:val="0"/>
              <w:bidi w:val="0"/>
              <w:spacing w:line="360" w:lineRule="exact"/>
              <w:ind w:firstLine="0" w:firstLineChars="0"/>
              <w:jc w:val="center"/>
              <w:rPr>
                <w:rFonts w:hint="default" w:ascii="Times New Roman" w:hAnsi="Times New Roman" w:eastAsia="宋体" w:cs="Times New Roman"/>
                <w:color w:val="0000FF"/>
                <w:kern w:val="2"/>
                <w:sz w:val="21"/>
                <w:szCs w:val="24"/>
                <w:lang w:val="en-US" w:eastAsia="zh-CN" w:bidi="ar-SA"/>
              </w:rPr>
            </w:pPr>
          </w:p>
        </w:tc>
        <w:tc>
          <w:tcPr>
            <w:tcW w:w="806" w:type="dxa"/>
            <w:vMerge w:val="continue"/>
            <w:tcBorders>
              <w:tl2br w:val="nil"/>
              <w:tr2bl w:val="nil"/>
            </w:tcBorders>
            <w:vAlign w:val="center"/>
          </w:tcPr>
          <w:p w14:paraId="11762CC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825" w:type="dxa"/>
            <w:vMerge w:val="continue"/>
            <w:tcBorders>
              <w:tl2br w:val="nil"/>
              <w:tr2bl w:val="nil"/>
            </w:tcBorders>
            <w:vAlign w:val="center"/>
          </w:tcPr>
          <w:p w14:paraId="0EEEB36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1286" w:type="dxa"/>
            <w:vMerge w:val="continue"/>
            <w:tcBorders>
              <w:tl2br w:val="nil"/>
              <w:tr2bl w:val="nil"/>
            </w:tcBorders>
            <w:vAlign w:val="center"/>
          </w:tcPr>
          <w:p w14:paraId="1C4BD665">
            <w:pPr>
              <w:keepNext w:val="0"/>
              <w:keepLines w:val="0"/>
              <w:pageBreakBefore w:val="0"/>
              <w:widowControl w:val="0"/>
              <w:kinsoku/>
              <w:wordWrap/>
              <w:overflowPunct w:val="0"/>
              <w:topLinePunct w:val="0"/>
              <w:autoSpaceDE w:val="0"/>
              <w:autoSpaceDN w:val="0"/>
              <w:bidi w:val="0"/>
              <w:adjustRightInd w:val="0"/>
              <w:snapToGrid w:val="0"/>
              <w:ind w:left="0" w:leftChars="0" w:firstLine="0" w:firstLineChars="0"/>
              <w:jc w:val="center"/>
              <w:textAlignment w:val="baseline"/>
              <w:rPr>
                <w:rFonts w:hint="default" w:ascii="Times New Roman" w:hAnsi="Times New Roman" w:eastAsia="宋体" w:cs="Times New Roman"/>
                <w:color w:val="0000FF"/>
                <w:sz w:val="21"/>
                <w:szCs w:val="22"/>
                <w:lang w:val="en-US" w:eastAsia="zh-CN" w:bidi="ar-SA"/>
              </w:rPr>
            </w:pPr>
          </w:p>
        </w:tc>
        <w:tc>
          <w:tcPr>
            <w:tcW w:w="990" w:type="dxa"/>
            <w:vMerge w:val="continue"/>
            <w:tcBorders>
              <w:tl2br w:val="nil"/>
              <w:tr2bl w:val="nil"/>
            </w:tcBorders>
            <w:vAlign w:val="center"/>
          </w:tcPr>
          <w:p w14:paraId="79A89EA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1084" w:type="dxa"/>
            <w:vMerge w:val="continue"/>
            <w:tcBorders>
              <w:tl2br w:val="nil"/>
              <w:tr2bl w:val="nil"/>
            </w:tcBorders>
            <w:vAlign w:val="center"/>
          </w:tcPr>
          <w:p w14:paraId="156EF9B7">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1286" w:type="dxa"/>
            <w:vMerge w:val="continue"/>
            <w:tcBorders>
              <w:tl2br w:val="nil"/>
              <w:tr2bl w:val="nil"/>
            </w:tcBorders>
            <w:vAlign w:val="center"/>
          </w:tcPr>
          <w:p w14:paraId="0640EDBE">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1378" w:type="dxa"/>
            <w:vMerge w:val="continue"/>
            <w:tcBorders>
              <w:tl2br w:val="nil"/>
              <w:tr2bl w:val="nil"/>
            </w:tcBorders>
            <w:vAlign w:val="center"/>
          </w:tcPr>
          <w:p w14:paraId="130B8239">
            <w:pPr>
              <w:keepNext w:val="0"/>
              <w:keepLines w:val="0"/>
              <w:pageBreakBefore w:val="0"/>
              <w:widowControl w:val="0"/>
              <w:kinsoku/>
              <w:wordWrap/>
              <w:overflowPunct w:val="0"/>
              <w:topLinePunct w:val="0"/>
              <w:autoSpaceDE w:val="0"/>
              <w:autoSpaceDN w:val="0"/>
              <w:bidi w:val="0"/>
              <w:adjustRightInd w:val="0"/>
              <w:snapToGrid w:val="0"/>
              <w:ind w:left="0" w:leftChars="0" w:firstLine="0" w:firstLineChars="0"/>
              <w:jc w:val="center"/>
              <w:textAlignment w:val="baseline"/>
              <w:rPr>
                <w:rFonts w:hint="default" w:ascii="Times New Roman" w:hAnsi="Times New Roman" w:eastAsia="宋体" w:cs="Times New Roman"/>
                <w:bCs w:val="0"/>
                <w:color w:val="0000FF"/>
                <w:spacing w:val="0"/>
                <w:kern w:val="2"/>
                <w:sz w:val="21"/>
                <w:szCs w:val="21"/>
                <w:lang w:val="en-US" w:eastAsia="zh-CN" w:bidi="ar-SA"/>
              </w:rPr>
            </w:pPr>
          </w:p>
        </w:tc>
        <w:tc>
          <w:tcPr>
            <w:tcW w:w="1137" w:type="dxa"/>
            <w:vMerge w:val="continue"/>
            <w:tcBorders>
              <w:tl2br w:val="nil"/>
              <w:tr2bl w:val="nil"/>
            </w:tcBorders>
            <w:vAlign w:val="center"/>
          </w:tcPr>
          <w:p w14:paraId="4669166E">
            <w:pPr>
              <w:keepNext w:val="0"/>
              <w:keepLines w:val="0"/>
              <w:pageBreakBefore w:val="0"/>
              <w:widowControl w:val="0"/>
              <w:kinsoku/>
              <w:wordWrap/>
              <w:overflowPunct w:val="0"/>
              <w:topLinePunct w:val="0"/>
              <w:autoSpaceDE w:val="0"/>
              <w:autoSpaceDN w:val="0"/>
              <w:bidi w:val="0"/>
              <w:adjustRightInd w:val="0"/>
              <w:snapToGrid w:val="0"/>
              <w:jc w:val="center"/>
              <w:textAlignment w:val="baseline"/>
              <w:rPr>
                <w:rFonts w:hint="default" w:ascii="Times New Roman" w:hAnsi="Times New Roman" w:eastAsia="宋体" w:cs="Times New Roman"/>
                <w:bCs w:val="0"/>
                <w:color w:val="0000FF"/>
                <w:spacing w:val="0"/>
                <w:kern w:val="2"/>
                <w:sz w:val="21"/>
                <w:szCs w:val="21"/>
                <w:lang w:val="en-US" w:eastAsia="zh-CN"/>
              </w:rPr>
            </w:pPr>
          </w:p>
        </w:tc>
        <w:tc>
          <w:tcPr>
            <w:tcW w:w="935" w:type="dxa"/>
            <w:vMerge w:val="continue"/>
            <w:tcBorders>
              <w:tl2br w:val="nil"/>
              <w:tr2bl w:val="nil"/>
            </w:tcBorders>
            <w:vAlign w:val="center"/>
          </w:tcPr>
          <w:p w14:paraId="517A6952">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1330" w:type="dxa"/>
            <w:tcBorders>
              <w:tl2br w:val="nil"/>
              <w:tr2bl w:val="nil"/>
            </w:tcBorders>
            <w:vAlign w:val="center"/>
          </w:tcPr>
          <w:p w14:paraId="77899E65">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硫化氢</w:t>
            </w:r>
          </w:p>
        </w:tc>
        <w:tc>
          <w:tcPr>
            <w:tcW w:w="1331" w:type="dxa"/>
            <w:tcBorders>
              <w:tl2br w:val="nil"/>
              <w:tr2bl w:val="nil"/>
            </w:tcBorders>
            <w:vAlign w:val="center"/>
          </w:tcPr>
          <w:p w14:paraId="6174E326">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color w:val="0000FF"/>
                <w:sz w:val="21"/>
                <w:szCs w:val="21"/>
                <w:lang w:val="en-US" w:eastAsia="zh-CN"/>
              </w:rPr>
              <w:t>0.0012</w:t>
            </w:r>
          </w:p>
        </w:tc>
      </w:tr>
    </w:tbl>
    <w:p w14:paraId="3CABC529">
      <w:pPr>
        <w:rPr>
          <w:rFonts w:hint="default" w:ascii="Times New Roman" w:hAnsi="Times New Roman" w:eastAsia="宋体" w:cs="Times New Roman"/>
          <w:color w:val="auto"/>
          <w:sz w:val="24"/>
          <w:szCs w:val="22"/>
          <w:lang w:val="en-US" w:eastAsia="zh-CN" w:bidi="ar-SA"/>
        </w:rPr>
        <w:sectPr>
          <w:pgSz w:w="16838" w:h="11906" w:orient="landscape"/>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2"/>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34"/>
        <w:gridCol w:w="8637"/>
      </w:tblGrid>
      <w:tr w14:paraId="66F3EC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72" w:hRule="atLeast"/>
          <w:jc w:val="center"/>
        </w:trPr>
        <w:tc>
          <w:tcPr>
            <w:tcW w:w="434" w:type="dxa"/>
            <w:noWrap w:val="0"/>
            <w:tcMar>
              <w:left w:w="28" w:type="dxa"/>
              <w:right w:w="28" w:type="dxa"/>
            </w:tcMar>
            <w:vAlign w:val="center"/>
          </w:tcPr>
          <w:p w14:paraId="516AB653">
            <w:pPr>
              <w:widowControl/>
              <w:spacing w:before="0" w:beforeAutospacing="0" w:after="0" w:afterAutospacing="0" w:line="360" w:lineRule="auto"/>
              <w:ind w:right="-175" w:rightChars="-73" w:firstLine="482"/>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运</w:t>
            </w:r>
          </w:p>
          <w:p w14:paraId="315E4601">
            <w:pPr>
              <w:bidi w:val="0"/>
              <w:spacing w:line="360" w:lineRule="auto"/>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kern w:val="2"/>
                <w:sz w:val="24"/>
                <w:szCs w:val="24"/>
                <w:highlight w:val="none"/>
                <w:lang w:val="en-US" w:eastAsia="zh-CN" w:bidi="ar-SA"/>
              </w:rPr>
              <w:t>运营期环保措施</w:t>
            </w:r>
          </w:p>
        </w:tc>
        <w:tc>
          <w:tcPr>
            <w:tcW w:w="8637" w:type="dxa"/>
            <w:noWrap w:val="0"/>
            <w:vAlign w:val="center"/>
          </w:tcPr>
          <w:p w14:paraId="683DA376">
            <w:pPr>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（2）大气环境评价</w:t>
            </w:r>
          </w:p>
          <w:p w14:paraId="51D4A725">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0"/>
                <w:lang w:val="en-US" w:eastAsia="zh-CN" w:bidi="ar-SA"/>
              </w:rPr>
              <w:t>估算数值计算参数见表4.5-</w:t>
            </w:r>
            <w:r>
              <w:rPr>
                <w:rFonts w:hint="eastAsia" w:cs="Times New Roman"/>
                <w:color w:val="auto"/>
                <w:kern w:val="2"/>
                <w:sz w:val="24"/>
                <w:szCs w:val="20"/>
                <w:lang w:val="en-US" w:eastAsia="zh-CN" w:bidi="ar-SA"/>
              </w:rPr>
              <w:t>4</w:t>
            </w:r>
            <w:r>
              <w:rPr>
                <w:rFonts w:hint="default" w:ascii="Times New Roman" w:hAnsi="Times New Roman" w:eastAsia="宋体" w:cs="Times New Roman"/>
                <w:color w:val="auto"/>
                <w:kern w:val="2"/>
                <w:sz w:val="24"/>
                <w:szCs w:val="20"/>
                <w:lang w:val="en-US" w:eastAsia="zh-CN" w:bidi="ar-SA"/>
              </w:rPr>
              <w:t>。</w:t>
            </w:r>
          </w:p>
          <w:p w14:paraId="19CFB9FB">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2" w:firstLineChars="200"/>
              <w:jc w:val="center"/>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表4.5-</w:t>
            </w:r>
            <w:r>
              <w:rPr>
                <w:rFonts w:hint="eastAsia" w:cs="Times New Roman"/>
                <w:b/>
                <w:bCs/>
                <w:color w:val="auto"/>
                <w:kern w:val="0"/>
                <w:sz w:val="21"/>
                <w:szCs w:val="21"/>
                <w:lang w:val="en-US" w:eastAsia="zh-CN" w:bidi="ar-SA"/>
              </w:rPr>
              <w:t>4</w:t>
            </w:r>
            <w:r>
              <w:rPr>
                <w:rFonts w:hint="default" w:ascii="Times New Roman" w:hAnsi="Times New Roman" w:eastAsia="宋体" w:cs="Times New Roman"/>
                <w:b/>
                <w:bCs/>
                <w:color w:val="auto"/>
                <w:kern w:val="0"/>
                <w:sz w:val="21"/>
                <w:szCs w:val="21"/>
                <w:lang w:val="en-US" w:eastAsia="zh-CN" w:bidi="ar-SA"/>
              </w:rPr>
              <w:t>污染物计算参数选取表</w:t>
            </w:r>
          </w:p>
          <w:tbl>
            <w:tblPr>
              <w:tblStyle w:val="22"/>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90"/>
              <w:gridCol w:w="506"/>
              <w:gridCol w:w="507"/>
              <w:gridCol w:w="109"/>
              <w:gridCol w:w="326"/>
              <w:gridCol w:w="447"/>
              <w:gridCol w:w="731"/>
              <w:gridCol w:w="778"/>
              <w:gridCol w:w="402"/>
              <w:gridCol w:w="371"/>
              <w:gridCol w:w="689"/>
              <w:gridCol w:w="765"/>
              <w:gridCol w:w="984"/>
              <w:gridCol w:w="649"/>
              <w:gridCol w:w="650"/>
            </w:tblGrid>
            <w:tr w14:paraId="13E81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8504" w:type="dxa"/>
                  <w:gridSpan w:val="15"/>
                  <w:tcBorders>
                    <w:tl2br w:val="nil"/>
                    <w:tr2bl w:val="nil"/>
                  </w:tcBorders>
                  <w:noWrap w:val="0"/>
                  <w:vAlign w:val="center"/>
                </w:tcPr>
                <w:p w14:paraId="2A31F623">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点源污染物计算参数选取表</w:t>
                  </w:r>
                </w:p>
              </w:tc>
            </w:tr>
            <w:tr w14:paraId="2FBB4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90" w:type="dxa"/>
                  <w:vMerge w:val="restart"/>
                  <w:tcBorders>
                    <w:tl2br w:val="nil"/>
                    <w:tr2bl w:val="nil"/>
                  </w:tcBorders>
                  <w:noWrap w:val="0"/>
                  <w:vAlign w:val="center"/>
                </w:tcPr>
                <w:p w14:paraId="3141B3EC">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rPr>
                    <w:t>名称</w:t>
                  </w:r>
                </w:p>
              </w:tc>
              <w:tc>
                <w:tcPr>
                  <w:tcW w:w="1013" w:type="dxa"/>
                  <w:gridSpan w:val="2"/>
                  <w:tcBorders>
                    <w:tl2br w:val="nil"/>
                    <w:tr2bl w:val="nil"/>
                  </w:tcBorders>
                  <w:noWrap w:val="0"/>
                  <w:vAlign w:val="center"/>
                </w:tcPr>
                <w:p w14:paraId="341517EE">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rPr>
                    <w:t>排气筒底部中心坐标/m</w:t>
                  </w:r>
                </w:p>
              </w:tc>
              <w:tc>
                <w:tcPr>
                  <w:tcW w:w="882" w:type="dxa"/>
                  <w:gridSpan w:val="3"/>
                  <w:vMerge w:val="restart"/>
                  <w:tcBorders>
                    <w:tl2br w:val="nil"/>
                    <w:tr2bl w:val="nil"/>
                  </w:tcBorders>
                  <w:noWrap w:val="0"/>
                  <w:vAlign w:val="center"/>
                </w:tcPr>
                <w:p w14:paraId="766DB6D5">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rPr>
                    <w:t>排气筒底部海拔高度/m</w:t>
                  </w:r>
                </w:p>
              </w:tc>
              <w:tc>
                <w:tcPr>
                  <w:tcW w:w="731" w:type="dxa"/>
                  <w:vMerge w:val="restart"/>
                  <w:tcBorders>
                    <w:tl2br w:val="nil"/>
                    <w:tr2bl w:val="nil"/>
                  </w:tcBorders>
                  <w:noWrap w:val="0"/>
                  <w:vAlign w:val="center"/>
                </w:tcPr>
                <w:p w14:paraId="22B9B568">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rPr>
                    <w:t>排气筒高度/m</w:t>
                  </w:r>
                </w:p>
              </w:tc>
              <w:tc>
                <w:tcPr>
                  <w:tcW w:w="778" w:type="dxa"/>
                  <w:vMerge w:val="restart"/>
                  <w:tcBorders>
                    <w:tl2br w:val="nil"/>
                    <w:tr2bl w:val="nil"/>
                  </w:tcBorders>
                  <w:noWrap w:val="0"/>
                  <w:vAlign w:val="center"/>
                </w:tcPr>
                <w:p w14:paraId="256806AB">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rPr>
                    <w:t>排气筒出口内径/m</w:t>
                  </w:r>
                </w:p>
              </w:tc>
              <w:tc>
                <w:tcPr>
                  <w:tcW w:w="773" w:type="dxa"/>
                  <w:gridSpan w:val="2"/>
                  <w:vMerge w:val="restart"/>
                  <w:tcBorders>
                    <w:tl2br w:val="nil"/>
                    <w:tr2bl w:val="nil"/>
                  </w:tcBorders>
                  <w:noWrap w:val="0"/>
                  <w:vAlign w:val="center"/>
                </w:tcPr>
                <w:p w14:paraId="7694E5EA">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rPr>
                    <w:t>烟气量/（m</w:t>
                  </w:r>
                  <w:r>
                    <w:rPr>
                      <w:rFonts w:hint="default" w:ascii="Times New Roman" w:hAnsi="Times New Roman" w:eastAsia="宋体" w:cs="Times New Roman"/>
                      <w:color w:val="0000FF"/>
                      <w:kern w:val="2"/>
                      <w:sz w:val="21"/>
                      <w:szCs w:val="24"/>
                      <w:vertAlign w:val="superscript"/>
                      <w:lang w:val="en-US" w:eastAsia="zh-CN"/>
                    </w:rPr>
                    <w:t>3</w:t>
                  </w:r>
                  <w:r>
                    <w:rPr>
                      <w:rFonts w:hint="default" w:ascii="Times New Roman" w:hAnsi="Times New Roman" w:eastAsia="宋体" w:cs="Times New Roman"/>
                      <w:color w:val="0000FF"/>
                      <w:kern w:val="2"/>
                      <w:sz w:val="21"/>
                      <w:szCs w:val="24"/>
                      <w:lang w:val="en-US" w:eastAsia="zh-CN"/>
                    </w:rPr>
                    <w:t>/h）</w:t>
                  </w:r>
                </w:p>
              </w:tc>
              <w:tc>
                <w:tcPr>
                  <w:tcW w:w="689" w:type="dxa"/>
                  <w:vMerge w:val="restart"/>
                  <w:tcBorders>
                    <w:tl2br w:val="nil"/>
                    <w:tr2bl w:val="nil"/>
                  </w:tcBorders>
                  <w:noWrap w:val="0"/>
                  <w:vAlign w:val="center"/>
                </w:tcPr>
                <w:p w14:paraId="5E797937">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rPr>
                    <w:t>烟气温度/℃</w:t>
                  </w:r>
                </w:p>
              </w:tc>
              <w:tc>
                <w:tcPr>
                  <w:tcW w:w="765" w:type="dxa"/>
                  <w:vMerge w:val="restart"/>
                  <w:tcBorders>
                    <w:tl2br w:val="nil"/>
                    <w:tr2bl w:val="nil"/>
                  </w:tcBorders>
                  <w:noWrap w:val="0"/>
                  <w:vAlign w:val="center"/>
                </w:tcPr>
                <w:p w14:paraId="2DD4D10F">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rPr>
                    <w:t>年排放小时数/h</w:t>
                  </w:r>
                </w:p>
              </w:tc>
              <w:tc>
                <w:tcPr>
                  <w:tcW w:w="984" w:type="dxa"/>
                  <w:vMerge w:val="restart"/>
                  <w:tcBorders>
                    <w:tl2br w:val="nil"/>
                    <w:tr2bl w:val="nil"/>
                  </w:tcBorders>
                  <w:noWrap w:val="0"/>
                  <w:vAlign w:val="center"/>
                </w:tcPr>
                <w:p w14:paraId="4F659049">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rPr>
                    <w:t>排放工况</w:t>
                  </w:r>
                </w:p>
              </w:tc>
              <w:tc>
                <w:tcPr>
                  <w:tcW w:w="1299" w:type="dxa"/>
                  <w:gridSpan w:val="2"/>
                  <w:vMerge w:val="restart"/>
                  <w:tcBorders>
                    <w:tl2br w:val="nil"/>
                    <w:tr2bl w:val="nil"/>
                  </w:tcBorders>
                  <w:noWrap w:val="0"/>
                  <w:vAlign w:val="center"/>
                </w:tcPr>
                <w:p w14:paraId="30AAFDBB">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rPr>
                    <w:t>污染物排放速率/（kg/h）</w:t>
                  </w:r>
                </w:p>
              </w:tc>
            </w:tr>
            <w:tr w14:paraId="23E0E7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90" w:type="dxa"/>
                  <w:vMerge w:val="continue"/>
                  <w:tcBorders>
                    <w:tl2br w:val="nil"/>
                    <w:tr2bl w:val="nil"/>
                  </w:tcBorders>
                  <w:noWrap w:val="0"/>
                  <w:vAlign w:val="center"/>
                </w:tcPr>
                <w:p w14:paraId="3356E1BA">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506" w:type="dxa"/>
                  <w:tcBorders>
                    <w:tl2br w:val="nil"/>
                    <w:tr2bl w:val="nil"/>
                  </w:tcBorders>
                  <w:noWrap w:val="0"/>
                  <w:vAlign w:val="center"/>
                </w:tcPr>
                <w:p w14:paraId="7DD9D8E8">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rPr>
                    <w:t>X</w:t>
                  </w:r>
                </w:p>
              </w:tc>
              <w:tc>
                <w:tcPr>
                  <w:tcW w:w="507" w:type="dxa"/>
                  <w:tcBorders>
                    <w:tl2br w:val="nil"/>
                    <w:tr2bl w:val="nil"/>
                  </w:tcBorders>
                  <w:noWrap w:val="0"/>
                  <w:vAlign w:val="center"/>
                </w:tcPr>
                <w:p w14:paraId="25703DD6">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rPr>
                    <w:t>Y</w:t>
                  </w:r>
                </w:p>
              </w:tc>
              <w:tc>
                <w:tcPr>
                  <w:tcW w:w="882" w:type="dxa"/>
                  <w:gridSpan w:val="3"/>
                  <w:vMerge w:val="continue"/>
                  <w:tcBorders>
                    <w:tl2br w:val="nil"/>
                    <w:tr2bl w:val="nil"/>
                  </w:tcBorders>
                  <w:noWrap w:val="0"/>
                  <w:vAlign w:val="center"/>
                </w:tcPr>
                <w:p w14:paraId="1D07CB60">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731" w:type="dxa"/>
                  <w:vMerge w:val="continue"/>
                  <w:tcBorders>
                    <w:tl2br w:val="nil"/>
                    <w:tr2bl w:val="nil"/>
                  </w:tcBorders>
                  <w:noWrap w:val="0"/>
                  <w:vAlign w:val="center"/>
                </w:tcPr>
                <w:p w14:paraId="209DDBD8">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778" w:type="dxa"/>
                  <w:vMerge w:val="continue"/>
                  <w:tcBorders>
                    <w:tl2br w:val="nil"/>
                    <w:tr2bl w:val="nil"/>
                  </w:tcBorders>
                  <w:noWrap w:val="0"/>
                  <w:vAlign w:val="center"/>
                </w:tcPr>
                <w:p w14:paraId="5F230764">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773" w:type="dxa"/>
                  <w:gridSpan w:val="2"/>
                  <w:vMerge w:val="continue"/>
                  <w:tcBorders>
                    <w:tl2br w:val="nil"/>
                    <w:tr2bl w:val="nil"/>
                  </w:tcBorders>
                  <w:noWrap w:val="0"/>
                  <w:vAlign w:val="center"/>
                </w:tcPr>
                <w:p w14:paraId="5D006C7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689" w:type="dxa"/>
                  <w:vMerge w:val="continue"/>
                  <w:tcBorders>
                    <w:tl2br w:val="nil"/>
                    <w:tr2bl w:val="nil"/>
                  </w:tcBorders>
                  <w:noWrap w:val="0"/>
                  <w:vAlign w:val="center"/>
                </w:tcPr>
                <w:p w14:paraId="41E4E05E">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765" w:type="dxa"/>
                  <w:vMerge w:val="continue"/>
                  <w:tcBorders>
                    <w:tl2br w:val="nil"/>
                    <w:tr2bl w:val="nil"/>
                  </w:tcBorders>
                  <w:noWrap w:val="0"/>
                  <w:vAlign w:val="center"/>
                </w:tcPr>
                <w:p w14:paraId="576A428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984" w:type="dxa"/>
                  <w:vMerge w:val="continue"/>
                  <w:tcBorders>
                    <w:tl2br w:val="nil"/>
                    <w:tr2bl w:val="nil"/>
                  </w:tcBorders>
                  <w:noWrap w:val="0"/>
                  <w:vAlign w:val="center"/>
                </w:tcPr>
                <w:p w14:paraId="0154C32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1299" w:type="dxa"/>
                  <w:gridSpan w:val="2"/>
                  <w:vMerge w:val="continue"/>
                  <w:tcBorders>
                    <w:tl2br w:val="nil"/>
                    <w:tr2bl w:val="nil"/>
                  </w:tcBorders>
                  <w:noWrap w:val="0"/>
                  <w:vAlign w:val="center"/>
                </w:tcPr>
                <w:p w14:paraId="08B67E22">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r>
            <w:tr w14:paraId="4BB05E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43" w:hRule="atLeast"/>
                <w:jc w:val="center"/>
              </w:trPr>
              <w:tc>
                <w:tcPr>
                  <w:tcW w:w="590" w:type="dxa"/>
                  <w:vMerge w:val="restart"/>
                  <w:tcBorders>
                    <w:tl2br w:val="nil"/>
                    <w:tr2bl w:val="nil"/>
                  </w:tcBorders>
                  <w:noWrap w:val="0"/>
                  <w:vAlign w:val="center"/>
                </w:tcPr>
                <w:p w14:paraId="54E9470A">
                  <w:pPr>
                    <w:widowControl w:val="0"/>
                    <w:autoSpaceDE w:val="0"/>
                    <w:autoSpaceDN w:val="0"/>
                    <w:spacing w:line="240" w:lineRule="auto"/>
                    <w:ind w:left="0" w:leftChars="0" w:firstLine="0" w:firstLineChars="0"/>
                    <w:jc w:val="center"/>
                    <w:rPr>
                      <w:rFonts w:hint="default" w:ascii="Times New Roman" w:hAnsi="Times New Roman" w:eastAsia="宋体" w:cs="Times New Roman"/>
                      <w:color w:val="0000FF"/>
                      <w:kern w:val="2"/>
                      <w:sz w:val="21"/>
                      <w:szCs w:val="21"/>
                      <w:lang w:val="en-US" w:eastAsia="zh-CN" w:bidi="ar-SA"/>
                    </w:rPr>
                  </w:pPr>
                  <w:r>
                    <w:rPr>
                      <w:rFonts w:hint="default" w:ascii="Times New Roman" w:hAnsi="Times New Roman" w:eastAsia="宋体" w:cs="Times New Roman"/>
                      <w:color w:val="0000FF"/>
                      <w:kern w:val="2"/>
                      <w:sz w:val="21"/>
                      <w:szCs w:val="21"/>
                      <w:lang w:val="en-US" w:eastAsia="zh-CN" w:bidi="ar-SA"/>
                    </w:rPr>
                    <w:t>DA001</w:t>
                  </w:r>
                </w:p>
                <w:p w14:paraId="360D957E">
                  <w:pPr>
                    <w:widowControl w:val="0"/>
                    <w:autoSpaceDE w:val="0"/>
                    <w:autoSpaceDN w:val="0"/>
                    <w:spacing w:line="240" w:lineRule="auto"/>
                    <w:ind w:left="0" w:leftChars="0" w:firstLine="0" w:firstLineChars="0"/>
                    <w:jc w:val="center"/>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1"/>
                      <w:lang w:val="en-US" w:eastAsia="zh-CN" w:bidi="ar-SA"/>
                    </w:rPr>
                    <w:t>一般排放口发酵罐区</w:t>
                  </w:r>
                </w:p>
              </w:tc>
              <w:tc>
                <w:tcPr>
                  <w:tcW w:w="506" w:type="dxa"/>
                  <w:vMerge w:val="restart"/>
                  <w:tcBorders>
                    <w:tl2br w:val="nil"/>
                    <w:tr2bl w:val="nil"/>
                  </w:tcBorders>
                  <w:noWrap w:val="0"/>
                  <w:vAlign w:val="center"/>
                </w:tcPr>
                <w:p w14:paraId="7AC049FB">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highlight w:val="none"/>
                      <w:lang w:val="en-US" w:eastAsia="zh-CN" w:bidi="ar-SA"/>
                    </w:rPr>
                  </w:pPr>
                  <w:r>
                    <w:rPr>
                      <w:rFonts w:hint="default" w:ascii="Times New Roman" w:hAnsi="Times New Roman" w:eastAsia="宋体" w:cs="Times New Roman"/>
                      <w:color w:val="0000FF"/>
                      <w:kern w:val="2"/>
                      <w:sz w:val="21"/>
                      <w:szCs w:val="24"/>
                      <w:highlight w:val="none"/>
                      <w:lang w:val="en-US" w:eastAsia="zh-CN" w:bidi="ar-SA"/>
                    </w:rPr>
                    <w:t>-27</w:t>
                  </w:r>
                </w:p>
              </w:tc>
              <w:tc>
                <w:tcPr>
                  <w:tcW w:w="507" w:type="dxa"/>
                  <w:vMerge w:val="restart"/>
                  <w:tcBorders>
                    <w:tl2br w:val="nil"/>
                    <w:tr2bl w:val="nil"/>
                  </w:tcBorders>
                  <w:noWrap w:val="0"/>
                  <w:vAlign w:val="center"/>
                </w:tcPr>
                <w:p w14:paraId="01DE45E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highlight w:val="none"/>
                      <w:lang w:val="en-US" w:eastAsia="zh-CN" w:bidi="ar-SA"/>
                    </w:rPr>
                  </w:pPr>
                  <w:r>
                    <w:rPr>
                      <w:rFonts w:hint="default" w:ascii="Times New Roman" w:hAnsi="Times New Roman" w:eastAsia="宋体" w:cs="Times New Roman"/>
                      <w:color w:val="0000FF"/>
                      <w:kern w:val="2"/>
                      <w:sz w:val="21"/>
                      <w:szCs w:val="24"/>
                      <w:highlight w:val="none"/>
                      <w:lang w:val="en-US" w:eastAsia="zh-CN" w:bidi="ar-SA"/>
                    </w:rPr>
                    <w:t>93</w:t>
                  </w:r>
                </w:p>
              </w:tc>
              <w:tc>
                <w:tcPr>
                  <w:tcW w:w="882" w:type="dxa"/>
                  <w:gridSpan w:val="3"/>
                  <w:vMerge w:val="restart"/>
                  <w:tcBorders>
                    <w:tl2br w:val="nil"/>
                    <w:tr2bl w:val="nil"/>
                  </w:tcBorders>
                  <w:noWrap w:val="0"/>
                  <w:vAlign w:val="center"/>
                </w:tcPr>
                <w:p w14:paraId="58C9CC90">
                  <w:pPr>
                    <w:keepNext w:val="0"/>
                    <w:keepLines w:val="0"/>
                    <w:pageBreakBefore w:val="0"/>
                    <w:widowControl w:val="0"/>
                    <w:kinsoku/>
                    <w:wordWrap/>
                    <w:overflowPunct w:val="0"/>
                    <w:topLinePunct w:val="0"/>
                    <w:autoSpaceDE w:val="0"/>
                    <w:autoSpaceDN w:val="0"/>
                    <w:bidi w:val="0"/>
                    <w:adjustRightInd w:val="0"/>
                    <w:snapToGrid w:val="0"/>
                    <w:ind w:left="0" w:leftChars="0" w:firstLine="0" w:firstLineChars="0"/>
                    <w:jc w:val="center"/>
                    <w:textAlignment w:val="baseline"/>
                    <w:rPr>
                      <w:rFonts w:hint="default" w:ascii="Times New Roman" w:hAnsi="Times New Roman" w:eastAsia="宋体" w:cs="Times New Roman"/>
                      <w:color w:val="0000FF"/>
                      <w:sz w:val="21"/>
                      <w:szCs w:val="21"/>
                      <w:highlight w:val="magenta"/>
                      <w:lang w:val="en-US" w:eastAsia="zh-CN"/>
                    </w:rPr>
                  </w:pPr>
                  <w:r>
                    <w:rPr>
                      <w:rFonts w:hint="default" w:ascii="Times New Roman" w:hAnsi="Times New Roman" w:eastAsia="宋体" w:cs="Times New Roman"/>
                      <w:bCs w:val="0"/>
                      <w:color w:val="0000FF"/>
                      <w:spacing w:val="0"/>
                      <w:kern w:val="2"/>
                      <w:sz w:val="21"/>
                      <w:szCs w:val="21"/>
                      <w:lang w:val="en-US" w:eastAsia="zh-CN" w:bidi="ar-SA"/>
                    </w:rPr>
                    <w:t>441</w:t>
                  </w:r>
                </w:p>
              </w:tc>
              <w:tc>
                <w:tcPr>
                  <w:tcW w:w="731" w:type="dxa"/>
                  <w:vMerge w:val="restart"/>
                  <w:tcBorders>
                    <w:tl2br w:val="nil"/>
                    <w:tr2bl w:val="nil"/>
                  </w:tcBorders>
                  <w:noWrap w:val="0"/>
                  <w:vAlign w:val="center"/>
                </w:tcPr>
                <w:p w14:paraId="18F38761">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0000FF"/>
                      <w:kern w:val="2"/>
                      <w:sz w:val="21"/>
                      <w:szCs w:val="24"/>
                      <w:highlight w:val="magenta"/>
                      <w:lang w:val="en-US" w:eastAsia="zh-CN"/>
                    </w:rPr>
                  </w:pPr>
                  <w:r>
                    <w:rPr>
                      <w:rFonts w:hint="default" w:ascii="Times New Roman" w:hAnsi="Times New Roman" w:eastAsia="宋体" w:cs="Times New Roman"/>
                      <w:bCs w:val="0"/>
                      <w:color w:val="0000FF"/>
                      <w:spacing w:val="0"/>
                      <w:kern w:val="2"/>
                      <w:sz w:val="21"/>
                      <w:szCs w:val="21"/>
                      <w:lang w:val="en-US" w:eastAsia="zh-CN"/>
                    </w:rPr>
                    <w:t>15</w:t>
                  </w:r>
                </w:p>
              </w:tc>
              <w:tc>
                <w:tcPr>
                  <w:tcW w:w="778" w:type="dxa"/>
                  <w:vMerge w:val="restart"/>
                  <w:tcBorders>
                    <w:tl2br w:val="nil"/>
                    <w:tr2bl w:val="nil"/>
                  </w:tcBorders>
                  <w:noWrap w:val="0"/>
                  <w:vAlign w:val="center"/>
                </w:tcPr>
                <w:p w14:paraId="12B6883D">
                  <w:pPr>
                    <w:keepNext w:val="0"/>
                    <w:keepLines w:val="0"/>
                    <w:pageBreakBefore w:val="0"/>
                    <w:widowControl w:val="0"/>
                    <w:kinsoku/>
                    <w:wordWrap/>
                    <w:overflowPunct/>
                    <w:topLinePunct w:val="0"/>
                    <w:autoSpaceDE/>
                    <w:autoSpaceDN/>
                    <w:bidi w:val="0"/>
                    <w:adjustRightInd/>
                    <w:snapToGrid w:val="0"/>
                    <w:spacing w:before="0" w:after="0" w:line="30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highlight w:val="magenta"/>
                      <w:lang w:val="en-US" w:eastAsia="zh-CN"/>
                    </w:rPr>
                  </w:pPr>
                  <w:r>
                    <w:rPr>
                      <w:rFonts w:hint="default" w:ascii="Times New Roman" w:hAnsi="Times New Roman" w:eastAsia="宋体" w:cs="Times New Roman"/>
                      <w:bCs w:val="0"/>
                      <w:color w:val="0000FF"/>
                      <w:spacing w:val="0"/>
                      <w:kern w:val="2"/>
                      <w:sz w:val="21"/>
                      <w:szCs w:val="21"/>
                      <w:lang w:val="en-US" w:eastAsia="zh-CN"/>
                    </w:rPr>
                    <w:t>0.4</w:t>
                  </w:r>
                </w:p>
              </w:tc>
              <w:tc>
                <w:tcPr>
                  <w:tcW w:w="773" w:type="dxa"/>
                  <w:gridSpan w:val="2"/>
                  <w:vMerge w:val="restart"/>
                  <w:tcBorders>
                    <w:tl2br w:val="nil"/>
                    <w:tr2bl w:val="nil"/>
                  </w:tcBorders>
                  <w:noWrap w:val="0"/>
                  <w:vAlign w:val="center"/>
                </w:tcPr>
                <w:p w14:paraId="317F5F4D">
                  <w:pPr>
                    <w:keepNext w:val="0"/>
                    <w:keepLines w:val="0"/>
                    <w:pageBreakBefore w:val="0"/>
                    <w:widowControl w:val="0"/>
                    <w:kinsoku/>
                    <w:wordWrap/>
                    <w:overflowPunct/>
                    <w:topLinePunct w:val="0"/>
                    <w:autoSpaceDE/>
                    <w:autoSpaceDN/>
                    <w:bidi w:val="0"/>
                    <w:adjustRightInd/>
                    <w:snapToGrid/>
                    <w:spacing w:before="0" w:after="0" w:line="30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highlight w:val="none"/>
                      <w:lang w:val="en-US" w:eastAsia="zh-CN"/>
                    </w:rPr>
                  </w:pPr>
                  <w:r>
                    <w:rPr>
                      <w:rFonts w:hint="eastAsia" w:ascii="Times New Roman" w:hAnsi="Times New Roman" w:eastAsia="宋体" w:cs="Times New Roman"/>
                      <w:color w:val="0000FF"/>
                      <w:kern w:val="2"/>
                      <w:sz w:val="21"/>
                      <w:szCs w:val="24"/>
                      <w:highlight w:val="none"/>
                      <w:lang w:val="en-US" w:eastAsia="zh-CN"/>
                    </w:rPr>
                    <w:t>2500</w:t>
                  </w:r>
                </w:p>
              </w:tc>
              <w:tc>
                <w:tcPr>
                  <w:tcW w:w="689" w:type="dxa"/>
                  <w:vMerge w:val="restart"/>
                  <w:tcBorders>
                    <w:tl2br w:val="nil"/>
                    <w:tr2bl w:val="nil"/>
                  </w:tcBorders>
                  <w:noWrap w:val="0"/>
                  <w:vAlign w:val="center"/>
                </w:tcPr>
                <w:p w14:paraId="26371168">
                  <w:pPr>
                    <w:keepNext w:val="0"/>
                    <w:keepLines w:val="0"/>
                    <w:pageBreakBefore w:val="0"/>
                    <w:widowControl w:val="0"/>
                    <w:kinsoku/>
                    <w:wordWrap/>
                    <w:overflowPunct/>
                    <w:topLinePunct w:val="0"/>
                    <w:autoSpaceDE/>
                    <w:autoSpaceDN/>
                    <w:bidi w:val="0"/>
                    <w:adjustRightInd/>
                    <w:snapToGrid/>
                    <w:spacing w:before="0" w:after="0" w:line="30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highlight w:val="magenta"/>
                      <w:lang w:val="en-US" w:eastAsia="zh-CN"/>
                    </w:rPr>
                  </w:pPr>
                  <w:r>
                    <w:rPr>
                      <w:rFonts w:hint="default" w:ascii="Times New Roman" w:hAnsi="Times New Roman" w:eastAsia="宋体" w:cs="Times New Roman"/>
                      <w:color w:val="0000FF"/>
                      <w:kern w:val="2"/>
                      <w:sz w:val="21"/>
                      <w:szCs w:val="24"/>
                      <w:lang w:val="en-US" w:eastAsia="zh-CN"/>
                    </w:rPr>
                    <w:t>20</w:t>
                  </w:r>
                </w:p>
              </w:tc>
              <w:tc>
                <w:tcPr>
                  <w:tcW w:w="765" w:type="dxa"/>
                  <w:vMerge w:val="restart"/>
                  <w:tcBorders>
                    <w:tl2br w:val="nil"/>
                    <w:tr2bl w:val="nil"/>
                  </w:tcBorders>
                  <w:noWrap w:val="0"/>
                  <w:vAlign w:val="center"/>
                </w:tcPr>
                <w:p w14:paraId="1D8DA0DA">
                  <w:pPr>
                    <w:keepNext w:val="0"/>
                    <w:keepLines w:val="0"/>
                    <w:pageBreakBefore w:val="0"/>
                    <w:widowControl w:val="0"/>
                    <w:kinsoku/>
                    <w:wordWrap/>
                    <w:overflowPunct/>
                    <w:topLinePunct w:val="0"/>
                    <w:autoSpaceDE/>
                    <w:autoSpaceDN/>
                    <w:bidi w:val="0"/>
                    <w:adjustRightInd/>
                    <w:snapToGrid/>
                    <w:spacing w:before="0" w:after="0" w:line="30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highlight w:val="magenta"/>
                      <w:lang w:val="en-US" w:eastAsia="zh-CN"/>
                    </w:rPr>
                  </w:pPr>
                  <w:r>
                    <w:rPr>
                      <w:rFonts w:hint="default" w:ascii="Times New Roman" w:hAnsi="Times New Roman" w:eastAsia="宋体" w:cs="Times New Roman"/>
                      <w:bCs w:val="0"/>
                      <w:color w:val="0000FF"/>
                      <w:spacing w:val="0"/>
                      <w:kern w:val="2"/>
                      <w:sz w:val="21"/>
                      <w:szCs w:val="21"/>
                      <w:lang w:val="en-US" w:eastAsia="zh-CN"/>
                    </w:rPr>
                    <w:t>4380</w:t>
                  </w:r>
                </w:p>
              </w:tc>
              <w:tc>
                <w:tcPr>
                  <w:tcW w:w="984" w:type="dxa"/>
                  <w:vMerge w:val="restart"/>
                  <w:tcBorders>
                    <w:tl2br w:val="nil"/>
                    <w:tr2bl w:val="nil"/>
                  </w:tcBorders>
                  <w:noWrap w:val="0"/>
                  <w:vAlign w:val="center"/>
                </w:tcPr>
                <w:p w14:paraId="312A6697">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highlight w:val="none"/>
                      <w:lang w:val="en-US" w:eastAsia="zh-CN"/>
                    </w:rPr>
                  </w:pPr>
                  <w:r>
                    <w:rPr>
                      <w:rFonts w:hint="default" w:ascii="Times New Roman" w:hAnsi="Times New Roman" w:eastAsia="宋体" w:cs="Times New Roman"/>
                      <w:color w:val="0000FF"/>
                      <w:kern w:val="2"/>
                      <w:sz w:val="21"/>
                      <w:szCs w:val="24"/>
                      <w:highlight w:val="none"/>
                      <w:lang w:val="en-US" w:eastAsia="zh-CN"/>
                    </w:rPr>
                    <w:t>正常</w:t>
                  </w:r>
                </w:p>
              </w:tc>
              <w:tc>
                <w:tcPr>
                  <w:tcW w:w="649" w:type="dxa"/>
                  <w:tcBorders>
                    <w:tl2br w:val="nil"/>
                    <w:tr2bl w:val="nil"/>
                  </w:tcBorders>
                  <w:noWrap w:val="0"/>
                  <w:vAlign w:val="center"/>
                </w:tcPr>
                <w:p w14:paraId="5D68F348">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highlight w:val="none"/>
                      <w:lang w:val="en-US" w:eastAsia="zh-CN"/>
                    </w:rPr>
                  </w:pPr>
                  <w:r>
                    <w:rPr>
                      <w:rFonts w:hint="default" w:ascii="Times New Roman" w:hAnsi="Times New Roman" w:eastAsia="宋体" w:cs="Times New Roman"/>
                      <w:b w:val="0"/>
                      <w:bCs w:val="0"/>
                      <w:color w:val="0000FF"/>
                      <w:kern w:val="2"/>
                      <w:sz w:val="21"/>
                      <w:szCs w:val="22"/>
                      <w:highlight w:val="none"/>
                      <w:lang w:val="en-US" w:eastAsia="zh-CN"/>
                    </w:rPr>
                    <w:t>氨</w:t>
                  </w:r>
                </w:p>
              </w:tc>
              <w:tc>
                <w:tcPr>
                  <w:tcW w:w="650" w:type="dxa"/>
                  <w:tcBorders>
                    <w:tl2br w:val="nil"/>
                    <w:tr2bl w:val="nil"/>
                  </w:tcBorders>
                  <w:noWrap w:val="0"/>
                  <w:vAlign w:val="center"/>
                </w:tcPr>
                <w:p w14:paraId="3251264C">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szCs w:val="21"/>
                      <w:highlight w:val="none"/>
                      <w:lang w:val="en-US" w:eastAsia="zh-CN"/>
                    </w:rPr>
                  </w:pPr>
                  <w:r>
                    <w:rPr>
                      <w:rFonts w:hint="default" w:ascii="Times New Roman" w:hAnsi="Times New Roman" w:eastAsia="宋体" w:cs="Times New Roman"/>
                      <w:i w:val="0"/>
                      <w:iCs w:val="0"/>
                      <w:color w:val="0000FF"/>
                      <w:sz w:val="21"/>
                      <w:szCs w:val="21"/>
                      <w:highlight w:val="none"/>
                      <w:u w:val="none"/>
                      <w:lang w:val="en-US" w:eastAsia="zh-CN" w:bidi="ar-SA"/>
                    </w:rPr>
                    <w:t>0.0025</w:t>
                  </w:r>
                </w:p>
              </w:tc>
            </w:tr>
            <w:tr w14:paraId="0D13FE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1243" w:hRule="atLeast"/>
                <w:jc w:val="center"/>
              </w:trPr>
              <w:tc>
                <w:tcPr>
                  <w:tcW w:w="590" w:type="dxa"/>
                  <w:vMerge w:val="continue"/>
                  <w:tcBorders>
                    <w:tl2br w:val="nil"/>
                    <w:tr2bl w:val="nil"/>
                  </w:tcBorders>
                  <w:noWrap w:val="0"/>
                  <w:vAlign w:val="center"/>
                </w:tcPr>
                <w:p w14:paraId="277C2798">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rPr>
                  </w:pPr>
                </w:p>
              </w:tc>
              <w:tc>
                <w:tcPr>
                  <w:tcW w:w="506" w:type="dxa"/>
                  <w:vMerge w:val="continue"/>
                  <w:tcBorders>
                    <w:tl2br w:val="nil"/>
                    <w:tr2bl w:val="nil"/>
                  </w:tcBorders>
                  <w:noWrap w:val="0"/>
                  <w:vAlign w:val="center"/>
                </w:tcPr>
                <w:p w14:paraId="50526BA5">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rPr>
                  </w:pPr>
                </w:p>
              </w:tc>
              <w:tc>
                <w:tcPr>
                  <w:tcW w:w="507" w:type="dxa"/>
                  <w:vMerge w:val="continue"/>
                  <w:tcBorders>
                    <w:tl2br w:val="nil"/>
                    <w:tr2bl w:val="nil"/>
                  </w:tcBorders>
                  <w:noWrap w:val="0"/>
                  <w:vAlign w:val="center"/>
                </w:tcPr>
                <w:p w14:paraId="3447B717">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rPr>
                  </w:pPr>
                </w:p>
              </w:tc>
              <w:tc>
                <w:tcPr>
                  <w:tcW w:w="882" w:type="dxa"/>
                  <w:gridSpan w:val="3"/>
                  <w:vMerge w:val="continue"/>
                  <w:tcBorders>
                    <w:tl2br w:val="nil"/>
                    <w:tr2bl w:val="nil"/>
                  </w:tcBorders>
                  <w:noWrap w:val="0"/>
                  <w:vAlign w:val="center"/>
                </w:tcPr>
                <w:p w14:paraId="7C2983A1">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rPr>
                  </w:pPr>
                </w:p>
              </w:tc>
              <w:tc>
                <w:tcPr>
                  <w:tcW w:w="731" w:type="dxa"/>
                  <w:vMerge w:val="continue"/>
                  <w:tcBorders>
                    <w:tl2br w:val="nil"/>
                    <w:tr2bl w:val="nil"/>
                  </w:tcBorders>
                  <w:noWrap w:val="0"/>
                  <w:vAlign w:val="center"/>
                </w:tcPr>
                <w:p w14:paraId="72F3E564">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rPr>
                  </w:pPr>
                </w:p>
              </w:tc>
              <w:tc>
                <w:tcPr>
                  <w:tcW w:w="778" w:type="dxa"/>
                  <w:vMerge w:val="continue"/>
                  <w:tcBorders>
                    <w:tl2br w:val="nil"/>
                    <w:tr2bl w:val="nil"/>
                  </w:tcBorders>
                  <w:noWrap w:val="0"/>
                  <w:vAlign w:val="center"/>
                </w:tcPr>
                <w:p w14:paraId="3D90CCD9">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rPr>
                  </w:pPr>
                </w:p>
              </w:tc>
              <w:tc>
                <w:tcPr>
                  <w:tcW w:w="773" w:type="dxa"/>
                  <w:gridSpan w:val="2"/>
                  <w:vMerge w:val="continue"/>
                  <w:tcBorders>
                    <w:tl2br w:val="nil"/>
                    <w:tr2bl w:val="nil"/>
                  </w:tcBorders>
                  <w:noWrap w:val="0"/>
                  <w:vAlign w:val="center"/>
                </w:tcPr>
                <w:p w14:paraId="1CE0D38F">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rPr>
                  </w:pPr>
                </w:p>
              </w:tc>
              <w:tc>
                <w:tcPr>
                  <w:tcW w:w="689" w:type="dxa"/>
                  <w:vMerge w:val="continue"/>
                  <w:tcBorders>
                    <w:tl2br w:val="nil"/>
                    <w:tr2bl w:val="nil"/>
                  </w:tcBorders>
                  <w:noWrap w:val="0"/>
                  <w:vAlign w:val="center"/>
                </w:tcPr>
                <w:p w14:paraId="4436C158">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rPr>
                  </w:pPr>
                </w:p>
              </w:tc>
              <w:tc>
                <w:tcPr>
                  <w:tcW w:w="765" w:type="dxa"/>
                  <w:vMerge w:val="continue"/>
                  <w:tcBorders>
                    <w:tl2br w:val="nil"/>
                    <w:tr2bl w:val="nil"/>
                  </w:tcBorders>
                  <w:noWrap w:val="0"/>
                  <w:vAlign w:val="center"/>
                </w:tcPr>
                <w:p w14:paraId="41D11220">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rPr>
                  </w:pPr>
                </w:p>
              </w:tc>
              <w:tc>
                <w:tcPr>
                  <w:tcW w:w="984" w:type="dxa"/>
                  <w:vMerge w:val="continue"/>
                  <w:tcBorders>
                    <w:tl2br w:val="nil"/>
                    <w:tr2bl w:val="nil"/>
                  </w:tcBorders>
                  <w:noWrap w:val="0"/>
                  <w:vAlign w:val="center"/>
                </w:tcPr>
                <w:p w14:paraId="7BE8137D">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rPr>
                  </w:pPr>
                </w:p>
              </w:tc>
              <w:tc>
                <w:tcPr>
                  <w:tcW w:w="649" w:type="dxa"/>
                  <w:tcBorders>
                    <w:tl2br w:val="nil"/>
                    <w:tr2bl w:val="nil"/>
                  </w:tcBorders>
                  <w:noWrap w:val="0"/>
                  <w:vAlign w:val="center"/>
                </w:tcPr>
                <w:p w14:paraId="4612A2F1">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highlight w:val="none"/>
                      <w:lang w:val="en-US" w:eastAsia="zh-CN"/>
                    </w:rPr>
                  </w:pPr>
                  <w:r>
                    <w:rPr>
                      <w:rFonts w:hint="default" w:ascii="Times New Roman" w:hAnsi="Times New Roman" w:eastAsia="宋体" w:cs="Times New Roman"/>
                      <w:color w:val="0000FF"/>
                      <w:kern w:val="2"/>
                      <w:sz w:val="21"/>
                      <w:szCs w:val="24"/>
                      <w:highlight w:val="none"/>
                      <w:lang w:val="en-US" w:eastAsia="zh-CN"/>
                    </w:rPr>
                    <w:t>硫化氢</w:t>
                  </w:r>
                </w:p>
              </w:tc>
              <w:tc>
                <w:tcPr>
                  <w:tcW w:w="650" w:type="dxa"/>
                  <w:tcBorders>
                    <w:tl2br w:val="nil"/>
                    <w:tr2bl w:val="nil"/>
                  </w:tcBorders>
                  <w:noWrap w:val="0"/>
                  <w:vAlign w:val="center"/>
                </w:tcPr>
                <w:p w14:paraId="531A1CDE">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highlight w:val="none"/>
                      <w:lang w:val="en-US" w:eastAsia="zh-CN"/>
                    </w:rPr>
                  </w:pPr>
                  <w:r>
                    <w:rPr>
                      <w:rFonts w:hint="default" w:ascii="Times New Roman" w:hAnsi="Times New Roman" w:eastAsia="宋体" w:cs="Times New Roman"/>
                      <w:i w:val="0"/>
                      <w:iCs w:val="0"/>
                      <w:color w:val="0000FF"/>
                      <w:kern w:val="0"/>
                      <w:sz w:val="21"/>
                      <w:szCs w:val="21"/>
                      <w:highlight w:val="none"/>
                      <w:u w:val="none"/>
                      <w:lang w:val="en-US" w:eastAsia="zh-CN" w:bidi="ar"/>
                    </w:rPr>
                    <w:t>0.0013</w:t>
                  </w:r>
                </w:p>
              </w:tc>
            </w:tr>
            <w:tr w14:paraId="7144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0" w:type="dxa"/>
                  <w:tcBorders>
                    <w:tl2br w:val="nil"/>
                    <w:tr2bl w:val="nil"/>
                  </w:tcBorders>
                  <w:noWrap w:val="0"/>
                  <w:vAlign w:val="center"/>
                </w:tcPr>
                <w:p w14:paraId="47C80C5E">
                  <w:pPr>
                    <w:widowControl w:val="0"/>
                    <w:autoSpaceDE w:val="0"/>
                    <w:autoSpaceDN w:val="0"/>
                    <w:spacing w:line="240" w:lineRule="auto"/>
                    <w:ind w:left="0" w:leftChars="0" w:firstLine="0" w:firstLineChars="0"/>
                    <w:jc w:val="center"/>
                    <w:rPr>
                      <w:rFonts w:hint="default" w:ascii="Times New Roman" w:hAnsi="Times New Roman" w:eastAsia="宋体" w:cs="Times New Roman"/>
                      <w:color w:val="0000FF"/>
                      <w:kern w:val="2"/>
                      <w:sz w:val="21"/>
                      <w:szCs w:val="21"/>
                      <w:lang w:val="en-US" w:eastAsia="zh-CN" w:bidi="ar-SA"/>
                    </w:rPr>
                  </w:pPr>
                  <w:r>
                    <w:rPr>
                      <w:rFonts w:hint="default" w:ascii="Times New Roman" w:hAnsi="Times New Roman" w:eastAsia="宋体" w:cs="Times New Roman"/>
                      <w:color w:val="0000FF"/>
                      <w:kern w:val="2"/>
                      <w:sz w:val="21"/>
                      <w:szCs w:val="21"/>
                      <w:lang w:val="en-US" w:eastAsia="zh-CN" w:bidi="ar-SA"/>
                    </w:rPr>
                    <w:t>DA002</w:t>
                  </w:r>
                </w:p>
                <w:p w14:paraId="14FA19A7">
                  <w:pPr>
                    <w:widowControl w:val="0"/>
                    <w:autoSpaceDE w:val="0"/>
                    <w:autoSpaceDN w:val="0"/>
                    <w:spacing w:line="240" w:lineRule="auto"/>
                    <w:ind w:left="0" w:leftChars="0" w:firstLine="0" w:firstLineChars="0"/>
                    <w:jc w:val="center"/>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1"/>
                      <w:lang w:val="en-US" w:eastAsia="zh-CN" w:bidi="ar-SA"/>
                    </w:rPr>
                    <w:t>加工车间</w:t>
                  </w:r>
                </w:p>
              </w:tc>
              <w:tc>
                <w:tcPr>
                  <w:tcW w:w="506" w:type="dxa"/>
                  <w:tcBorders>
                    <w:tl2br w:val="nil"/>
                    <w:tr2bl w:val="nil"/>
                  </w:tcBorders>
                  <w:noWrap w:val="0"/>
                  <w:vAlign w:val="center"/>
                </w:tcPr>
                <w:p w14:paraId="34D41005">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highlight w:val="none"/>
                      <w:lang w:val="en-US" w:eastAsia="zh-CN" w:bidi="ar-SA"/>
                    </w:rPr>
                  </w:pPr>
                  <w:r>
                    <w:rPr>
                      <w:rFonts w:hint="default" w:ascii="Times New Roman" w:hAnsi="Times New Roman" w:eastAsia="宋体" w:cs="Times New Roman"/>
                      <w:color w:val="0000FF"/>
                      <w:kern w:val="2"/>
                      <w:sz w:val="21"/>
                      <w:szCs w:val="24"/>
                      <w:highlight w:val="none"/>
                      <w:lang w:val="en-US" w:eastAsia="zh-CN" w:bidi="ar-SA"/>
                    </w:rPr>
                    <w:t>-70</w:t>
                  </w:r>
                </w:p>
              </w:tc>
              <w:tc>
                <w:tcPr>
                  <w:tcW w:w="507" w:type="dxa"/>
                  <w:tcBorders>
                    <w:tl2br w:val="nil"/>
                    <w:tr2bl w:val="nil"/>
                  </w:tcBorders>
                  <w:noWrap w:val="0"/>
                  <w:vAlign w:val="center"/>
                </w:tcPr>
                <w:p w14:paraId="0C7A5607">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highlight w:val="none"/>
                      <w:lang w:val="en-US" w:eastAsia="zh-CN" w:bidi="ar-SA"/>
                    </w:rPr>
                  </w:pPr>
                  <w:r>
                    <w:rPr>
                      <w:rFonts w:hint="default" w:ascii="Times New Roman" w:hAnsi="Times New Roman" w:eastAsia="宋体" w:cs="Times New Roman"/>
                      <w:color w:val="0000FF"/>
                      <w:kern w:val="2"/>
                      <w:sz w:val="21"/>
                      <w:szCs w:val="24"/>
                      <w:highlight w:val="none"/>
                      <w:lang w:val="en-US" w:eastAsia="zh-CN" w:bidi="ar-SA"/>
                    </w:rPr>
                    <w:t>-90</w:t>
                  </w:r>
                </w:p>
              </w:tc>
              <w:tc>
                <w:tcPr>
                  <w:tcW w:w="882" w:type="dxa"/>
                  <w:gridSpan w:val="3"/>
                  <w:tcBorders>
                    <w:tl2br w:val="nil"/>
                    <w:tr2bl w:val="nil"/>
                  </w:tcBorders>
                  <w:noWrap w:val="0"/>
                  <w:vAlign w:val="center"/>
                </w:tcPr>
                <w:p w14:paraId="51F7AEDC">
                  <w:pPr>
                    <w:keepNext w:val="0"/>
                    <w:keepLines w:val="0"/>
                    <w:pageBreakBefore w:val="0"/>
                    <w:widowControl w:val="0"/>
                    <w:kinsoku/>
                    <w:wordWrap/>
                    <w:overflowPunct w:val="0"/>
                    <w:topLinePunct w:val="0"/>
                    <w:autoSpaceDE w:val="0"/>
                    <w:autoSpaceDN w:val="0"/>
                    <w:bidi w:val="0"/>
                    <w:adjustRightInd w:val="0"/>
                    <w:snapToGrid w:val="0"/>
                    <w:ind w:left="0" w:leftChars="0" w:firstLine="0" w:firstLineChars="0"/>
                    <w:jc w:val="center"/>
                    <w:textAlignment w:val="baseline"/>
                    <w:rPr>
                      <w:rFonts w:hint="default" w:ascii="Times New Roman" w:hAnsi="Times New Roman" w:eastAsia="宋体" w:cs="Times New Roman"/>
                      <w:color w:val="0000FF"/>
                      <w:sz w:val="21"/>
                      <w:szCs w:val="21"/>
                      <w:highlight w:val="magenta"/>
                      <w:lang w:val="en-US" w:eastAsia="zh-CN"/>
                    </w:rPr>
                  </w:pPr>
                  <w:r>
                    <w:rPr>
                      <w:rFonts w:hint="default" w:ascii="Times New Roman" w:hAnsi="Times New Roman" w:eastAsia="宋体" w:cs="Times New Roman"/>
                      <w:bCs w:val="0"/>
                      <w:color w:val="0000FF"/>
                      <w:spacing w:val="0"/>
                      <w:kern w:val="2"/>
                      <w:sz w:val="21"/>
                      <w:szCs w:val="21"/>
                      <w:lang w:val="en-US" w:eastAsia="zh-CN" w:bidi="ar-SA"/>
                    </w:rPr>
                    <w:t>441</w:t>
                  </w:r>
                </w:p>
              </w:tc>
              <w:tc>
                <w:tcPr>
                  <w:tcW w:w="731" w:type="dxa"/>
                  <w:tcBorders>
                    <w:tl2br w:val="nil"/>
                    <w:tr2bl w:val="nil"/>
                  </w:tcBorders>
                  <w:noWrap w:val="0"/>
                  <w:vAlign w:val="center"/>
                </w:tcPr>
                <w:p w14:paraId="79D58639">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0000FF"/>
                      <w:kern w:val="2"/>
                      <w:sz w:val="21"/>
                      <w:szCs w:val="24"/>
                      <w:highlight w:val="magenta"/>
                      <w:lang w:val="en-US" w:eastAsia="zh-CN"/>
                    </w:rPr>
                  </w:pPr>
                  <w:r>
                    <w:rPr>
                      <w:rFonts w:hint="default" w:ascii="Times New Roman" w:hAnsi="Times New Roman" w:eastAsia="宋体" w:cs="Times New Roman"/>
                      <w:bCs w:val="0"/>
                      <w:color w:val="0000FF"/>
                      <w:spacing w:val="0"/>
                      <w:kern w:val="2"/>
                      <w:sz w:val="21"/>
                      <w:szCs w:val="21"/>
                      <w:lang w:val="en-US" w:eastAsia="zh-CN"/>
                    </w:rPr>
                    <w:t>15</w:t>
                  </w:r>
                </w:p>
              </w:tc>
              <w:tc>
                <w:tcPr>
                  <w:tcW w:w="778" w:type="dxa"/>
                  <w:tcBorders>
                    <w:tl2br w:val="nil"/>
                    <w:tr2bl w:val="nil"/>
                  </w:tcBorders>
                  <w:noWrap w:val="0"/>
                  <w:vAlign w:val="center"/>
                </w:tcPr>
                <w:p w14:paraId="40735C1B">
                  <w:pPr>
                    <w:keepNext w:val="0"/>
                    <w:keepLines w:val="0"/>
                    <w:pageBreakBefore w:val="0"/>
                    <w:widowControl w:val="0"/>
                    <w:kinsoku/>
                    <w:wordWrap/>
                    <w:overflowPunct/>
                    <w:topLinePunct w:val="0"/>
                    <w:autoSpaceDE/>
                    <w:autoSpaceDN/>
                    <w:bidi w:val="0"/>
                    <w:adjustRightInd/>
                    <w:snapToGrid w:val="0"/>
                    <w:spacing w:before="0" w:after="0" w:line="30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highlight w:val="magenta"/>
                      <w:lang w:val="en-US" w:eastAsia="zh-CN"/>
                    </w:rPr>
                  </w:pPr>
                  <w:r>
                    <w:rPr>
                      <w:rFonts w:hint="default" w:ascii="Times New Roman" w:hAnsi="Times New Roman" w:eastAsia="宋体" w:cs="Times New Roman"/>
                      <w:bCs w:val="0"/>
                      <w:color w:val="0000FF"/>
                      <w:spacing w:val="0"/>
                      <w:kern w:val="2"/>
                      <w:sz w:val="21"/>
                      <w:szCs w:val="21"/>
                      <w:lang w:val="en-US" w:eastAsia="zh-CN"/>
                    </w:rPr>
                    <w:t>0.4</w:t>
                  </w:r>
                </w:p>
              </w:tc>
              <w:tc>
                <w:tcPr>
                  <w:tcW w:w="773" w:type="dxa"/>
                  <w:gridSpan w:val="2"/>
                  <w:tcBorders>
                    <w:tl2br w:val="nil"/>
                    <w:tr2bl w:val="nil"/>
                  </w:tcBorders>
                  <w:noWrap w:val="0"/>
                  <w:vAlign w:val="center"/>
                </w:tcPr>
                <w:p w14:paraId="01552ADD">
                  <w:pPr>
                    <w:keepNext w:val="0"/>
                    <w:keepLines w:val="0"/>
                    <w:pageBreakBefore w:val="0"/>
                    <w:widowControl w:val="0"/>
                    <w:kinsoku/>
                    <w:wordWrap/>
                    <w:overflowPunct/>
                    <w:topLinePunct w:val="0"/>
                    <w:autoSpaceDE/>
                    <w:autoSpaceDN/>
                    <w:bidi w:val="0"/>
                    <w:adjustRightInd/>
                    <w:snapToGrid/>
                    <w:spacing w:before="0" w:after="0" w:line="30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highlight w:val="none"/>
                      <w:lang w:val="en-US" w:eastAsia="zh-CN"/>
                    </w:rPr>
                  </w:pPr>
                  <w:r>
                    <w:rPr>
                      <w:rFonts w:hint="eastAsia" w:ascii="Times New Roman" w:hAnsi="Times New Roman" w:eastAsia="宋体" w:cs="Times New Roman"/>
                      <w:color w:val="0000FF"/>
                      <w:kern w:val="2"/>
                      <w:sz w:val="21"/>
                      <w:szCs w:val="24"/>
                      <w:highlight w:val="none"/>
                      <w:lang w:val="en-US" w:eastAsia="zh-CN"/>
                    </w:rPr>
                    <w:t>2500</w:t>
                  </w:r>
                </w:p>
              </w:tc>
              <w:tc>
                <w:tcPr>
                  <w:tcW w:w="689" w:type="dxa"/>
                  <w:tcBorders>
                    <w:tl2br w:val="nil"/>
                    <w:tr2bl w:val="nil"/>
                  </w:tcBorders>
                  <w:noWrap w:val="0"/>
                  <w:vAlign w:val="center"/>
                </w:tcPr>
                <w:p w14:paraId="0D85E238">
                  <w:pPr>
                    <w:keepNext w:val="0"/>
                    <w:keepLines w:val="0"/>
                    <w:pageBreakBefore w:val="0"/>
                    <w:widowControl w:val="0"/>
                    <w:kinsoku/>
                    <w:wordWrap/>
                    <w:overflowPunct/>
                    <w:topLinePunct w:val="0"/>
                    <w:autoSpaceDE/>
                    <w:autoSpaceDN/>
                    <w:bidi w:val="0"/>
                    <w:adjustRightInd/>
                    <w:snapToGrid/>
                    <w:spacing w:before="0" w:after="0" w:line="30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highlight w:val="magenta"/>
                      <w:lang w:val="en-US" w:eastAsia="zh-CN"/>
                    </w:rPr>
                  </w:pPr>
                  <w:r>
                    <w:rPr>
                      <w:rFonts w:hint="default" w:ascii="Times New Roman" w:hAnsi="Times New Roman" w:eastAsia="宋体" w:cs="Times New Roman"/>
                      <w:color w:val="0000FF"/>
                      <w:kern w:val="2"/>
                      <w:sz w:val="21"/>
                      <w:szCs w:val="24"/>
                      <w:lang w:val="en-US" w:eastAsia="zh-CN"/>
                    </w:rPr>
                    <w:t>20</w:t>
                  </w:r>
                </w:p>
              </w:tc>
              <w:tc>
                <w:tcPr>
                  <w:tcW w:w="765" w:type="dxa"/>
                  <w:tcBorders>
                    <w:tl2br w:val="nil"/>
                    <w:tr2bl w:val="nil"/>
                  </w:tcBorders>
                  <w:noWrap w:val="0"/>
                  <w:vAlign w:val="center"/>
                </w:tcPr>
                <w:p w14:paraId="38BB0FBA">
                  <w:pPr>
                    <w:keepNext w:val="0"/>
                    <w:keepLines w:val="0"/>
                    <w:pageBreakBefore w:val="0"/>
                    <w:widowControl w:val="0"/>
                    <w:kinsoku/>
                    <w:wordWrap/>
                    <w:overflowPunct/>
                    <w:topLinePunct w:val="0"/>
                    <w:autoSpaceDE/>
                    <w:autoSpaceDN/>
                    <w:bidi w:val="0"/>
                    <w:adjustRightInd/>
                    <w:snapToGrid/>
                    <w:spacing w:before="0" w:after="0" w:line="30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highlight w:val="magenta"/>
                      <w:lang w:val="en-US" w:eastAsia="zh-CN"/>
                    </w:rPr>
                  </w:pPr>
                  <w:r>
                    <w:rPr>
                      <w:rFonts w:hint="default" w:ascii="Times New Roman" w:hAnsi="Times New Roman" w:eastAsia="宋体" w:cs="Times New Roman"/>
                      <w:bCs w:val="0"/>
                      <w:color w:val="0000FF"/>
                      <w:spacing w:val="0"/>
                      <w:kern w:val="2"/>
                      <w:sz w:val="21"/>
                      <w:szCs w:val="21"/>
                      <w:lang w:val="en-US" w:eastAsia="zh-CN"/>
                    </w:rPr>
                    <w:t>4380</w:t>
                  </w:r>
                </w:p>
              </w:tc>
              <w:tc>
                <w:tcPr>
                  <w:tcW w:w="984" w:type="dxa"/>
                  <w:tcBorders>
                    <w:tl2br w:val="nil"/>
                    <w:tr2bl w:val="nil"/>
                  </w:tcBorders>
                  <w:noWrap w:val="0"/>
                  <w:vAlign w:val="center"/>
                </w:tcPr>
                <w:p w14:paraId="5D83342F">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highlight w:val="none"/>
                      <w:lang w:val="en-US" w:eastAsia="zh-CN"/>
                    </w:rPr>
                  </w:pPr>
                  <w:r>
                    <w:rPr>
                      <w:rFonts w:hint="default" w:ascii="Times New Roman" w:hAnsi="Times New Roman" w:eastAsia="宋体" w:cs="Times New Roman"/>
                      <w:color w:val="0000FF"/>
                      <w:kern w:val="2"/>
                      <w:sz w:val="21"/>
                      <w:szCs w:val="24"/>
                      <w:highlight w:val="none"/>
                      <w:lang w:val="en-US" w:eastAsia="zh-CN"/>
                    </w:rPr>
                    <w:t>正常</w:t>
                  </w:r>
                </w:p>
              </w:tc>
              <w:tc>
                <w:tcPr>
                  <w:tcW w:w="649" w:type="dxa"/>
                  <w:tcBorders>
                    <w:tl2br w:val="nil"/>
                    <w:tr2bl w:val="nil"/>
                  </w:tcBorders>
                  <w:noWrap w:val="0"/>
                  <w:vAlign w:val="center"/>
                </w:tcPr>
                <w:p w14:paraId="54F0D2A7">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highlight w:val="none"/>
                      <w:lang w:val="en-US" w:eastAsia="zh-CN" w:bidi="ar-SA"/>
                    </w:rPr>
                  </w:pPr>
                  <w:r>
                    <w:rPr>
                      <w:rFonts w:hint="default" w:ascii="Times New Roman" w:hAnsi="Times New Roman" w:eastAsia="宋体" w:cs="Times New Roman"/>
                      <w:color w:val="0000FF"/>
                      <w:kern w:val="2"/>
                      <w:sz w:val="21"/>
                      <w:szCs w:val="24"/>
                      <w:highlight w:val="none"/>
                      <w:lang w:val="en-US" w:eastAsia="zh-CN"/>
                    </w:rPr>
                    <w:t>颗粒物</w:t>
                  </w:r>
                </w:p>
              </w:tc>
              <w:tc>
                <w:tcPr>
                  <w:tcW w:w="650" w:type="dxa"/>
                  <w:tcBorders>
                    <w:tl2br w:val="nil"/>
                    <w:tr2bl w:val="nil"/>
                  </w:tcBorders>
                  <w:noWrap w:val="0"/>
                  <w:vAlign w:val="center"/>
                </w:tcPr>
                <w:p w14:paraId="357C4927">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szCs w:val="21"/>
                      <w:highlight w:val="none"/>
                      <w:lang w:val="en-US" w:eastAsia="zh-CN"/>
                    </w:rPr>
                  </w:pPr>
                  <w:r>
                    <w:rPr>
                      <w:rFonts w:hint="default" w:ascii="Times New Roman" w:hAnsi="Times New Roman" w:eastAsia="宋体" w:cs="Times New Roman"/>
                      <w:i w:val="0"/>
                      <w:iCs w:val="0"/>
                      <w:color w:val="0000FF"/>
                      <w:kern w:val="0"/>
                      <w:sz w:val="21"/>
                      <w:szCs w:val="21"/>
                      <w:highlight w:val="none"/>
                      <w:u w:val="none"/>
                      <w:lang w:val="en-US" w:eastAsia="zh-CN" w:bidi="ar"/>
                    </w:rPr>
                    <w:t>0.0304</w:t>
                  </w:r>
                </w:p>
              </w:tc>
            </w:tr>
            <w:tr w14:paraId="085881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504" w:type="dxa"/>
                  <w:gridSpan w:val="15"/>
                  <w:tcBorders>
                    <w:tl2br w:val="nil"/>
                    <w:tr2bl w:val="nil"/>
                  </w:tcBorders>
                  <w:noWrap w:val="0"/>
                  <w:vAlign w:val="center"/>
                </w:tcPr>
                <w:p w14:paraId="769337D2">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面源污染物计算参数选取表</w:t>
                  </w:r>
                </w:p>
              </w:tc>
            </w:tr>
            <w:tr w14:paraId="46A3EA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0" w:type="dxa"/>
                  <w:vMerge w:val="restart"/>
                  <w:tcBorders>
                    <w:tl2br w:val="nil"/>
                    <w:tr2bl w:val="nil"/>
                  </w:tcBorders>
                  <w:noWrap w:val="0"/>
                  <w:vAlign w:val="center"/>
                </w:tcPr>
                <w:p w14:paraId="0399E31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编号</w:t>
                  </w:r>
                </w:p>
              </w:tc>
              <w:tc>
                <w:tcPr>
                  <w:tcW w:w="1013" w:type="dxa"/>
                  <w:gridSpan w:val="2"/>
                  <w:vMerge w:val="restart"/>
                  <w:tcBorders>
                    <w:tl2br w:val="nil"/>
                    <w:tr2bl w:val="nil"/>
                  </w:tcBorders>
                  <w:noWrap w:val="0"/>
                  <w:vAlign w:val="center"/>
                </w:tcPr>
                <w:p w14:paraId="53503ED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名称</w:t>
                  </w:r>
                </w:p>
              </w:tc>
              <w:tc>
                <w:tcPr>
                  <w:tcW w:w="882" w:type="dxa"/>
                  <w:gridSpan w:val="3"/>
                  <w:tcBorders>
                    <w:tl2br w:val="nil"/>
                    <w:tr2bl w:val="nil"/>
                  </w:tcBorders>
                  <w:noWrap w:val="0"/>
                  <w:vAlign w:val="center"/>
                </w:tcPr>
                <w:p w14:paraId="5E9FF465">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面源起点坐标/m</w:t>
                  </w:r>
                </w:p>
              </w:tc>
              <w:tc>
                <w:tcPr>
                  <w:tcW w:w="731" w:type="dxa"/>
                  <w:vMerge w:val="restart"/>
                  <w:tcBorders>
                    <w:tl2br w:val="nil"/>
                    <w:tr2bl w:val="nil"/>
                  </w:tcBorders>
                  <w:noWrap w:val="0"/>
                  <w:vAlign w:val="center"/>
                </w:tcPr>
                <w:p w14:paraId="506EACB8">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面源海拔高度/m</w:t>
                  </w:r>
                </w:p>
              </w:tc>
              <w:tc>
                <w:tcPr>
                  <w:tcW w:w="778" w:type="dxa"/>
                  <w:vMerge w:val="restart"/>
                  <w:tcBorders>
                    <w:tl2br w:val="nil"/>
                    <w:tr2bl w:val="nil"/>
                  </w:tcBorders>
                  <w:noWrap w:val="0"/>
                  <w:vAlign w:val="center"/>
                </w:tcPr>
                <w:p w14:paraId="03E75ACB">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面源宽度/m</w:t>
                  </w:r>
                </w:p>
              </w:tc>
              <w:tc>
                <w:tcPr>
                  <w:tcW w:w="773" w:type="dxa"/>
                  <w:gridSpan w:val="2"/>
                  <w:vMerge w:val="restart"/>
                  <w:tcBorders>
                    <w:tl2br w:val="nil"/>
                    <w:tr2bl w:val="nil"/>
                  </w:tcBorders>
                  <w:noWrap w:val="0"/>
                  <w:vAlign w:val="center"/>
                </w:tcPr>
                <w:p w14:paraId="111F75DA">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面源长度/m</w:t>
                  </w:r>
                </w:p>
              </w:tc>
              <w:tc>
                <w:tcPr>
                  <w:tcW w:w="689" w:type="dxa"/>
                  <w:vMerge w:val="restart"/>
                  <w:tcBorders>
                    <w:tl2br w:val="nil"/>
                    <w:tr2bl w:val="nil"/>
                  </w:tcBorders>
                  <w:noWrap w:val="0"/>
                  <w:vAlign w:val="center"/>
                </w:tcPr>
                <w:p w14:paraId="57A0C561">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与正北向夹角/（°）</w:t>
                  </w:r>
                </w:p>
              </w:tc>
              <w:tc>
                <w:tcPr>
                  <w:tcW w:w="765" w:type="dxa"/>
                  <w:vMerge w:val="restart"/>
                  <w:tcBorders>
                    <w:tl2br w:val="nil"/>
                    <w:tr2bl w:val="nil"/>
                  </w:tcBorders>
                  <w:noWrap w:val="0"/>
                  <w:vAlign w:val="center"/>
                </w:tcPr>
                <w:p w14:paraId="14CB9A7B">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面源有效排放高度/m</w:t>
                  </w:r>
                </w:p>
              </w:tc>
              <w:tc>
                <w:tcPr>
                  <w:tcW w:w="984" w:type="dxa"/>
                  <w:vMerge w:val="restart"/>
                  <w:tcBorders>
                    <w:tl2br w:val="nil"/>
                    <w:tr2bl w:val="nil"/>
                  </w:tcBorders>
                  <w:noWrap w:val="0"/>
                  <w:vAlign w:val="center"/>
                </w:tcPr>
                <w:p w14:paraId="2313EDF6">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年排放小时数/h</w:t>
                  </w:r>
                </w:p>
              </w:tc>
              <w:tc>
                <w:tcPr>
                  <w:tcW w:w="649" w:type="dxa"/>
                  <w:vMerge w:val="restart"/>
                  <w:tcBorders>
                    <w:tl2br w:val="nil"/>
                    <w:tr2bl w:val="nil"/>
                  </w:tcBorders>
                  <w:noWrap w:val="0"/>
                  <w:vAlign w:val="center"/>
                </w:tcPr>
                <w:p w14:paraId="64A62F08">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排放工况</w:t>
                  </w:r>
                </w:p>
              </w:tc>
              <w:tc>
                <w:tcPr>
                  <w:tcW w:w="650" w:type="dxa"/>
                  <w:vMerge w:val="restart"/>
                  <w:tcBorders>
                    <w:tl2br w:val="nil"/>
                    <w:tr2bl w:val="nil"/>
                  </w:tcBorders>
                  <w:noWrap w:val="0"/>
                  <w:vAlign w:val="center"/>
                </w:tcPr>
                <w:p w14:paraId="4BA39052">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污染排放量（kg/h）</w:t>
                  </w:r>
                </w:p>
              </w:tc>
            </w:tr>
            <w:tr w14:paraId="2AF976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0" w:type="dxa"/>
                  <w:vMerge w:val="continue"/>
                  <w:tcBorders>
                    <w:tl2br w:val="nil"/>
                    <w:tr2bl w:val="nil"/>
                  </w:tcBorders>
                  <w:noWrap w:val="0"/>
                  <w:vAlign w:val="center"/>
                </w:tcPr>
                <w:p w14:paraId="44C4C12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1013" w:type="dxa"/>
                  <w:gridSpan w:val="2"/>
                  <w:vMerge w:val="continue"/>
                  <w:tcBorders>
                    <w:tl2br w:val="nil"/>
                    <w:tr2bl w:val="nil"/>
                  </w:tcBorders>
                  <w:noWrap w:val="0"/>
                  <w:vAlign w:val="center"/>
                </w:tcPr>
                <w:p w14:paraId="1DBE398C">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435" w:type="dxa"/>
                  <w:gridSpan w:val="2"/>
                  <w:tcBorders>
                    <w:tl2br w:val="nil"/>
                    <w:tr2bl w:val="nil"/>
                  </w:tcBorders>
                  <w:noWrap w:val="0"/>
                  <w:vAlign w:val="center"/>
                </w:tcPr>
                <w:p w14:paraId="3DB7C82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X</w:t>
                  </w:r>
                </w:p>
              </w:tc>
              <w:tc>
                <w:tcPr>
                  <w:tcW w:w="447" w:type="dxa"/>
                  <w:tcBorders>
                    <w:tl2br w:val="nil"/>
                    <w:tr2bl w:val="nil"/>
                  </w:tcBorders>
                  <w:noWrap w:val="0"/>
                  <w:vAlign w:val="center"/>
                </w:tcPr>
                <w:p w14:paraId="528B92A5">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Y</w:t>
                  </w:r>
                </w:p>
              </w:tc>
              <w:tc>
                <w:tcPr>
                  <w:tcW w:w="731" w:type="dxa"/>
                  <w:vMerge w:val="continue"/>
                  <w:tcBorders>
                    <w:tl2br w:val="nil"/>
                    <w:tr2bl w:val="nil"/>
                  </w:tcBorders>
                  <w:noWrap w:val="0"/>
                  <w:vAlign w:val="center"/>
                </w:tcPr>
                <w:p w14:paraId="32015606">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778" w:type="dxa"/>
                  <w:vMerge w:val="continue"/>
                  <w:tcBorders>
                    <w:tl2br w:val="nil"/>
                    <w:tr2bl w:val="nil"/>
                  </w:tcBorders>
                  <w:noWrap w:val="0"/>
                  <w:vAlign w:val="center"/>
                </w:tcPr>
                <w:p w14:paraId="5ED69872">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773" w:type="dxa"/>
                  <w:gridSpan w:val="2"/>
                  <w:vMerge w:val="continue"/>
                  <w:tcBorders>
                    <w:tl2br w:val="nil"/>
                    <w:tr2bl w:val="nil"/>
                  </w:tcBorders>
                  <w:noWrap w:val="0"/>
                  <w:vAlign w:val="center"/>
                </w:tcPr>
                <w:p w14:paraId="5DD6D142">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689" w:type="dxa"/>
                  <w:vMerge w:val="continue"/>
                  <w:tcBorders>
                    <w:tl2br w:val="nil"/>
                    <w:tr2bl w:val="nil"/>
                  </w:tcBorders>
                  <w:noWrap w:val="0"/>
                  <w:vAlign w:val="center"/>
                </w:tcPr>
                <w:p w14:paraId="78F8FFA0">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765" w:type="dxa"/>
                  <w:vMerge w:val="continue"/>
                  <w:tcBorders>
                    <w:tl2br w:val="nil"/>
                    <w:tr2bl w:val="nil"/>
                  </w:tcBorders>
                  <w:noWrap w:val="0"/>
                  <w:vAlign w:val="center"/>
                </w:tcPr>
                <w:p w14:paraId="3A83D247">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984" w:type="dxa"/>
                  <w:vMerge w:val="continue"/>
                  <w:tcBorders>
                    <w:tl2br w:val="nil"/>
                    <w:tr2bl w:val="nil"/>
                  </w:tcBorders>
                  <w:noWrap w:val="0"/>
                  <w:vAlign w:val="center"/>
                </w:tcPr>
                <w:p w14:paraId="59C6366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649" w:type="dxa"/>
                  <w:vMerge w:val="continue"/>
                  <w:tcBorders>
                    <w:tl2br w:val="nil"/>
                    <w:tr2bl w:val="nil"/>
                  </w:tcBorders>
                  <w:noWrap w:val="0"/>
                  <w:vAlign w:val="center"/>
                </w:tcPr>
                <w:p w14:paraId="4656FC81">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c>
                <w:tcPr>
                  <w:tcW w:w="650" w:type="dxa"/>
                  <w:vMerge w:val="continue"/>
                  <w:tcBorders>
                    <w:tl2br w:val="nil"/>
                    <w:tr2bl w:val="nil"/>
                  </w:tcBorders>
                  <w:noWrap w:val="0"/>
                  <w:vAlign w:val="center"/>
                </w:tcPr>
                <w:p w14:paraId="053EB0FA">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p>
              </w:tc>
            </w:tr>
            <w:tr w14:paraId="616994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0" w:type="dxa"/>
                  <w:tcBorders>
                    <w:tl2br w:val="nil"/>
                    <w:tr2bl w:val="nil"/>
                  </w:tcBorders>
                  <w:noWrap w:val="0"/>
                  <w:vAlign w:val="center"/>
                </w:tcPr>
                <w:p w14:paraId="3A969E5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1</w:t>
                  </w:r>
                </w:p>
              </w:tc>
              <w:tc>
                <w:tcPr>
                  <w:tcW w:w="1013" w:type="dxa"/>
                  <w:gridSpan w:val="2"/>
                  <w:tcBorders>
                    <w:tl2br w:val="nil"/>
                    <w:tr2bl w:val="nil"/>
                  </w:tcBorders>
                  <w:noWrap w:val="0"/>
                  <w:vAlign w:val="center"/>
                </w:tcPr>
                <w:p w14:paraId="39CC1105">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颗粒物（厂界）</w:t>
                  </w:r>
                </w:p>
              </w:tc>
              <w:tc>
                <w:tcPr>
                  <w:tcW w:w="435" w:type="dxa"/>
                  <w:gridSpan w:val="2"/>
                  <w:tcBorders>
                    <w:tl2br w:val="nil"/>
                    <w:tr2bl w:val="nil"/>
                  </w:tcBorders>
                  <w:noWrap w:val="0"/>
                  <w:vAlign w:val="center"/>
                </w:tcPr>
                <w:p w14:paraId="334D78F2">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50</w:t>
                  </w:r>
                </w:p>
              </w:tc>
              <w:tc>
                <w:tcPr>
                  <w:tcW w:w="447" w:type="dxa"/>
                  <w:tcBorders>
                    <w:tl2br w:val="nil"/>
                    <w:tr2bl w:val="nil"/>
                  </w:tcBorders>
                  <w:noWrap w:val="0"/>
                  <w:vAlign w:val="center"/>
                </w:tcPr>
                <w:p w14:paraId="013BEA6C">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50</w:t>
                  </w:r>
                </w:p>
              </w:tc>
              <w:tc>
                <w:tcPr>
                  <w:tcW w:w="731" w:type="dxa"/>
                  <w:tcBorders>
                    <w:tl2br w:val="nil"/>
                    <w:tr2bl w:val="nil"/>
                  </w:tcBorders>
                  <w:noWrap w:val="0"/>
                  <w:vAlign w:val="center"/>
                </w:tcPr>
                <w:p w14:paraId="1FA2548C">
                  <w:pPr>
                    <w:keepNext w:val="0"/>
                    <w:keepLines w:val="0"/>
                    <w:pageBreakBefore w:val="0"/>
                    <w:widowControl w:val="0"/>
                    <w:kinsoku/>
                    <w:wordWrap/>
                    <w:overflowPunct w:val="0"/>
                    <w:topLinePunct w:val="0"/>
                    <w:autoSpaceDE w:val="0"/>
                    <w:autoSpaceDN w:val="0"/>
                    <w:bidi w:val="0"/>
                    <w:adjustRightInd w:val="0"/>
                    <w:snapToGrid w:val="0"/>
                    <w:ind w:left="0" w:leftChars="0" w:firstLine="0" w:firstLineChars="0"/>
                    <w:jc w:val="center"/>
                    <w:textAlignment w:val="baseline"/>
                    <w:rPr>
                      <w:rFonts w:hint="default" w:ascii="Times New Roman" w:hAnsi="Times New Roman" w:eastAsia="宋体" w:cs="Times New Roman"/>
                      <w:color w:val="0000FF"/>
                      <w:lang w:val="en-US" w:eastAsia="zh-CN"/>
                    </w:rPr>
                  </w:pPr>
                  <w:r>
                    <w:rPr>
                      <w:rFonts w:hint="default" w:ascii="Times New Roman" w:hAnsi="Times New Roman" w:eastAsia="宋体" w:cs="Times New Roman"/>
                      <w:bCs w:val="0"/>
                      <w:color w:val="0000FF"/>
                      <w:spacing w:val="0"/>
                      <w:kern w:val="2"/>
                      <w:sz w:val="21"/>
                      <w:szCs w:val="21"/>
                      <w:lang w:val="en-US" w:eastAsia="zh-CN" w:bidi="ar-SA"/>
                    </w:rPr>
                    <w:t>441</w:t>
                  </w:r>
                </w:p>
              </w:tc>
              <w:tc>
                <w:tcPr>
                  <w:tcW w:w="778" w:type="dxa"/>
                  <w:tcBorders>
                    <w:tl2br w:val="nil"/>
                    <w:tr2bl w:val="nil"/>
                  </w:tcBorders>
                  <w:noWrap w:val="0"/>
                  <w:vAlign w:val="center"/>
                </w:tcPr>
                <w:p w14:paraId="16222FB8">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highlight w:val="none"/>
                      <w:lang w:val="en-US" w:eastAsia="zh-CN" w:bidi="ar-SA"/>
                    </w:rPr>
                    <w:t>91.07</w:t>
                  </w:r>
                </w:p>
              </w:tc>
              <w:tc>
                <w:tcPr>
                  <w:tcW w:w="773" w:type="dxa"/>
                  <w:gridSpan w:val="2"/>
                  <w:tcBorders>
                    <w:tl2br w:val="nil"/>
                    <w:tr2bl w:val="nil"/>
                  </w:tcBorders>
                  <w:noWrap w:val="0"/>
                  <w:vAlign w:val="center"/>
                </w:tcPr>
                <w:p w14:paraId="63A6478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highlight w:val="none"/>
                      <w:lang w:val="en-US" w:eastAsia="zh-CN" w:bidi="ar-SA"/>
                    </w:rPr>
                    <w:t>108.5</w:t>
                  </w:r>
                </w:p>
              </w:tc>
              <w:tc>
                <w:tcPr>
                  <w:tcW w:w="689" w:type="dxa"/>
                  <w:tcBorders>
                    <w:tl2br w:val="nil"/>
                    <w:tr2bl w:val="nil"/>
                  </w:tcBorders>
                  <w:noWrap w:val="0"/>
                  <w:vAlign w:val="center"/>
                </w:tcPr>
                <w:p w14:paraId="17E4E589">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-15</w:t>
                  </w:r>
                </w:p>
              </w:tc>
              <w:tc>
                <w:tcPr>
                  <w:tcW w:w="765" w:type="dxa"/>
                  <w:tcBorders>
                    <w:tl2br w:val="nil"/>
                    <w:tr2bl w:val="nil"/>
                  </w:tcBorders>
                  <w:noWrap w:val="0"/>
                  <w:vAlign w:val="center"/>
                </w:tcPr>
                <w:p w14:paraId="36CEB6DD">
                  <w:pPr>
                    <w:keepNext w:val="0"/>
                    <w:keepLines w:val="0"/>
                    <w:pageBreakBefore w:val="0"/>
                    <w:widowControl w:val="0"/>
                    <w:kinsoku/>
                    <w:wordWrap/>
                    <w:overflowPunct w:val="0"/>
                    <w:topLinePunct w:val="0"/>
                    <w:autoSpaceDE w:val="0"/>
                    <w:autoSpaceDN w:val="0"/>
                    <w:bidi w:val="0"/>
                    <w:adjustRightInd w:val="0"/>
                    <w:snapToGrid w:val="0"/>
                    <w:ind w:left="0" w:leftChars="0" w:firstLine="0" w:firstLineChars="0"/>
                    <w:jc w:val="center"/>
                    <w:textAlignment w:val="baseline"/>
                    <w:rPr>
                      <w:rFonts w:hint="default" w:ascii="Times New Roman" w:hAnsi="Times New Roman" w:eastAsia="宋体" w:cs="Times New Roman"/>
                      <w:color w:val="0000FF"/>
                      <w:lang w:val="en-US" w:eastAsia="zh-CN"/>
                    </w:rPr>
                  </w:pPr>
                  <w:r>
                    <w:rPr>
                      <w:rFonts w:hint="default" w:ascii="Times New Roman" w:hAnsi="Times New Roman" w:eastAsia="宋体" w:cs="Times New Roman"/>
                      <w:bCs w:val="0"/>
                      <w:color w:val="0000FF"/>
                      <w:spacing w:val="0"/>
                      <w:kern w:val="2"/>
                      <w:sz w:val="21"/>
                      <w:szCs w:val="21"/>
                      <w:lang w:val="en-US" w:eastAsia="zh-CN" w:bidi="ar-SA"/>
                    </w:rPr>
                    <w:t>8</w:t>
                  </w:r>
                </w:p>
              </w:tc>
              <w:tc>
                <w:tcPr>
                  <w:tcW w:w="984" w:type="dxa"/>
                  <w:tcBorders>
                    <w:tl2br w:val="nil"/>
                    <w:tr2bl w:val="nil"/>
                  </w:tcBorders>
                  <w:noWrap w:val="0"/>
                  <w:vAlign w:val="center"/>
                </w:tcPr>
                <w:p w14:paraId="7F2A1A62">
                  <w:pPr>
                    <w:keepNext w:val="0"/>
                    <w:keepLines w:val="0"/>
                    <w:pageBreakBefore w:val="0"/>
                    <w:widowControl w:val="0"/>
                    <w:kinsoku/>
                    <w:wordWrap/>
                    <w:overflowPunct w:val="0"/>
                    <w:topLinePunct w:val="0"/>
                    <w:autoSpaceDE w:val="0"/>
                    <w:autoSpaceDN w:val="0"/>
                    <w:bidi w:val="0"/>
                    <w:adjustRightInd w:val="0"/>
                    <w:snapToGrid w:val="0"/>
                    <w:jc w:val="center"/>
                    <w:textAlignment w:val="baseline"/>
                    <w:rPr>
                      <w:rFonts w:hint="default" w:ascii="Times New Roman" w:hAnsi="Times New Roman" w:eastAsia="宋体" w:cs="Times New Roman"/>
                      <w:color w:val="0000FF"/>
                      <w:lang w:val="en-US" w:eastAsia="zh-CN"/>
                    </w:rPr>
                  </w:pPr>
                  <w:r>
                    <w:rPr>
                      <w:rFonts w:hint="default" w:ascii="Times New Roman" w:hAnsi="Times New Roman" w:eastAsia="宋体" w:cs="Times New Roman"/>
                      <w:bCs w:val="0"/>
                      <w:color w:val="0000FF"/>
                      <w:spacing w:val="0"/>
                      <w:kern w:val="2"/>
                      <w:sz w:val="21"/>
                      <w:szCs w:val="21"/>
                      <w:lang w:val="en-US" w:eastAsia="zh-CN"/>
                    </w:rPr>
                    <w:t>8760</w:t>
                  </w:r>
                </w:p>
              </w:tc>
              <w:tc>
                <w:tcPr>
                  <w:tcW w:w="649" w:type="dxa"/>
                  <w:tcBorders>
                    <w:tl2br w:val="nil"/>
                    <w:tr2bl w:val="nil"/>
                  </w:tcBorders>
                  <w:noWrap w:val="0"/>
                  <w:vAlign w:val="center"/>
                </w:tcPr>
                <w:p w14:paraId="660EC768">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sz w:val="21"/>
                      <w:szCs w:val="21"/>
                      <w:lang w:val="en-US" w:eastAsia="zh-CN"/>
                    </w:rPr>
                    <w:t>连续</w:t>
                  </w:r>
                </w:p>
              </w:tc>
              <w:tc>
                <w:tcPr>
                  <w:tcW w:w="650" w:type="dxa"/>
                  <w:tcBorders>
                    <w:tl2br w:val="nil"/>
                    <w:tr2bl w:val="nil"/>
                  </w:tcBorders>
                  <w:noWrap w:val="0"/>
                  <w:vAlign w:val="center"/>
                </w:tcPr>
                <w:p w14:paraId="613E0B4D">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lang w:val="en-US" w:eastAsia="zh-CN"/>
                    </w:rPr>
                  </w:pPr>
                  <w:r>
                    <w:rPr>
                      <w:rFonts w:hint="eastAsia" w:ascii="Times New Roman" w:hAnsi="Times New Roman" w:eastAsia="宋体" w:cs="Times New Roman"/>
                      <w:color w:val="0000FF"/>
                      <w:sz w:val="21"/>
                      <w:szCs w:val="21"/>
                      <w:lang w:val="en-US" w:eastAsia="zh-CN"/>
                    </w:rPr>
                    <w:t>0.2978</w:t>
                  </w:r>
                </w:p>
              </w:tc>
            </w:tr>
            <w:tr w14:paraId="3F8DC5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0" w:type="dxa"/>
                  <w:tcBorders>
                    <w:tl2br w:val="nil"/>
                    <w:tr2bl w:val="nil"/>
                  </w:tcBorders>
                  <w:noWrap w:val="0"/>
                  <w:vAlign w:val="center"/>
                </w:tcPr>
                <w:p w14:paraId="6124B6C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2</w:t>
                  </w:r>
                </w:p>
              </w:tc>
              <w:tc>
                <w:tcPr>
                  <w:tcW w:w="1013" w:type="dxa"/>
                  <w:gridSpan w:val="2"/>
                  <w:tcBorders>
                    <w:tl2br w:val="nil"/>
                    <w:tr2bl w:val="nil"/>
                  </w:tcBorders>
                  <w:noWrap w:val="0"/>
                  <w:vAlign w:val="center"/>
                </w:tcPr>
                <w:p w14:paraId="26FA01AE">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氨</w:t>
                  </w:r>
                  <w:r>
                    <w:rPr>
                      <w:rFonts w:hint="default" w:ascii="Times New Roman" w:hAnsi="Times New Roman" w:eastAsia="宋体" w:cs="Times New Roman"/>
                      <w:color w:val="0000FF"/>
                      <w:sz w:val="21"/>
                      <w:szCs w:val="21"/>
                      <w:lang w:val="en-US" w:eastAsia="zh-CN"/>
                    </w:rPr>
                    <w:t>（厂界）</w:t>
                  </w:r>
                </w:p>
              </w:tc>
              <w:tc>
                <w:tcPr>
                  <w:tcW w:w="435" w:type="dxa"/>
                  <w:gridSpan w:val="2"/>
                  <w:tcBorders>
                    <w:tl2br w:val="nil"/>
                    <w:tr2bl w:val="nil"/>
                  </w:tcBorders>
                  <w:noWrap w:val="0"/>
                  <w:vAlign w:val="center"/>
                </w:tcPr>
                <w:p w14:paraId="6776708F">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50</w:t>
                  </w:r>
                </w:p>
              </w:tc>
              <w:tc>
                <w:tcPr>
                  <w:tcW w:w="447" w:type="dxa"/>
                  <w:tcBorders>
                    <w:tl2br w:val="nil"/>
                    <w:tr2bl w:val="nil"/>
                  </w:tcBorders>
                  <w:noWrap w:val="0"/>
                  <w:vAlign w:val="center"/>
                </w:tcPr>
                <w:p w14:paraId="7EEAC5C3">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50</w:t>
                  </w:r>
                </w:p>
              </w:tc>
              <w:tc>
                <w:tcPr>
                  <w:tcW w:w="731" w:type="dxa"/>
                  <w:tcBorders>
                    <w:tl2br w:val="nil"/>
                    <w:tr2bl w:val="nil"/>
                  </w:tcBorders>
                  <w:noWrap w:val="0"/>
                  <w:vAlign w:val="center"/>
                </w:tcPr>
                <w:p w14:paraId="0408C00F">
                  <w:pPr>
                    <w:keepNext w:val="0"/>
                    <w:keepLines w:val="0"/>
                    <w:pageBreakBefore w:val="0"/>
                    <w:widowControl w:val="0"/>
                    <w:kinsoku/>
                    <w:wordWrap/>
                    <w:overflowPunct w:val="0"/>
                    <w:topLinePunct w:val="0"/>
                    <w:autoSpaceDE w:val="0"/>
                    <w:autoSpaceDN w:val="0"/>
                    <w:bidi w:val="0"/>
                    <w:adjustRightInd w:val="0"/>
                    <w:snapToGrid w:val="0"/>
                    <w:ind w:left="0" w:leftChars="0" w:firstLine="0" w:firstLineChars="0"/>
                    <w:jc w:val="center"/>
                    <w:textAlignment w:val="baseline"/>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bCs w:val="0"/>
                      <w:color w:val="0000FF"/>
                      <w:spacing w:val="0"/>
                      <w:kern w:val="2"/>
                      <w:sz w:val="21"/>
                      <w:szCs w:val="21"/>
                      <w:lang w:val="en-US" w:eastAsia="zh-CN" w:bidi="ar-SA"/>
                    </w:rPr>
                    <w:t>441</w:t>
                  </w:r>
                </w:p>
              </w:tc>
              <w:tc>
                <w:tcPr>
                  <w:tcW w:w="778" w:type="dxa"/>
                  <w:tcBorders>
                    <w:tl2br w:val="nil"/>
                    <w:tr2bl w:val="nil"/>
                  </w:tcBorders>
                  <w:noWrap w:val="0"/>
                  <w:vAlign w:val="center"/>
                </w:tcPr>
                <w:p w14:paraId="7AA2B6DD">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highlight w:val="none"/>
                      <w:lang w:val="en-US" w:eastAsia="zh-CN" w:bidi="ar-SA"/>
                    </w:rPr>
                    <w:t>91.07</w:t>
                  </w:r>
                </w:p>
              </w:tc>
              <w:tc>
                <w:tcPr>
                  <w:tcW w:w="773" w:type="dxa"/>
                  <w:gridSpan w:val="2"/>
                  <w:tcBorders>
                    <w:tl2br w:val="nil"/>
                    <w:tr2bl w:val="nil"/>
                  </w:tcBorders>
                  <w:noWrap w:val="0"/>
                  <w:vAlign w:val="center"/>
                </w:tcPr>
                <w:p w14:paraId="6A85FE3C">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highlight w:val="none"/>
                      <w:lang w:val="en-US" w:eastAsia="zh-CN" w:bidi="ar-SA"/>
                    </w:rPr>
                    <w:t>108.5</w:t>
                  </w:r>
                </w:p>
              </w:tc>
              <w:tc>
                <w:tcPr>
                  <w:tcW w:w="689" w:type="dxa"/>
                  <w:tcBorders>
                    <w:tl2br w:val="nil"/>
                    <w:tr2bl w:val="nil"/>
                  </w:tcBorders>
                  <w:noWrap w:val="0"/>
                  <w:vAlign w:val="center"/>
                </w:tcPr>
                <w:p w14:paraId="20427768">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1"/>
                      <w:lang w:val="en-US" w:eastAsia="zh-CN" w:bidi="ar-SA"/>
                    </w:rPr>
                  </w:pPr>
                  <w:r>
                    <w:rPr>
                      <w:rFonts w:hint="default" w:ascii="Times New Roman" w:hAnsi="Times New Roman" w:eastAsia="宋体" w:cs="Times New Roman"/>
                      <w:color w:val="0000FF"/>
                      <w:kern w:val="2"/>
                      <w:sz w:val="21"/>
                      <w:szCs w:val="24"/>
                      <w:lang w:val="en-US" w:eastAsia="zh-CN" w:bidi="ar-SA"/>
                    </w:rPr>
                    <w:t>-15</w:t>
                  </w:r>
                </w:p>
              </w:tc>
              <w:tc>
                <w:tcPr>
                  <w:tcW w:w="765" w:type="dxa"/>
                  <w:tcBorders>
                    <w:tl2br w:val="nil"/>
                    <w:tr2bl w:val="nil"/>
                  </w:tcBorders>
                  <w:noWrap w:val="0"/>
                  <w:vAlign w:val="center"/>
                </w:tcPr>
                <w:p w14:paraId="1D764102">
                  <w:pPr>
                    <w:keepNext w:val="0"/>
                    <w:keepLines w:val="0"/>
                    <w:pageBreakBefore w:val="0"/>
                    <w:widowControl w:val="0"/>
                    <w:kinsoku/>
                    <w:wordWrap/>
                    <w:overflowPunct w:val="0"/>
                    <w:topLinePunct w:val="0"/>
                    <w:autoSpaceDE w:val="0"/>
                    <w:autoSpaceDN w:val="0"/>
                    <w:bidi w:val="0"/>
                    <w:adjustRightInd w:val="0"/>
                    <w:snapToGrid w:val="0"/>
                    <w:ind w:left="0" w:leftChars="0" w:firstLine="0" w:firstLineChars="0"/>
                    <w:jc w:val="center"/>
                    <w:textAlignment w:val="baseline"/>
                    <w:rPr>
                      <w:rFonts w:hint="default" w:ascii="Times New Roman" w:hAnsi="Times New Roman" w:eastAsia="宋体" w:cs="Times New Roman"/>
                      <w:color w:val="0000FF"/>
                      <w:lang w:val="en-US" w:eastAsia="zh-CN"/>
                    </w:rPr>
                  </w:pPr>
                  <w:r>
                    <w:rPr>
                      <w:rFonts w:hint="default" w:ascii="Times New Roman" w:hAnsi="Times New Roman" w:eastAsia="宋体" w:cs="Times New Roman"/>
                      <w:bCs w:val="0"/>
                      <w:color w:val="0000FF"/>
                      <w:spacing w:val="0"/>
                      <w:kern w:val="2"/>
                      <w:sz w:val="21"/>
                      <w:szCs w:val="21"/>
                      <w:lang w:val="en-US" w:eastAsia="zh-CN" w:bidi="ar-SA"/>
                    </w:rPr>
                    <w:t>8</w:t>
                  </w:r>
                </w:p>
              </w:tc>
              <w:tc>
                <w:tcPr>
                  <w:tcW w:w="984" w:type="dxa"/>
                  <w:tcBorders>
                    <w:tl2br w:val="nil"/>
                    <w:tr2bl w:val="nil"/>
                  </w:tcBorders>
                  <w:noWrap w:val="0"/>
                  <w:vAlign w:val="center"/>
                </w:tcPr>
                <w:p w14:paraId="7DAA5B0F">
                  <w:pPr>
                    <w:keepNext w:val="0"/>
                    <w:keepLines w:val="0"/>
                    <w:pageBreakBefore w:val="0"/>
                    <w:widowControl w:val="0"/>
                    <w:kinsoku/>
                    <w:wordWrap/>
                    <w:overflowPunct w:val="0"/>
                    <w:topLinePunct w:val="0"/>
                    <w:autoSpaceDE w:val="0"/>
                    <w:autoSpaceDN w:val="0"/>
                    <w:bidi w:val="0"/>
                    <w:adjustRightInd w:val="0"/>
                    <w:snapToGrid w:val="0"/>
                    <w:jc w:val="center"/>
                    <w:textAlignment w:val="baseline"/>
                    <w:rPr>
                      <w:rFonts w:hint="default" w:ascii="Times New Roman" w:hAnsi="Times New Roman" w:eastAsia="宋体" w:cs="Times New Roman"/>
                      <w:bCs w:val="0"/>
                      <w:color w:val="0000FF"/>
                      <w:spacing w:val="0"/>
                      <w:kern w:val="2"/>
                      <w:sz w:val="21"/>
                      <w:szCs w:val="21"/>
                      <w:lang w:val="en-US" w:eastAsia="zh-CN"/>
                    </w:rPr>
                  </w:pPr>
                  <w:r>
                    <w:rPr>
                      <w:rFonts w:hint="default" w:ascii="Times New Roman" w:hAnsi="Times New Roman" w:eastAsia="宋体" w:cs="Times New Roman"/>
                      <w:bCs w:val="0"/>
                      <w:color w:val="0000FF"/>
                      <w:spacing w:val="0"/>
                      <w:kern w:val="2"/>
                      <w:sz w:val="21"/>
                      <w:szCs w:val="21"/>
                      <w:lang w:val="en-US" w:eastAsia="zh-CN"/>
                    </w:rPr>
                    <w:t>8760</w:t>
                  </w:r>
                </w:p>
              </w:tc>
              <w:tc>
                <w:tcPr>
                  <w:tcW w:w="649" w:type="dxa"/>
                  <w:tcBorders>
                    <w:tl2br w:val="nil"/>
                    <w:tr2bl w:val="nil"/>
                  </w:tcBorders>
                  <w:noWrap w:val="0"/>
                  <w:vAlign w:val="center"/>
                </w:tcPr>
                <w:p w14:paraId="6B95BC8F">
                  <w:pPr>
                    <w:keepNext w:val="0"/>
                    <w:keepLines w:val="0"/>
                    <w:pageBreakBefore w:val="0"/>
                    <w:widowControl w:val="0"/>
                    <w:kinsoku/>
                    <w:wordWrap/>
                    <w:overflowPunct w:val="0"/>
                    <w:topLinePunct w:val="0"/>
                    <w:autoSpaceDE w:val="0"/>
                    <w:autoSpaceDN w:val="0"/>
                    <w:bidi w:val="0"/>
                    <w:adjustRightInd w:val="0"/>
                    <w:snapToGrid w:val="0"/>
                    <w:ind w:left="0" w:leftChars="0" w:firstLine="0" w:firstLineChars="0"/>
                    <w:jc w:val="center"/>
                    <w:textAlignment w:val="baseline"/>
                    <w:rPr>
                      <w:rFonts w:hint="default" w:ascii="Times New Roman" w:hAnsi="Times New Roman" w:eastAsia="宋体" w:cs="Times New Roman"/>
                      <w:color w:val="0000FF"/>
                      <w:lang w:val="en-US" w:eastAsia="zh-CN"/>
                    </w:rPr>
                  </w:pPr>
                  <w:r>
                    <w:rPr>
                      <w:rFonts w:hint="default" w:ascii="Times New Roman" w:hAnsi="Times New Roman" w:eastAsia="宋体" w:cs="Times New Roman"/>
                      <w:bCs w:val="0"/>
                      <w:color w:val="0000FF"/>
                      <w:spacing w:val="0"/>
                      <w:kern w:val="2"/>
                      <w:sz w:val="21"/>
                      <w:szCs w:val="21"/>
                      <w:lang w:val="en-US" w:eastAsia="zh-CN" w:bidi="ar-SA"/>
                    </w:rPr>
                    <w:t>连续</w:t>
                  </w:r>
                </w:p>
              </w:tc>
              <w:tc>
                <w:tcPr>
                  <w:tcW w:w="650" w:type="dxa"/>
                  <w:tcBorders>
                    <w:tl2br w:val="nil"/>
                    <w:tr2bl w:val="nil"/>
                  </w:tcBorders>
                  <w:noWrap w:val="0"/>
                  <w:vAlign w:val="center"/>
                </w:tcPr>
                <w:p w14:paraId="548E18BB">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0.0023</w:t>
                  </w:r>
                </w:p>
              </w:tc>
            </w:tr>
            <w:tr w14:paraId="11B3C2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90" w:type="dxa"/>
                  <w:tcBorders>
                    <w:tl2br w:val="nil"/>
                    <w:tr2bl w:val="nil"/>
                  </w:tcBorders>
                  <w:noWrap w:val="0"/>
                  <w:vAlign w:val="center"/>
                </w:tcPr>
                <w:p w14:paraId="0229307C">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3</w:t>
                  </w:r>
                </w:p>
              </w:tc>
              <w:tc>
                <w:tcPr>
                  <w:tcW w:w="1013" w:type="dxa"/>
                  <w:gridSpan w:val="2"/>
                  <w:tcBorders>
                    <w:tl2br w:val="nil"/>
                    <w:tr2bl w:val="nil"/>
                  </w:tcBorders>
                  <w:noWrap w:val="0"/>
                  <w:vAlign w:val="center"/>
                </w:tcPr>
                <w:p w14:paraId="4F077B52">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硫化氢</w:t>
                  </w:r>
                  <w:r>
                    <w:rPr>
                      <w:rFonts w:hint="default" w:ascii="Times New Roman" w:hAnsi="Times New Roman" w:eastAsia="宋体" w:cs="Times New Roman"/>
                      <w:color w:val="0000FF"/>
                      <w:sz w:val="21"/>
                      <w:szCs w:val="21"/>
                      <w:lang w:val="en-US" w:eastAsia="zh-CN"/>
                    </w:rPr>
                    <w:t>（厂界）</w:t>
                  </w:r>
                </w:p>
              </w:tc>
              <w:tc>
                <w:tcPr>
                  <w:tcW w:w="435" w:type="dxa"/>
                  <w:gridSpan w:val="2"/>
                  <w:tcBorders>
                    <w:tl2br w:val="nil"/>
                    <w:tr2bl w:val="nil"/>
                  </w:tcBorders>
                  <w:noWrap w:val="0"/>
                  <w:vAlign w:val="center"/>
                </w:tcPr>
                <w:p w14:paraId="404EC106">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50</w:t>
                  </w:r>
                </w:p>
              </w:tc>
              <w:tc>
                <w:tcPr>
                  <w:tcW w:w="447" w:type="dxa"/>
                  <w:tcBorders>
                    <w:tl2br w:val="nil"/>
                    <w:tr2bl w:val="nil"/>
                  </w:tcBorders>
                  <w:noWrap w:val="0"/>
                  <w:vAlign w:val="center"/>
                </w:tcPr>
                <w:p w14:paraId="61CBC1A0">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50</w:t>
                  </w:r>
                </w:p>
              </w:tc>
              <w:tc>
                <w:tcPr>
                  <w:tcW w:w="731" w:type="dxa"/>
                  <w:tcBorders>
                    <w:tl2br w:val="nil"/>
                    <w:tr2bl w:val="nil"/>
                  </w:tcBorders>
                  <w:noWrap w:val="0"/>
                  <w:vAlign w:val="center"/>
                </w:tcPr>
                <w:p w14:paraId="2141FEA7">
                  <w:pPr>
                    <w:keepNext w:val="0"/>
                    <w:keepLines w:val="0"/>
                    <w:pageBreakBefore w:val="0"/>
                    <w:widowControl w:val="0"/>
                    <w:kinsoku/>
                    <w:wordWrap/>
                    <w:overflowPunct w:val="0"/>
                    <w:topLinePunct w:val="0"/>
                    <w:autoSpaceDE w:val="0"/>
                    <w:autoSpaceDN w:val="0"/>
                    <w:bidi w:val="0"/>
                    <w:adjustRightInd w:val="0"/>
                    <w:snapToGrid w:val="0"/>
                    <w:ind w:left="0" w:leftChars="0" w:firstLine="0" w:firstLineChars="0"/>
                    <w:jc w:val="center"/>
                    <w:textAlignment w:val="baseline"/>
                    <w:rPr>
                      <w:rFonts w:hint="default" w:ascii="Times New Roman" w:hAnsi="Times New Roman" w:eastAsia="宋体" w:cs="Times New Roman"/>
                      <w:bCs w:val="0"/>
                      <w:color w:val="0000FF"/>
                      <w:spacing w:val="0"/>
                      <w:kern w:val="2"/>
                      <w:sz w:val="21"/>
                      <w:szCs w:val="21"/>
                      <w:lang w:val="en-US" w:eastAsia="zh-CN" w:bidi="ar-SA"/>
                    </w:rPr>
                  </w:pPr>
                  <w:r>
                    <w:rPr>
                      <w:rFonts w:hint="default" w:ascii="Times New Roman" w:hAnsi="Times New Roman" w:eastAsia="宋体" w:cs="Times New Roman"/>
                      <w:bCs w:val="0"/>
                      <w:color w:val="0000FF"/>
                      <w:spacing w:val="0"/>
                      <w:kern w:val="2"/>
                      <w:sz w:val="21"/>
                      <w:szCs w:val="21"/>
                      <w:lang w:val="en-US" w:eastAsia="zh-CN" w:bidi="ar-SA"/>
                    </w:rPr>
                    <w:t>441</w:t>
                  </w:r>
                </w:p>
              </w:tc>
              <w:tc>
                <w:tcPr>
                  <w:tcW w:w="778" w:type="dxa"/>
                  <w:tcBorders>
                    <w:tl2br w:val="nil"/>
                    <w:tr2bl w:val="nil"/>
                  </w:tcBorders>
                  <w:noWrap w:val="0"/>
                  <w:vAlign w:val="center"/>
                </w:tcPr>
                <w:p w14:paraId="4359FB3C">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highlight w:val="none"/>
                      <w:lang w:val="en-US" w:eastAsia="zh-CN" w:bidi="ar-SA"/>
                    </w:rPr>
                    <w:t>91.07</w:t>
                  </w:r>
                </w:p>
              </w:tc>
              <w:tc>
                <w:tcPr>
                  <w:tcW w:w="773" w:type="dxa"/>
                  <w:gridSpan w:val="2"/>
                  <w:tcBorders>
                    <w:tl2br w:val="nil"/>
                    <w:tr2bl w:val="nil"/>
                  </w:tcBorders>
                  <w:noWrap w:val="0"/>
                  <w:vAlign w:val="center"/>
                </w:tcPr>
                <w:p w14:paraId="50A932A0">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highlight w:val="none"/>
                      <w:lang w:val="en-US" w:eastAsia="zh-CN" w:bidi="ar-SA"/>
                    </w:rPr>
                    <w:t>108.5</w:t>
                  </w:r>
                </w:p>
              </w:tc>
              <w:tc>
                <w:tcPr>
                  <w:tcW w:w="689" w:type="dxa"/>
                  <w:tcBorders>
                    <w:tl2br w:val="nil"/>
                    <w:tr2bl w:val="nil"/>
                  </w:tcBorders>
                  <w:noWrap w:val="0"/>
                  <w:vAlign w:val="center"/>
                </w:tcPr>
                <w:p w14:paraId="26983EE8">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4"/>
                      <w:lang w:val="en-US" w:eastAsia="zh-CN" w:bidi="ar-SA"/>
                    </w:rPr>
                  </w:pPr>
                  <w:r>
                    <w:rPr>
                      <w:rFonts w:hint="default" w:ascii="Times New Roman" w:hAnsi="Times New Roman" w:eastAsia="宋体" w:cs="Times New Roman"/>
                      <w:color w:val="0000FF"/>
                      <w:kern w:val="2"/>
                      <w:sz w:val="21"/>
                      <w:szCs w:val="24"/>
                      <w:lang w:val="en-US" w:eastAsia="zh-CN" w:bidi="ar-SA"/>
                    </w:rPr>
                    <w:t>-15</w:t>
                  </w:r>
                </w:p>
              </w:tc>
              <w:tc>
                <w:tcPr>
                  <w:tcW w:w="765" w:type="dxa"/>
                  <w:tcBorders>
                    <w:tl2br w:val="nil"/>
                    <w:tr2bl w:val="nil"/>
                  </w:tcBorders>
                  <w:noWrap w:val="0"/>
                  <w:vAlign w:val="center"/>
                </w:tcPr>
                <w:p w14:paraId="0AB9DA00">
                  <w:pPr>
                    <w:keepNext w:val="0"/>
                    <w:keepLines w:val="0"/>
                    <w:pageBreakBefore w:val="0"/>
                    <w:widowControl w:val="0"/>
                    <w:kinsoku/>
                    <w:wordWrap/>
                    <w:overflowPunct w:val="0"/>
                    <w:topLinePunct w:val="0"/>
                    <w:autoSpaceDE w:val="0"/>
                    <w:autoSpaceDN w:val="0"/>
                    <w:bidi w:val="0"/>
                    <w:adjustRightInd w:val="0"/>
                    <w:snapToGrid w:val="0"/>
                    <w:ind w:left="0" w:leftChars="0" w:firstLine="0" w:firstLineChars="0"/>
                    <w:jc w:val="center"/>
                    <w:textAlignment w:val="baseline"/>
                    <w:rPr>
                      <w:rFonts w:hint="default" w:ascii="Times New Roman" w:hAnsi="Times New Roman" w:eastAsia="宋体" w:cs="Times New Roman"/>
                      <w:bCs w:val="0"/>
                      <w:color w:val="0000FF"/>
                      <w:spacing w:val="0"/>
                      <w:kern w:val="2"/>
                      <w:sz w:val="21"/>
                      <w:szCs w:val="21"/>
                      <w:lang w:val="en-US" w:eastAsia="zh-CN" w:bidi="ar-SA"/>
                    </w:rPr>
                  </w:pPr>
                  <w:r>
                    <w:rPr>
                      <w:rFonts w:hint="default" w:ascii="Times New Roman" w:hAnsi="Times New Roman" w:eastAsia="宋体" w:cs="Times New Roman"/>
                      <w:bCs w:val="0"/>
                      <w:color w:val="0000FF"/>
                      <w:spacing w:val="0"/>
                      <w:kern w:val="2"/>
                      <w:sz w:val="21"/>
                      <w:szCs w:val="21"/>
                      <w:lang w:val="en-US" w:eastAsia="zh-CN" w:bidi="ar-SA"/>
                    </w:rPr>
                    <w:t>8</w:t>
                  </w:r>
                </w:p>
              </w:tc>
              <w:tc>
                <w:tcPr>
                  <w:tcW w:w="984" w:type="dxa"/>
                  <w:tcBorders>
                    <w:tl2br w:val="nil"/>
                    <w:tr2bl w:val="nil"/>
                  </w:tcBorders>
                  <w:noWrap w:val="0"/>
                  <w:vAlign w:val="center"/>
                </w:tcPr>
                <w:p w14:paraId="4CCBAA27">
                  <w:pPr>
                    <w:keepNext w:val="0"/>
                    <w:keepLines w:val="0"/>
                    <w:pageBreakBefore w:val="0"/>
                    <w:widowControl w:val="0"/>
                    <w:kinsoku/>
                    <w:wordWrap/>
                    <w:overflowPunct w:val="0"/>
                    <w:topLinePunct w:val="0"/>
                    <w:autoSpaceDE w:val="0"/>
                    <w:autoSpaceDN w:val="0"/>
                    <w:bidi w:val="0"/>
                    <w:adjustRightInd w:val="0"/>
                    <w:snapToGrid w:val="0"/>
                    <w:jc w:val="center"/>
                    <w:textAlignment w:val="baseline"/>
                    <w:rPr>
                      <w:rFonts w:hint="default" w:ascii="Times New Roman" w:hAnsi="Times New Roman" w:eastAsia="宋体" w:cs="Times New Roman"/>
                      <w:bCs w:val="0"/>
                      <w:color w:val="0000FF"/>
                      <w:spacing w:val="0"/>
                      <w:kern w:val="2"/>
                      <w:sz w:val="21"/>
                      <w:szCs w:val="21"/>
                      <w:lang w:val="en-US" w:eastAsia="zh-CN"/>
                    </w:rPr>
                  </w:pPr>
                  <w:r>
                    <w:rPr>
                      <w:rFonts w:hint="default" w:ascii="Times New Roman" w:hAnsi="Times New Roman" w:eastAsia="宋体" w:cs="Times New Roman"/>
                      <w:bCs w:val="0"/>
                      <w:color w:val="0000FF"/>
                      <w:spacing w:val="0"/>
                      <w:kern w:val="2"/>
                      <w:sz w:val="21"/>
                      <w:szCs w:val="21"/>
                      <w:lang w:val="en-US" w:eastAsia="zh-CN"/>
                    </w:rPr>
                    <w:t>8760</w:t>
                  </w:r>
                </w:p>
              </w:tc>
              <w:tc>
                <w:tcPr>
                  <w:tcW w:w="649" w:type="dxa"/>
                  <w:tcBorders>
                    <w:tl2br w:val="nil"/>
                    <w:tr2bl w:val="nil"/>
                  </w:tcBorders>
                  <w:noWrap w:val="0"/>
                  <w:vAlign w:val="center"/>
                </w:tcPr>
                <w:p w14:paraId="79635561">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bCs w:val="0"/>
                      <w:color w:val="0000FF"/>
                      <w:spacing w:val="0"/>
                      <w:kern w:val="2"/>
                      <w:sz w:val="21"/>
                      <w:szCs w:val="21"/>
                      <w:lang w:val="en-US" w:eastAsia="zh-CN" w:bidi="ar-SA"/>
                    </w:rPr>
                  </w:pPr>
                  <w:r>
                    <w:rPr>
                      <w:rFonts w:hint="default" w:ascii="Times New Roman" w:hAnsi="Times New Roman" w:eastAsia="宋体" w:cs="Times New Roman"/>
                      <w:color w:val="0000FF"/>
                      <w:kern w:val="2"/>
                      <w:sz w:val="21"/>
                      <w:szCs w:val="24"/>
                      <w:lang w:val="en-US" w:eastAsia="zh-CN" w:bidi="ar-SA"/>
                    </w:rPr>
                    <w:t>连续</w:t>
                  </w:r>
                </w:p>
              </w:tc>
              <w:tc>
                <w:tcPr>
                  <w:tcW w:w="650" w:type="dxa"/>
                  <w:tcBorders>
                    <w:tl2br w:val="nil"/>
                    <w:tr2bl w:val="nil"/>
                  </w:tcBorders>
                  <w:noWrap w:val="0"/>
                  <w:vAlign w:val="center"/>
                </w:tcPr>
                <w:p w14:paraId="475F7952">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0.0012</w:t>
                  </w:r>
                </w:p>
              </w:tc>
            </w:tr>
            <w:tr w14:paraId="1B66B0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4396" w:type="dxa"/>
                  <w:gridSpan w:val="9"/>
                  <w:noWrap w:val="0"/>
                  <w:vAlign w:val="center"/>
                </w:tcPr>
                <w:p w14:paraId="25AF156F">
                  <w:pPr>
                    <w:widowControl w:val="0"/>
                    <w:overflowPunct w:val="0"/>
                    <w:autoSpaceDE w:val="0"/>
                    <w:autoSpaceDN w:val="0"/>
                    <w:adjustRightInd w:val="0"/>
                    <w:snapToGrid w:val="0"/>
                    <w:spacing w:before="0" w:after="0" w:line="320" w:lineRule="exact"/>
                    <w:ind w:left="0" w:right="0" w:firstLine="420" w:firstLineChars="20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参数</w:t>
                  </w:r>
                </w:p>
              </w:tc>
              <w:tc>
                <w:tcPr>
                  <w:tcW w:w="4108" w:type="dxa"/>
                  <w:gridSpan w:val="6"/>
                  <w:noWrap w:val="0"/>
                  <w:vAlign w:val="center"/>
                </w:tcPr>
                <w:p w14:paraId="39EBB79E">
                  <w:pPr>
                    <w:widowControl w:val="0"/>
                    <w:overflowPunct w:val="0"/>
                    <w:autoSpaceDE w:val="0"/>
                    <w:autoSpaceDN w:val="0"/>
                    <w:adjustRightInd w:val="0"/>
                    <w:snapToGrid w:val="0"/>
                    <w:spacing w:before="0" w:after="0" w:line="320" w:lineRule="exact"/>
                    <w:ind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取值</w:t>
                  </w:r>
                </w:p>
              </w:tc>
            </w:tr>
            <w:tr w14:paraId="610E80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712" w:type="dxa"/>
                  <w:gridSpan w:val="4"/>
                  <w:vMerge w:val="restart"/>
                  <w:tcBorders>
                    <w:right w:val="single" w:color="auto" w:sz="4" w:space="0"/>
                  </w:tcBorders>
                  <w:noWrap w:val="0"/>
                  <w:vAlign w:val="center"/>
                </w:tcPr>
                <w:p w14:paraId="159ACA46">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bCs/>
                      <w:color w:val="auto"/>
                      <w:kern w:val="2"/>
                      <w:sz w:val="21"/>
                      <w:szCs w:val="21"/>
                    </w:rPr>
                    <w:t>城市/农村选项</w:t>
                  </w:r>
                </w:p>
              </w:tc>
              <w:tc>
                <w:tcPr>
                  <w:tcW w:w="2684" w:type="dxa"/>
                  <w:gridSpan w:val="5"/>
                  <w:tcBorders>
                    <w:left w:val="single" w:color="auto" w:sz="4" w:space="0"/>
                  </w:tcBorders>
                  <w:noWrap w:val="0"/>
                  <w:vAlign w:val="center"/>
                </w:tcPr>
                <w:p w14:paraId="420D154B">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bCs/>
                      <w:color w:val="auto"/>
                      <w:kern w:val="2"/>
                      <w:sz w:val="21"/>
                      <w:szCs w:val="21"/>
                    </w:rPr>
                    <w:t>城市/农村</w:t>
                  </w:r>
                </w:p>
              </w:tc>
              <w:tc>
                <w:tcPr>
                  <w:tcW w:w="4108" w:type="dxa"/>
                  <w:gridSpan w:val="6"/>
                  <w:noWrap w:val="0"/>
                  <w:vAlign w:val="center"/>
                </w:tcPr>
                <w:p w14:paraId="5E448841">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bCs/>
                      <w:color w:val="auto"/>
                      <w:kern w:val="2"/>
                      <w:sz w:val="21"/>
                      <w:szCs w:val="21"/>
                      <w:lang w:val="en-US" w:eastAsia="zh-CN"/>
                    </w:rPr>
                    <w:t>农村</w:t>
                  </w:r>
                </w:p>
              </w:tc>
            </w:tr>
            <w:tr w14:paraId="22FA24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712" w:type="dxa"/>
                  <w:gridSpan w:val="4"/>
                  <w:vMerge w:val="continue"/>
                  <w:tcBorders>
                    <w:right w:val="single" w:color="auto" w:sz="4" w:space="0"/>
                  </w:tcBorders>
                  <w:noWrap w:val="0"/>
                  <w:vAlign w:val="center"/>
                </w:tcPr>
                <w:p w14:paraId="1DAB3915">
                  <w:pPr>
                    <w:widowControl/>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rPr>
                  </w:pPr>
                </w:p>
              </w:tc>
              <w:tc>
                <w:tcPr>
                  <w:tcW w:w="2684" w:type="dxa"/>
                  <w:gridSpan w:val="5"/>
                  <w:tcBorders>
                    <w:left w:val="single" w:color="auto" w:sz="4" w:space="0"/>
                  </w:tcBorders>
                  <w:noWrap w:val="0"/>
                  <w:vAlign w:val="center"/>
                </w:tcPr>
                <w:p w14:paraId="45AC8E58">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bCs/>
                      <w:color w:val="auto"/>
                      <w:kern w:val="2"/>
                      <w:sz w:val="21"/>
                      <w:szCs w:val="21"/>
                    </w:rPr>
                    <w:t>人口数（城市时选项）</w:t>
                  </w:r>
                </w:p>
              </w:tc>
              <w:tc>
                <w:tcPr>
                  <w:tcW w:w="4108" w:type="dxa"/>
                  <w:gridSpan w:val="6"/>
                  <w:noWrap w:val="0"/>
                  <w:vAlign w:val="center"/>
                </w:tcPr>
                <w:p w14:paraId="411B95DC">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bCs/>
                      <w:color w:val="auto"/>
                      <w:kern w:val="2"/>
                      <w:sz w:val="21"/>
                      <w:szCs w:val="21"/>
                      <w:lang w:val="en-US" w:eastAsia="zh-CN"/>
                    </w:rPr>
                    <w:t>/</w:t>
                  </w:r>
                </w:p>
              </w:tc>
            </w:tr>
            <w:tr w14:paraId="67F23B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4396" w:type="dxa"/>
                  <w:gridSpan w:val="9"/>
                  <w:noWrap w:val="0"/>
                  <w:vAlign w:val="top"/>
                </w:tcPr>
                <w:p w14:paraId="75221245">
                  <w:pPr>
                    <w:widowControl w:val="0"/>
                    <w:overflowPunct w:val="0"/>
                    <w:autoSpaceDE w:val="0"/>
                    <w:autoSpaceDN w:val="0"/>
                    <w:adjustRightInd w:val="0"/>
                    <w:snapToGrid w:val="0"/>
                    <w:spacing w:before="0" w:after="0" w:line="320" w:lineRule="exact"/>
                    <w:ind w:left="0" w:right="0" w:firstLine="420" w:firstLineChars="20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最高环境温度/℃</w:t>
                  </w:r>
                </w:p>
              </w:tc>
              <w:tc>
                <w:tcPr>
                  <w:tcW w:w="4108" w:type="dxa"/>
                  <w:gridSpan w:val="6"/>
                  <w:noWrap w:val="0"/>
                  <w:vAlign w:val="center"/>
                </w:tcPr>
                <w:p w14:paraId="46A5B0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2"/>
                      <w:sz w:val="21"/>
                      <w:szCs w:val="21"/>
                      <w:lang w:val="en-US" w:eastAsia="zh-CN"/>
                    </w:rPr>
                    <w:t>40.5</w:t>
                  </w:r>
                </w:p>
              </w:tc>
            </w:tr>
            <w:tr w14:paraId="39C736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4396" w:type="dxa"/>
                  <w:gridSpan w:val="9"/>
                  <w:noWrap w:val="0"/>
                  <w:vAlign w:val="top"/>
                </w:tcPr>
                <w:p w14:paraId="32D8ED81">
                  <w:pPr>
                    <w:widowControl w:val="0"/>
                    <w:overflowPunct w:val="0"/>
                    <w:autoSpaceDE w:val="0"/>
                    <w:autoSpaceDN w:val="0"/>
                    <w:adjustRightInd w:val="0"/>
                    <w:snapToGrid w:val="0"/>
                    <w:spacing w:before="0" w:after="0" w:line="320" w:lineRule="exact"/>
                    <w:ind w:left="0" w:right="0" w:firstLine="420" w:firstLineChars="20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最低环境温度/℃</w:t>
                  </w:r>
                </w:p>
              </w:tc>
              <w:tc>
                <w:tcPr>
                  <w:tcW w:w="4108" w:type="dxa"/>
                  <w:gridSpan w:val="6"/>
                  <w:noWrap w:val="0"/>
                  <w:vAlign w:val="center"/>
                </w:tcPr>
                <w:p w14:paraId="164311F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2"/>
                      <w:sz w:val="21"/>
                      <w:szCs w:val="21"/>
                    </w:rPr>
                    <w:t>-</w:t>
                  </w:r>
                  <w:r>
                    <w:rPr>
                      <w:rFonts w:hint="default" w:ascii="Times New Roman" w:hAnsi="Times New Roman" w:eastAsia="宋体" w:cs="Times New Roman"/>
                      <w:color w:val="auto"/>
                      <w:kern w:val="2"/>
                      <w:sz w:val="21"/>
                      <w:szCs w:val="21"/>
                      <w:lang w:val="en-US" w:eastAsia="zh-CN"/>
                    </w:rPr>
                    <w:t>33.0</w:t>
                  </w:r>
                </w:p>
              </w:tc>
            </w:tr>
            <w:tr w14:paraId="075C3B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4396" w:type="dxa"/>
                  <w:gridSpan w:val="9"/>
                  <w:noWrap w:val="0"/>
                  <w:vAlign w:val="top"/>
                </w:tcPr>
                <w:p w14:paraId="21E5C008">
                  <w:pPr>
                    <w:widowControl w:val="0"/>
                    <w:overflowPunct w:val="0"/>
                    <w:autoSpaceDE w:val="0"/>
                    <w:autoSpaceDN w:val="0"/>
                    <w:adjustRightInd w:val="0"/>
                    <w:snapToGrid w:val="0"/>
                    <w:spacing w:before="0" w:after="0" w:line="320" w:lineRule="exact"/>
                    <w:ind w:left="0" w:right="0" w:firstLine="420" w:firstLineChars="20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土地利用类型</w:t>
                  </w:r>
                </w:p>
              </w:tc>
              <w:tc>
                <w:tcPr>
                  <w:tcW w:w="4108" w:type="dxa"/>
                  <w:gridSpan w:val="6"/>
                  <w:noWrap w:val="0"/>
                  <w:vAlign w:val="top"/>
                </w:tcPr>
                <w:p w14:paraId="1E21F533">
                  <w:pPr>
                    <w:widowControl w:val="0"/>
                    <w:overflowPunct w:val="0"/>
                    <w:autoSpaceDE w:val="0"/>
                    <w:autoSpaceDN w:val="0"/>
                    <w:adjustRightInd w:val="0"/>
                    <w:snapToGrid w:val="0"/>
                    <w:spacing w:before="0" w:after="0" w:line="320" w:lineRule="exact"/>
                    <w:ind w:right="0" w:right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设施农用地</w:t>
                  </w:r>
                </w:p>
              </w:tc>
            </w:tr>
            <w:tr w14:paraId="086BA9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4396" w:type="dxa"/>
                  <w:gridSpan w:val="9"/>
                  <w:noWrap w:val="0"/>
                  <w:vAlign w:val="top"/>
                </w:tcPr>
                <w:p w14:paraId="5082D7D5">
                  <w:pPr>
                    <w:widowControl w:val="0"/>
                    <w:overflowPunct w:val="0"/>
                    <w:autoSpaceDE w:val="0"/>
                    <w:autoSpaceDN w:val="0"/>
                    <w:adjustRightInd w:val="0"/>
                    <w:snapToGrid w:val="0"/>
                    <w:spacing w:before="0" w:after="0" w:line="320" w:lineRule="exact"/>
                    <w:ind w:left="0" w:right="0" w:firstLine="420" w:firstLineChars="20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区域湿度条件</w:t>
                  </w:r>
                </w:p>
              </w:tc>
              <w:tc>
                <w:tcPr>
                  <w:tcW w:w="4108" w:type="dxa"/>
                  <w:gridSpan w:val="6"/>
                  <w:noWrap w:val="0"/>
                  <w:vAlign w:val="top"/>
                </w:tcPr>
                <w:p w14:paraId="77EC0AB7">
                  <w:pPr>
                    <w:widowControl w:val="0"/>
                    <w:overflowPunct w:val="0"/>
                    <w:autoSpaceDE w:val="0"/>
                    <w:autoSpaceDN w:val="0"/>
                    <w:adjustRightInd w:val="0"/>
                    <w:snapToGrid w:val="0"/>
                    <w:spacing w:before="0" w:after="0" w:line="320" w:lineRule="exact"/>
                    <w:ind w:right="0" w:right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干燥气候</w:t>
                  </w:r>
                </w:p>
              </w:tc>
            </w:tr>
            <w:tr w14:paraId="02DAA0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712" w:type="dxa"/>
                  <w:gridSpan w:val="4"/>
                  <w:vMerge w:val="restart"/>
                  <w:tcBorders>
                    <w:right w:val="single" w:color="auto" w:sz="4" w:space="0"/>
                  </w:tcBorders>
                  <w:noWrap w:val="0"/>
                  <w:vAlign w:val="center"/>
                </w:tcPr>
                <w:p w14:paraId="025FE1C2">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bCs/>
                      <w:color w:val="auto"/>
                      <w:kern w:val="2"/>
                      <w:sz w:val="21"/>
                      <w:szCs w:val="21"/>
                    </w:rPr>
                    <w:t>是否考虑地形</w:t>
                  </w:r>
                </w:p>
              </w:tc>
              <w:tc>
                <w:tcPr>
                  <w:tcW w:w="2684" w:type="dxa"/>
                  <w:gridSpan w:val="5"/>
                  <w:tcBorders>
                    <w:left w:val="single" w:color="auto" w:sz="4" w:space="0"/>
                  </w:tcBorders>
                  <w:noWrap w:val="0"/>
                  <w:vAlign w:val="center"/>
                </w:tcPr>
                <w:p w14:paraId="6B7D4AC8">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bCs/>
                      <w:color w:val="auto"/>
                      <w:kern w:val="2"/>
                      <w:sz w:val="21"/>
                      <w:szCs w:val="21"/>
                    </w:rPr>
                    <w:t>考虑地形</w:t>
                  </w:r>
                </w:p>
              </w:tc>
              <w:tc>
                <w:tcPr>
                  <w:tcW w:w="4108" w:type="dxa"/>
                  <w:gridSpan w:val="6"/>
                  <w:noWrap w:val="0"/>
                  <w:vAlign w:val="center"/>
                </w:tcPr>
                <w:p w14:paraId="2DFECF40">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bCs/>
                      <w:color w:val="auto"/>
                      <w:kern w:val="2"/>
                      <w:sz w:val="21"/>
                      <w:szCs w:val="21"/>
                    </w:rPr>
                    <w:t>是</w:t>
                  </w:r>
                </w:p>
              </w:tc>
            </w:tr>
            <w:tr w14:paraId="63BB9B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712" w:type="dxa"/>
                  <w:gridSpan w:val="4"/>
                  <w:vMerge w:val="continue"/>
                  <w:tcBorders>
                    <w:right w:val="single" w:color="auto" w:sz="4" w:space="0"/>
                  </w:tcBorders>
                  <w:noWrap w:val="0"/>
                  <w:vAlign w:val="center"/>
                </w:tcPr>
                <w:p w14:paraId="00283333">
                  <w:pPr>
                    <w:widowControl/>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rPr>
                  </w:pPr>
                </w:p>
              </w:tc>
              <w:tc>
                <w:tcPr>
                  <w:tcW w:w="2684" w:type="dxa"/>
                  <w:gridSpan w:val="5"/>
                  <w:tcBorders>
                    <w:left w:val="single" w:color="auto" w:sz="4" w:space="0"/>
                  </w:tcBorders>
                  <w:noWrap w:val="0"/>
                  <w:vAlign w:val="center"/>
                </w:tcPr>
                <w:p w14:paraId="3F3D1AE9">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bCs/>
                      <w:color w:val="auto"/>
                      <w:kern w:val="2"/>
                      <w:sz w:val="21"/>
                      <w:szCs w:val="21"/>
                    </w:rPr>
                    <w:t>地形数据分辨率/m</w:t>
                  </w:r>
                </w:p>
              </w:tc>
              <w:tc>
                <w:tcPr>
                  <w:tcW w:w="4108" w:type="dxa"/>
                  <w:gridSpan w:val="6"/>
                  <w:noWrap w:val="0"/>
                  <w:vAlign w:val="center"/>
                </w:tcPr>
                <w:p w14:paraId="088312D5">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bCs/>
                      <w:color w:val="auto"/>
                      <w:kern w:val="2"/>
                      <w:sz w:val="21"/>
                      <w:szCs w:val="21"/>
                      <w:lang w:val="en-US" w:eastAsia="zh-CN"/>
                    </w:rPr>
                    <w:t>90</w:t>
                  </w:r>
                </w:p>
              </w:tc>
            </w:tr>
            <w:tr w14:paraId="629430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712" w:type="dxa"/>
                  <w:gridSpan w:val="4"/>
                  <w:vMerge w:val="restart"/>
                  <w:tcBorders>
                    <w:right w:val="single" w:color="auto" w:sz="4" w:space="0"/>
                  </w:tcBorders>
                  <w:noWrap w:val="0"/>
                  <w:vAlign w:val="center"/>
                </w:tcPr>
                <w:p w14:paraId="33B326A4">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bCs/>
                      <w:color w:val="auto"/>
                      <w:kern w:val="2"/>
                      <w:sz w:val="21"/>
                      <w:szCs w:val="21"/>
                    </w:rPr>
                    <w:t>是否考虑岸线烟熏</w:t>
                  </w:r>
                </w:p>
              </w:tc>
              <w:tc>
                <w:tcPr>
                  <w:tcW w:w="2684" w:type="dxa"/>
                  <w:gridSpan w:val="5"/>
                  <w:tcBorders>
                    <w:left w:val="single" w:color="auto" w:sz="4" w:space="0"/>
                  </w:tcBorders>
                  <w:noWrap w:val="0"/>
                  <w:vAlign w:val="center"/>
                </w:tcPr>
                <w:p w14:paraId="3787F225">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bCs/>
                      <w:color w:val="auto"/>
                      <w:kern w:val="2"/>
                      <w:sz w:val="21"/>
                      <w:szCs w:val="21"/>
                    </w:rPr>
                    <w:t>考虑岸线烟熏</w:t>
                  </w:r>
                </w:p>
              </w:tc>
              <w:tc>
                <w:tcPr>
                  <w:tcW w:w="4108" w:type="dxa"/>
                  <w:gridSpan w:val="6"/>
                  <w:noWrap w:val="0"/>
                  <w:vAlign w:val="center"/>
                </w:tcPr>
                <w:p w14:paraId="6F5D5E08">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bCs/>
                      <w:color w:val="auto"/>
                      <w:kern w:val="2"/>
                      <w:sz w:val="21"/>
                      <w:szCs w:val="21"/>
                    </w:rPr>
                    <w:t>否</w:t>
                  </w:r>
                </w:p>
              </w:tc>
            </w:tr>
            <w:tr w14:paraId="0C600E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712" w:type="dxa"/>
                  <w:gridSpan w:val="4"/>
                  <w:vMerge w:val="continue"/>
                  <w:tcBorders>
                    <w:right w:val="single" w:color="auto" w:sz="4" w:space="0"/>
                  </w:tcBorders>
                  <w:noWrap w:val="0"/>
                  <w:vAlign w:val="center"/>
                </w:tcPr>
                <w:p w14:paraId="7783C2A8">
                  <w:pPr>
                    <w:widowControl/>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rPr>
                  </w:pPr>
                </w:p>
              </w:tc>
              <w:tc>
                <w:tcPr>
                  <w:tcW w:w="2684" w:type="dxa"/>
                  <w:gridSpan w:val="5"/>
                  <w:tcBorders>
                    <w:left w:val="single" w:color="auto" w:sz="4" w:space="0"/>
                  </w:tcBorders>
                  <w:noWrap w:val="0"/>
                  <w:vAlign w:val="center"/>
                </w:tcPr>
                <w:p w14:paraId="5B9C572F">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bCs/>
                      <w:color w:val="auto"/>
                      <w:kern w:val="2"/>
                      <w:sz w:val="21"/>
                      <w:szCs w:val="21"/>
                    </w:rPr>
                    <w:t>岸线距离</w:t>
                  </w:r>
                </w:p>
              </w:tc>
              <w:tc>
                <w:tcPr>
                  <w:tcW w:w="4108" w:type="dxa"/>
                  <w:gridSpan w:val="6"/>
                  <w:noWrap w:val="0"/>
                  <w:vAlign w:val="center"/>
                </w:tcPr>
                <w:p w14:paraId="742E677B">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bCs/>
                      <w:color w:val="auto"/>
                      <w:kern w:val="2"/>
                      <w:sz w:val="21"/>
                      <w:szCs w:val="21"/>
                      <w:lang w:val="en-US" w:eastAsia="zh-CN"/>
                    </w:rPr>
                    <w:t>城市</w:t>
                  </w:r>
                </w:p>
              </w:tc>
            </w:tr>
            <w:tr w14:paraId="5F4EAE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2" w:type="dxa"/>
                  <w:gridSpan w:val="4"/>
                  <w:vMerge w:val="continue"/>
                  <w:noWrap w:val="0"/>
                  <w:vAlign w:val="center"/>
                </w:tcPr>
                <w:p w14:paraId="4DFC5FAF">
                  <w:pPr>
                    <w:widowControl/>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Cs/>
                      <w:color w:val="auto"/>
                      <w:kern w:val="2"/>
                      <w:sz w:val="21"/>
                      <w:szCs w:val="21"/>
                    </w:rPr>
                  </w:pPr>
                </w:p>
              </w:tc>
              <w:tc>
                <w:tcPr>
                  <w:tcW w:w="2684" w:type="dxa"/>
                  <w:gridSpan w:val="5"/>
                  <w:noWrap w:val="0"/>
                  <w:vAlign w:val="center"/>
                </w:tcPr>
                <w:p w14:paraId="498C6BD3">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bCs/>
                      <w:color w:val="auto"/>
                      <w:kern w:val="2"/>
                      <w:sz w:val="21"/>
                      <w:szCs w:val="21"/>
                    </w:rPr>
                    <w:t>岸线方向</w:t>
                  </w:r>
                </w:p>
              </w:tc>
              <w:tc>
                <w:tcPr>
                  <w:tcW w:w="4108" w:type="dxa"/>
                  <w:gridSpan w:val="6"/>
                  <w:noWrap w:val="0"/>
                  <w:vAlign w:val="center"/>
                </w:tcPr>
                <w:p w14:paraId="3846B2E3">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bCs/>
                      <w:color w:val="auto"/>
                      <w:kern w:val="2"/>
                      <w:sz w:val="21"/>
                      <w:szCs w:val="21"/>
                    </w:rPr>
                    <w:t>否</w:t>
                  </w:r>
                </w:p>
              </w:tc>
            </w:tr>
          </w:tbl>
          <w:p w14:paraId="7C4A4754">
            <w:pPr>
              <w:keepNext w:val="0"/>
              <w:keepLines w:val="0"/>
              <w:pageBreakBefore w:val="0"/>
              <w:widowControl/>
              <w:kinsoku/>
              <w:wordWrap/>
              <w:overflowPunct/>
              <w:topLinePunct w:val="0"/>
              <w:autoSpaceDE/>
              <w:autoSpaceDN/>
              <w:bidi w:val="0"/>
              <w:adjustRightInd/>
              <w:snapToGrid/>
              <w:spacing w:before="0" w:after="0" w:line="360" w:lineRule="auto"/>
              <w:ind w:left="0" w:right="0"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污染物最大落地浓度的估算结果见表4.5-</w:t>
            </w:r>
            <w:r>
              <w:rPr>
                <w:rFonts w:hint="eastAsia" w:cs="Times New Roman"/>
                <w:color w:val="auto"/>
                <w:kern w:val="0"/>
                <w:sz w:val="24"/>
                <w:szCs w:val="24"/>
                <w:highlight w:val="none"/>
                <w:lang w:val="en-US" w:eastAsia="zh-CN" w:bidi="ar-SA"/>
              </w:rPr>
              <w:t>5</w:t>
            </w:r>
            <w:r>
              <w:rPr>
                <w:rFonts w:hint="default" w:ascii="Times New Roman" w:hAnsi="Times New Roman" w:eastAsia="宋体" w:cs="Times New Roman"/>
                <w:color w:val="auto"/>
                <w:kern w:val="0"/>
                <w:sz w:val="24"/>
                <w:szCs w:val="24"/>
                <w:highlight w:val="none"/>
                <w:lang w:val="en-US" w:eastAsia="zh-CN" w:bidi="ar-SA"/>
              </w:rPr>
              <w:t>、4.5-</w:t>
            </w:r>
            <w:r>
              <w:rPr>
                <w:rFonts w:hint="eastAsia" w:cs="Times New Roman"/>
                <w:color w:val="auto"/>
                <w:kern w:val="0"/>
                <w:sz w:val="24"/>
                <w:szCs w:val="24"/>
                <w:highlight w:val="none"/>
                <w:lang w:val="en-US" w:eastAsia="zh-CN" w:bidi="ar-SA"/>
              </w:rPr>
              <w:t>6</w:t>
            </w:r>
            <w:r>
              <w:rPr>
                <w:rFonts w:hint="default" w:ascii="Times New Roman" w:hAnsi="Times New Roman" w:eastAsia="宋体" w:cs="Times New Roman"/>
                <w:color w:val="auto"/>
                <w:kern w:val="0"/>
                <w:sz w:val="24"/>
                <w:szCs w:val="24"/>
                <w:highlight w:val="none"/>
                <w:lang w:val="en-US" w:eastAsia="zh-CN" w:bidi="ar-SA"/>
              </w:rPr>
              <w:t>。</w:t>
            </w:r>
          </w:p>
          <w:p w14:paraId="7127E15A">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2" w:firstLineChars="200"/>
              <w:jc w:val="center"/>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表4.5-</w:t>
            </w:r>
            <w:r>
              <w:rPr>
                <w:rFonts w:hint="eastAsia" w:cs="Times New Roman"/>
                <w:b/>
                <w:bCs/>
                <w:color w:val="auto"/>
                <w:kern w:val="0"/>
                <w:sz w:val="21"/>
                <w:szCs w:val="21"/>
                <w:lang w:val="en-US" w:eastAsia="zh-CN" w:bidi="ar-SA"/>
              </w:rPr>
              <w:t>5</w:t>
            </w:r>
            <w:r>
              <w:rPr>
                <w:rFonts w:hint="default" w:ascii="Times New Roman" w:hAnsi="Times New Roman" w:eastAsia="宋体" w:cs="Times New Roman"/>
                <w:b/>
                <w:bCs/>
                <w:color w:val="auto"/>
                <w:kern w:val="0"/>
                <w:sz w:val="21"/>
                <w:szCs w:val="21"/>
                <w:lang w:val="en-US" w:eastAsia="zh-CN" w:bidi="ar-SA"/>
              </w:rPr>
              <w:t>有组织估算结果表</w:t>
            </w:r>
          </w:p>
          <w:tbl>
            <w:tblPr>
              <w:tblStyle w:val="23"/>
              <w:tblW w:w="506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1763"/>
              <w:gridCol w:w="1877"/>
              <w:gridCol w:w="1875"/>
              <w:gridCol w:w="1741"/>
            </w:tblGrid>
            <w:tr w14:paraId="124C52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76" w:hRule="atLeast"/>
                <w:jc w:val="center"/>
              </w:trPr>
              <w:tc>
                <w:tcPr>
                  <w:tcW w:w="733" w:type="pct"/>
                  <w:vMerge w:val="restart"/>
                  <w:tcBorders>
                    <w:tl2br w:val="nil"/>
                    <w:tr2bl w:val="nil"/>
                  </w:tcBorders>
                  <w:noWrap w:val="0"/>
                  <w:vAlign w:val="center"/>
                </w:tcPr>
                <w:p w14:paraId="75035C0D">
                  <w:pPr>
                    <w:widowControl w:val="0"/>
                    <w:overflowPunct w:val="0"/>
                    <w:autoSpaceDE w:val="0"/>
                    <w:autoSpaceDN w:val="0"/>
                    <w:bidi w:val="0"/>
                    <w:adjustRightInd w:val="0"/>
                    <w:snapToGrid w:val="0"/>
                    <w:spacing w:before="0" w:after="0" w:line="320" w:lineRule="exact"/>
                    <w:ind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下风向距离/m</w:t>
                  </w:r>
                </w:p>
              </w:tc>
              <w:tc>
                <w:tcPr>
                  <w:tcW w:w="2140" w:type="pct"/>
                  <w:gridSpan w:val="2"/>
                  <w:tcBorders>
                    <w:tl2br w:val="nil"/>
                    <w:tr2bl w:val="nil"/>
                  </w:tcBorders>
                  <w:noWrap w:val="0"/>
                  <w:vAlign w:val="center"/>
                </w:tcPr>
                <w:p w14:paraId="61618602">
                  <w:pPr>
                    <w:widowControl w:val="0"/>
                    <w:autoSpaceDE w:val="0"/>
                    <w:autoSpaceDN w:val="0"/>
                    <w:spacing w:line="240" w:lineRule="auto"/>
                    <w:ind w:left="0" w:leftChars="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DA001</w:t>
                  </w:r>
                </w:p>
                <w:p w14:paraId="5D5AC8B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kern w:val="2"/>
                      <w:sz w:val="21"/>
                      <w:szCs w:val="21"/>
                      <w:lang w:val="en-US" w:eastAsia="zh-CN" w:bidi="ar-SA"/>
                    </w:rPr>
                    <w:t>一般排放口（发酵罐区排放口）</w:t>
                  </w:r>
                </w:p>
              </w:tc>
              <w:tc>
                <w:tcPr>
                  <w:tcW w:w="1102" w:type="pct"/>
                  <w:vMerge w:val="restart"/>
                  <w:tcBorders>
                    <w:tl2br w:val="nil"/>
                    <w:tr2bl w:val="nil"/>
                  </w:tcBorders>
                  <w:noWrap w:val="0"/>
                  <w:vAlign w:val="center"/>
                </w:tcPr>
                <w:p w14:paraId="04369EE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下风向距离/m</w:t>
                  </w:r>
                </w:p>
              </w:tc>
              <w:tc>
                <w:tcPr>
                  <w:tcW w:w="1023" w:type="pct"/>
                  <w:tcBorders>
                    <w:tl2br w:val="nil"/>
                    <w:tr2bl w:val="nil"/>
                  </w:tcBorders>
                  <w:noWrap w:val="0"/>
                  <w:vAlign w:val="center"/>
                </w:tcPr>
                <w:p w14:paraId="334A37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DA002</w:t>
                  </w:r>
                </w:p>
                <w:p w14:paraId="4ABAE3B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一般排放口（生产车间排放口）</w:t>
                  </w:r>
                </w:p>
              </w:tc>
            </w:tr>
            <w:tr w14:paraId="158C05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33" w:type="pct"/>
                  <w:vMerge w:val="continue"/>
                  <w:tcBorders>
                    <w:tl2br w:val="nil"/>
                    <w:tr2bl w:val="nil"/>
                  </w:tcBorders>
                  <w:noWrap w:val="0"/>
                  <w:vAlign w:val="center"/>
                </w:tcPr>
                <w:p w14:paraId="652FACB0">
                  <w:pPr>
                    <w:widowControl w:val="0"/>
                    <w:overflowPunct w:val="0"/>
                    <w:autoSpaceDE w:val="0"/>
                    <w:autoSpaceDN w:val="0"/>
                    <w:bidi w:val="0"/>
                    <w:adjustRightInd w:val="0"/>
                    <w:snapToGrid w:val="0"/>
                    <w:spacing w:before="0" w:after="0" w:line="320" w:lineRule="exact"/>
                    <w:ind w:left="0" w:right="0" w:firstLine="420" w:firstLineChars="200"/>
                    <w:jc w:val="center"/>
                    <w:rPr>
                      <w:rFonts w:hint="default" w:ascii="Times New Roman" w:hAnsi="Times New Roman" w:eastAsia="宋体" w:cs="Times New Roman"/>
                      <w:color w:val="auto"/>
                      <w:kern w:val="0"/>
                      <w:sz w:val="21"/>
                      <w:szCs w:val="21"/>
                      <w:lang w:val="en-US" w:eastAsia="zh-CN" w:bidi="ar-SA"/>
                    </w:rPr>
                  </w:pPr>
                </w:p>
              </w:tc>
              <w:tc>
                <w:tcPr>
                  <w:tcW w:w="1036" w:type="pct"/>
                  <w:tcBorders>
                    <w:tl2br w:val="nil"/>
                    <w:tr2bl w:val="nil"/>
                  </w:tcBorders>
                  <w:noWrap w:val="0"/>
                  <w:vAlign w:val="center"/>
                </w:tcPr>
                <w:p w14:paraId="3BB6D209">
                  <w:pPr>
                    <w:widowControl w:val="0"/>
                    <w:autoSpaceDE w:val="0"/>
                    <w:autoSpaceDN w:val="0"/>
                    <w:spacing w:line="240" w:lineRule="auto"/>
                    <w:ind w:left="0" w:leftChars="0"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氨</w:t>
                  </w:r>
                </w:p>
              </w:tc>
              <w:tc>
                <w:tcPr>
                  <w:tcW w:w="1103" w:type="pct"/>
                  <w:tcBorders>
                    <w:tl2br w:val="nil"/>
                    <w:tr2bl w:val="nil"/>
                  </w:tcBorders>
                  <w:noWrap w:val="0"/>
                  <w:vAlign w:val="center"/>
                </w:tcPr>
                <w:p w14:paraId="49E27FF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硫化氢</w:t>
                  </w:r>
                </w:p>
              </w:tc>
              <w:tc>
                <w:tcPr>
                  <w:tcW w:w="1102" w:type="pct"/>
                  <w:vMerge w:val="continue"/>
                  <w:tcBorders>
                    <w:tl2br w:val="nil"/>
                    <w:tr2bl w:val="nil"/>
                  </w:tcBorders>
                  <w:noWrap w:val="0"/>
                  <w:vAlign w:val="center"/>
                </w:tcPr>
                <w:p w14:paraId="6F16BC3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023" w:type="pct"/>
                  <w:tcBorders>
                    <w:tl2br w:val="nil"/>
                    <w:tr2bl w:val="nil"/>
                  </w:tcBorders>
                  <w:noWrap w:val="0"/>
                  <w:vAlign w:val="center"/>
                </w:tcPr>
                <w:p w14:paraId="1AB7336F">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颗粒物</w:t>
                  </w:r>
                </w:p>
              </w:tc>
            </w:tr>
            <w:tr w14:paraId="4257F0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33" w:type="pct"/>
                  <w:vMerge w:val="continue"/>
                  <w:tcBorders>
                    <w:tl2br w:val="nil"/>
                    <w:tr2bl w:val="nil"/>
                  </w:tcBorders>
                  <w:noWrap w:val="0"/>
                  <w:vAlign w:val="center"/>
                </w:tcPr>
                <w:p w14:paraId="7D53053C">
                  <w:pPr>
                    <w:keepNext w:val="0"/>
                    <w:keepLines w:val="0"/>
                    <w:widowControl/>
                    <w:suppressLineNumbers w:val="0"/>
                    <w:jc w:val="center"/>
                    <w:textAlignment w:val="center"/>
                    <w:rPr>
                      <w:rFonts w:hint="default" w:ascii="Times New Roman" w:hAnsi="Times New Roman" w:eastAsia="宋体" w:cs="Times New Roman"/>
                      <w:color w:val="auto"/>
                      <w:sz w:val="21"/>
                      <w:szCs w:val="21"/>
                    </w:rPr>
                  </w:pPr>
                </w:p>
              </w:tc>
              <w:tc>
                <w:tcPr>
                  <w:tcW w:w="1036" w:type="pct"/>
                  <w:tcBorders>
                    <w:tl2br w:val="nil"/>
                    <w:tr2bl w:val="nil"/>
                  </w:tcBorders>
                  <w:noWrap w:val="0"/>
                  <w:vAlign w:val="center"/>
                </w:tcPr>
                <w:p w14:paraId="5F06DB91">
                  <w:pPr>
                    <w:widowControl w:val="0"/>
                    <w:autoSpaceDE w:val="0"/>
                    <w:autoSpaceDN w:val="0"/>
                    <w:spacing w:line="240" w:lineRule="auto"/>
                    <w:ind w:left="0" w:leftChars="0" w:firstLine="0" w:firstLineChars="0"/>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预测质量浓度（</w:t>
                  </w:r>
                  <w:r>
                    <w:rPr>
                      <w:rFonts w:hint="default" w:ascii="Times New Roman" w:hAnsi="Times New Roman" w:eastAsia="宋体" w:cs="Times New Roman"/>
                      <w:color w:val="auto"/>
                      <w:kern w:val="0"/>
                      <w:sz w:val="21"/>
                      <w:szCs w:val="21"/>
                      <w:lang w:val="en-US" w:eastAsia="zh-CN" w:bidi="ar-SA"/>
                    </w:rPr>
                    <w:t>mg/m</w:t>
                  </w:r>
                  <w:r>
                    <w:rPr>
                      <w:rFonts w:hint="default" w:ascii="Times New Roman" w:hAnsi="Times New Roman" w:eastAsia="宋体" w:cs="Times New Roman"/>
                      <w:color w:val="auto"/>
                      <w:kern w:val="0"/>
                      <w:sz w:val="21"/>
                      <w:szCs w:val="21"/>
                      <w:vertAlign w:val="superscript"/>
                      <w:lang w:val="en-US" w:eastAsia="zh-CN" w:bidi="ar-SA"/>
                    </w:rPr>
                    <w:t>3</w:t>
                  </w:r>
                  <w:r>
                    <w:rPr>
                      <w:rFonts w:hint="default" w:ascii="Times New Roman" w:hAnsi="Times New Roman" w:eastAsia="宋体" w:cs="Times New Roman"/>
                      <w:i w:val="0"/>
                      <w:iCs w:val="0"/>
                      <w:color w:val="auto"/>
                      <w:kern w:val="0"/>
                      <w:sz w:val="21"/>
                      <w:szCs w:val="21"/>
                      <w:u w:val="none"/>
                      <w:lang w:val="en-US" w:eastAsia="zh-CN" w:bidi="ar"/>
                    </w:rPr>
                    <w:t>）</w:t>
                  </w:r>
                </w:p>
              </w:tc>
              <w:tc>
                <w:tcPr>
                  <w:tcW w:w="1103" w:type="pct"/>
                  <w:tcBorders>
                    <w:tl2br w:val="nil"/>
                    <w:tr2bl w:val="nil"/>
                  </w:tcBorders>
                  <w:noWrap w:val="0"/>
                  <w:vAlign w:val="center"/>
                </w:tcPr>
                <w:p w14:paraId="1E4C79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预测质量浓度（</w:t>
                  </w:r>
                  <w:r>
                    <w:rPr>
                      <w:rFonts w:hint="default" w:ascii="Times New Roman" w:hAnsi="Times New Roman" w:eastAsia="宋体" w:cs="Times New Roman"/>
                      <w:color w:val="auto"/>
                      <w:kern w:val="0"/>
                      <w:sz w:val="21"/>
                      <w:szCs w:val="21"/>
                      <w:lang w:val="en-US" w:eastAsia="zh-CN" w:bidi="ar-SA"/>
                    </w:rPr>
                    <w:t>mg/m</w:t>
                  </w:r>
                  <w:r>
                    <w:rPr>
                      <w:rFonts w:hint="default" w:ascii="Times New Roman" w:hAnsi="Times New Roman" w:eastAsia="宋体" w:cs="Times New Roman"/>
                      <w:color w:val="auto"/>
                      <w:kern w:val="0"/>
                      <w:sz w:val="21"/>
                      <w:szCs w:val="21"/>
                      <w:vertAlign w:val="superscript"/>
                      <w:lang w:val="en-US" w:eastAsia="zh-CN" w:bidi="ar-SA"/>
                    </w:rPr>
                    <w:t>3</w:t>
                  </w:r>
                  <w:r>
                    <w:rPr>
                      <w:rFonts w:hint="default" w:ascii="Times New Roman" w:hAnsi="Times New Roman" w:eastAsia="宋体" w:cs="Times New Roman"/>
                      <w:i w:val="0"/>
                      <w:iCs w:val="0"/>
                      <w:color w:val="auto"/>
                      <w:kern w:val="0"/>
                      <w:sz w:val="21"/>
                      <w:szCs w:val="21"/>
                      <w:u w:val="none"/>
                      <w:lang w:val="en-US" w:eastAsia="zh-CN" w:bidi="ar"/>
                    </w:rPr>
                    <w:t>）</w:t>
                  </w:r>
                </w:p>
              </w:tc>
              <w:tc>
                <w:tcPr>
                  <w:tcW w:w="1102" w:type="pct"/>
                  <w:vMerge w:val="continue"/>
                  <w:tcBorders>
                    <w:tl2br w:val="nil"/>
                    <w:tr2bl w:val="nil"/>
                  </w:tcBorders>
                  <w:noWrap w:val="0"/>
                  <w:vAlign w:val="center"/>
                </w:tcPr>
                <w:p w14:paraId="3A77C48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023" w:type="pct"/>
                  <w:tcBorders>
                    <w:tl2br w:val="nil"/>
                    <w:tr2bl w:val="nil"/>
                  </w:tcBorders>
                  <w:noWrap w:val="0"/>
                  <w:vAlign w:val="center"/>
                </w:tcPr>
                <w:p w14:paraId="04AB1B4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预测质量浓度（</w:t>
                  </w:r>
                  <w:r>
                    <w:rPr>
                      <w:rFonts w:hint="default" w:ascii="Times New Roman" w:hAnsi="Times New Roman" w:eastAsia="宋体" w:cs="Times New Roman"/>
                      <w:color w:val="auto"/>
                      <w:kern w:val="0"/>
                      <w:sz w:val="21"/>
                      <w:szCs w:val="21"/>
                      <w:lang w:val="en-US" w:eastAsia="zh-CN" w:bidi="ar-SA"/>
                    </w:rPr>
                    <w:t>mg/m</w:t>
                  </w:r>
                  <w:r>
                    <w:rPr>
                      <w:rFonts w:hint="default" w:ascii="Times New Roman" w:hAnsi="Times New Roman" w:eastAsia="宋体" w:cs="Times New Roman"/>
                      <w:color w:val="auto"/>
                      <w:kern w:val="0"/>
                      <w:sz w:val="21"/>
                      <w:szCs w:val="21"/>
                      <w:vertAlign w:val="superscript"/>
                      <w:lang w:val="en-US" w:eastAsia="zh-CN" w:bidi="ar-SA"/>
                    </w:rPr>
                    <w:t>3</w:t>
                  </w:r>
                  <w:r>
                    <w:rPr>
                      <w:rFonts w:hint="default" w:ascii="Times New Roman" w:hAnsi="Times New Roman" w:eastAsia="宋体" w:cs="Times New Roman"/>
                      <w:i w:val="0"/>
                      <w:iCs w:val="0"/>
                      <w:color w:val="auto"/>
                      <w:kern w:val="0"/>
                      <w:sz w:val="21"/>
                      <w:szCs w:val="21"/>
                      <w:u w:val="none"/>
                      <w:lang w:val="en-US" w:eastAsia="zh-CN" w:bidi="ar"/>
                    </w:rPr>
                    <w:t>）</w:t>
                  </w:r>
                </w:p>
              </w:tc>
            </w:tr>
            <w:tr w14:paraId="25BF43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33" w:type="pct"/>
                  <w:tcBorders>
                    <w:tl2br w:val="nil"/>
                    <w:tr2bl w:val="nil"/>
                  </w:tcBorders>
                  <w:noWrap w:val="0"/>
                  <w:vAlign w:val="center"/>
                </w:tcPr>
                <w:p w14:paraId="314A0B5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036" w:type="pct"/>
                  <w:tcBorders>
                    <w:tl2br w:val="nil"/>
                    <w:tr2bl w:val="nil"/>
                  </w:tcBorders>
                  <w:noWrap w:val="0"/>
                  <w:vAlign w:val="center"/>
                </w:tcPr>
                <w:p w14:paraId="347D83B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0.00</w:t>
                  </w:r>
                </w:p>
              </w:tc>
              <w:tc>
                <w:tcPr>
                  <w:tcW w:w="1103" w:type="pct"/>
                  <w:tcBorders>
                    <w:tl2br w:val="nil"/>
                    <w:tr2bl w:val="nil"/>
                  </w:tcBorders>
                  <w:noWrap w:val="0"/>
                  <w:vAlign w:val="center"/>
                </w:tcPr>
                <w:p w14:paraId="26C911D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0.00</w:t>
                  </w:r>
                </w:p>
              </w:tc>
              <w:tc>
                <w:tcPr>
                  <w:tcW w:w="1875" w:type="dxa"/>
                  <w:tcBorders>
                    <w:tl2br w:val="nil"/>
                    <w:tr2bl w:val="nil"/>
                  </w:tcBorders>
                  <w:noWrap w:val="0"/>
                  <w:vAlign w:val="center"/>
                </w:tcPr>
                <w:p w14:paraId="6A1595D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023" w:type="pct"/>
                  <w:tcBorders>
                    <w:tl2br w:val="nil"/>
                    <w:tr2bl w:val="nil"/>
                  </w:tcBorders>
                  <w:noWrap w:val="0"/>
                  <w:vAlign w:val="center"/>
                </w:tcPr>
                <w:p w14:paraId="57840F8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0.01</w:t>
                  </w:r>
                </w:p>
              </w:tc>
            </w:tr>
            <w:tr w14:paraId="1D9CFF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3" w:type="pct"/>
                  <w:tcBorders>
                    <w:tl2br w:val="nil"/>
                    <w:tr2bl w:val="nil"/>
                  </w:tcBorders>
                  <w:noWrap w:val="0"/>
                  <w:vAlign w:val="center"/>
                </w:tcPr>
                <w:p w14:paraId="5E369FE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25</w:t>
                  </w:r>
                </w:p>
              </w:tc>
              <w:tc>
                <w:tcPr>
                  <w:tcW w:w="1036" w:type="pct"/>
                  <w:tcBorders>
                    <w:tl2br w:val="nil"/>
                    <w:tr2bl w:val="nil"/>
                  </w:tcBorders>
                  <w:noWrap w:val="0"/>
                  <w:vAlign w:val="center"/>
                </w:tcPr>
                <w:p w14:paraId="4DF9EE0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0.01</w:t>
                  </w:r>
                </w:p>
              </w:tc>
              <w:tc>
                <w:tcPr>
                  <w:tcW w:w="1103" w:type="pct"/>
                  <w:tcBorders>
                    <w:tl2br w:val="nil"/>
                    <w:tr2bl w:val="nil"/>
                  </w:tcBorders>
                  <w:noWrap w:val="0"/>
                  <w:vAlign w:val="center"/>
                </w:tcPr>
                <w:p w14:paraId="695E214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0.00</w:t>
                  </w:r>
                </w:p>
              </w:tc>
              <w:tc>
                <w:tcPr>
                  <w:tcW w:w="1875" w:type="dxa"/>
                  <w:tcBorders>
                    <w:tl2br w:val="nil"/>
                    <w:tr2bl w:val="nil"/>
                  </w:tcBorders>
                  <w:noWrap w:val="0"/>
                  <w:vAlign w:val="center"/>
                </w:tcPr>
                <w:p w14:paraId="5F19CD8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25</w:t>
                  </w:r>
                </w:p>
              </w:tc>
              <w:tc>
                <w:tcPr>
                  <w:tcW w:w="1023" w:type="pct"/>
                  <w:tcBorders>
                    <w:tl2br w:val="nil"/>
                    <w:tr2bl w:val="nil"/>
                  </w:tcBorders>
                  <w:noWrap w:val="0"/>
                  <w:vAlign w:val="center"/>
                </w:tcPr>
                <w:p w14:paraId="2FAB5F9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0.07</w:t>
                  </w:r>
                </w:p>
              </w:tc>
            </w:tr>
            <w:tr w14:paraId="3499D9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3" w:type="pct"/>
                  <w:tcBorders>
                    <w:tl2br w:val="nil"/>
                    <w:tr2bl w:val="nil"/>
                  </w:tcBorders>
                  <w:noWrap w:val="0"/>
                  <w:vAlign w:val="center"/>
                </w:tcPr>
                <w:p w14:paraId="2A36549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50</w:t>
                  </w:r>
                </w:p>
              </w:tc>
              <w:tc>
                <w:tcPr>
                  <w:tcW w:w="1036" w:type="pct"/>
                  <w:tcBorders>
                    <w:tl2br w:val="nil"/>
                    <w:tr2bl w:val="nil"/>
                  </w:tcBorders>
                  <w:noWrap w:val="0"/>
                  <w:vAlign w:val="center"/>
                </w:tcPr>
                <w:p w14:paraId="1CEFE5E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0.01</w:t>
                  </w:r>
                </w:p>
              </w:tc>
              <w:tc>
                <w:tcPr>
                  <w:tcW w:w="1103" w:type="pct"/>
                  <w:tcBorders>
                    <w:tl2br w:val="nil"/>
                    <w:tr2bl w:val="nil"/>
                  </w:tcBorders>
                  <w:noWrap w:val="0"/>
                  <w:vAlign w:val="center"/>
                </w:tcPr>
                <w:p w14:paraId="1DD5BB8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0.01</w:t>
                  </w:r>
                </w:p>
              </w:tc>
              <w:tc>
                <w:tcPr>
                  <w:tcW w:w="1875" w:type="dxa"/>
                  <w:tcBorders>
                    <w:tl2br w:val="nil"/>
                    <w:tr2bl w:val="nil"/>
                  </w:tcBorders>
                  <w:noWrap w:val="0"/>
                  <w:vAlign w:val="center"/>
                </w:tcPr>
                <w:p w14:paraId="059432A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50</w:t>
                  </w:r>
                </w:p>
              </w:tc>
              <w:tc>
                <w:tcPr>
                  <w:tcW w:w="1023" w:type="pct"/>
                  <w:tcBorders>
                    <w:tl2br w:val="nil"/>
                    <w:tr2bl w:val="nil"/>
                  </w:tcBorders>
                  <w:noWrap w:val="0"/>
                  <w:vAlign w:val="center"/>
                </w:tcPr>
                <w:p w14:paraId="3A9624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color w:val="auto"/>
                      <w:sz w:val="21"/>
                      <w:szCs w:val="21"/>
                      <w:lang w:val="en-US" w:eastAsia="zh-CN"/>
                    </w:rPr>
                    <w:t>0.18</w:t>
                  </w:r>
                </w:p>
              </w:tc>
            </w:tr>
            <w:tr w14:paraId="07613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3" w:type="pct"/>
                  <w:tcBorders>
                    <w:tl2br w:val="nil"/>
                    <w:tr2bl w:val="nil"/>
                  </w:tcBorders>
                  <w:noWrap w:val="0"/>
                  <w:vAlign w:val="center"/>
                </w:tcPr>
                <w:p w14:paraId="763F435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75</w:t>
                  </w:r>
                </w:p>
              </w:tc>
              <w:tc>
                <w:tcPr>
                  <w:tcW w:w="1036" w:type="pct"/>
                  <w:tcBorders>
                    <w:tl2br w:val="nil"/>
                    <w:tr2bl w:val="nil"/>
                  </w:tcBorders>
                  <w:noWrap w:val="0"/>
                  <w:vAlign w:val="center"/>
                </w:tcPr>
                <w:p w14:paraId="7F00A61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0.01</w:t>
                  </w:r>
                </w:p>
              </w:tc>
              <w:tc>
                <w:tcPr>
                  <w:tcW w:w="1103" w:type="pct"/>
                  <w:tcBorders>
                    <w:tl2br w:val="nil"/>
                    <w:tr2bl w:val="nil"/>
                  </w:tcBorders>
                  <w:noWrap w:val="0"/>
                  <w:vAlign w:val="center"/>
                </w:tcPr>
                <w:p w14:paraId="7DE7019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0.01</w:t>
                  </w:r>
                </w:p>
              </w:tc>
              <w:tc>
                <w:tcPr>
                  <w:tcW w:w="1875" w:type="dxa"/>
                  <w:tcBorders>
                    <w:tl2br w:val="nil"/>
                    <w:tr2bl w:val="nil"/>
                  </w:tcBorders>
                  <w:noWrap w:val="0"/>
                  <w:vAlign w:val="center"/>
                </w:tcPr>
                <w:p w14:paraId="6DDDA9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75</w:t>
                  </w:r>
                </w:p>
              </w:tc>
              <w:tc>
                <w:tcPr>
                  <w:tcW w:w="1023" w:type="pct"/>
                  <w:tcBorders>
                    <w:tl2br w:val="nil"/>
                    <w:tr2bl w:val="nil"/>
                  </w:tcBorders>
                  <w:noWrap w:val="0"/>
                  <w:vAlign w:val="center"/>
                </w:tcPr>
                <w:p w14:paraId="2DE9096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color w:val="auto"/>
                      <w:sz w:val="21"/>
                      <w:szCs w:val="21"/>
                      <w:lang w:val="en-US" w:eastAsia="zh-CN"/>
                    </w:rPr>
                    <w:t>0.17</w:t>
                  </w:r>
                </w:p>
              </w:tc>
            </w:tr>
            <w:tr w14:paraId="57D905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3" w:type="pct"/>
                  <w:tcBorders>
                    <w:tl2br w:val="nil"/>
                    <w:tr2bl w:val="nil"/>
                  </w:tcBorders>
                  <w:noWrap w:val="0"/>
                  <w:vAlign w:val="center"/>
                </w:tcPr>
                <w:p w14:paraId="05BA7C3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100</w:t>
                  </w:r>
                </w:p>
              </w:tc>
              <w:tc>
                <w:tcPr>
                  <w:tcW w:w="1036" w:type="pct"/>
                  <w:tcBorders>
                    <w:tl2br w:val="nil"/>
                    <w:tr2bl w:val="nil"/>
                  </w:tcBorders>
                  <w:noWrap w:val="0"/>
                  <w:vAlign w:val="center"/>
                </w:tcPr>
                <w:p w14:paraId="5054A0C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0.05</w:t>
                  </w:r>
                </w:p>
              </w:tc>
              <w:tc>
                <w:tcPr>
                  <w:tcW w:w="1103" w:type="pct"/>
                  <w:tcBorders>
                    <w:tl2br w:val="nil"/>
                    <w:tr2bl w:val="nil"/>
                  </w:tcBorders>
                  <w:noWrap w:val="0"/>
                  <w:vAlign w:val="center"/>
                </w:tcPr>
                <w:p w14:paraId="22EF8F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0.03</w:t>
                  </w:r>
                </w:p>
              </w:tc>
              <w:tc>
                <w:tcPr>
                  <w:tcW w:w="1875" w:type="dxa"/>
                  <w:tcBorders>
                    <w:tl2br w:val="nil"/>
                    <w:tr2bl w:val="nil"/>
                  </w:tcBorders>
                  <w:noWrap w:val="0"/>
                  <w:vAlign w:val="center"/>
                </w:tcPr>
                <w:p w14:paraId="5246201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100</w:t>
                  </w:r>
                </w:p>
              </w:tc>
              <w:tc>
                <w:tcPr>
                  <w:tcW w:w="1023" w:type="pct"/>
                  <w:tcBorders>
                    <w:tl2br w:val="nil"/>
                    <w:tr2bl w:val="nil"/>
                  </w:tcBorders>
                  <w:noWrap w:val="0"/>
                  <w:vAlign w:val="center"/>
                </w:tcPr>
                <w:p w14:paraId="46C5D1B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color w:val="auto"/>
                      <w:sz w:val="21"/>
                      <w:szCs w:val="21"/>
                      <w:lang w:val="en-US" w:eastAsia="zh-CN"/>
                    </w:rPr>
                    <w:t>0.62</w:t>
                  </w:r>
                </w:p>
              </w:tc>
            </w:tr>
            <w:tr w14:paraId="327434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3" w:type="pct"/>
                  <w:tcBorders>
                    <w:tl2br w:val="nil"/>
                    <w:tr2bl w:val="nil"/>
                  </w:tcBorders>
                  <w:noWrap w:val="0"/>
                  <w:vAlign w:val="center"/>
                </w:tcPr>
                <w:p w14:paraId="6E68188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200</w:t>
                  </w:r>
                </w:p>
              </w:tc>
              <w:tc>
                <w:tcPr>
                  <w:tcW w:w="1036" w:type="pct"/>
                  <w:tcBorders>
                    <w:tl2br w:val="nil"/>
                    <w:tr2bl w:val="nil"/>
                  </w:tcBorders>
                  <w:noWrap w:val="0"/>
                  <w:vAlign w:val="center"/>
                </w:tcPr>
                <w:p w14:paraId="78AFE8A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0.19</w:t>
                  </w:r>
                </w:p>
              </w:tc>
              <w:tc>
                <w:tcPr>
                  <w:tcW w:w="1103" w:type="pct"/>
                  <w:tcBorders>
                    <w:tl2br w:val="nil"/>
                    <w:tr2bl w:val="nil"/>
                  </w:tcBorders>
                  <w:noWrap w:val="0"/>
                  <w:vAlign w:val="center"/>
                </w:tcPr>
                <w:p w14:paraId="38F4535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0.10</w:t>
                  </w:r>
                </w:p>
              </w:tc>
              <w:tc>
                <w:tcPr>
                  <w:tcW w:w="1875" w:type="dxa"/>
                  <w:tcBorders>
                    <w:tl2br w:val="nil"/>
                    <w:tr2bl w:val="nil"/>
                  </w:tcBorders>
                  <w:noWrap w:val="0"/>
                  <w:vAlign w:val="center"/>
                </w:tcPr>
                <w:p w14:paraId="50CE4F1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212</w:t>
                  </w:r>
                </w:p>
              </w:tc>
              <w:tc>
                <w:tcPr>
                  <w:tcW w:w="1023" w:type="pct"/>
                  <w:tcBorders>
                    <w:tl2br w:val="nil"/>
                    <w:tr2bl w:val="nil"/>
                  </w:tcBorders>
                  <w:noWrap w:val="0"/>
                  <w:vAlign w:val="center"/>
                </w:tcPr>
                <w:p w14:paraId="762D63F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2.35</w:t>
                  </w:r>
                </w:p>
              </w:tc>
            </w:tr>
            <w:tr w14:paraId="38F6B5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3" w:type="pct"/>
                  <w:tcBorders>
                    <w:tl2br w:val="nil"/>
                    <w:tr2bl w:val="nil"/>
                  </w:tcBorders>
                  <w:shd w:val="clear" w:color="auto" w:fill="auto"/>
                  <w:noWrap w:val="0"/>
                  <w:vAlign w:val="center"/>
                </w:tcPr>
                <w:p w14:paraId="6FC2F51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300</w:t>
                  </w:r>
                </w:p>
              </w:tc>
              <w:tc>
                <w:tcPr>
                  <w:tcW w:w="1036" w:type="pct"/>
                  <w:tcBorders>
                    <w:tl2br w:val="nil"/>
                    <w:tr2bl w:val="nil"/>
                  </w:tcBorders>
                  <w:shd w:val="clear" w:color="auto" w:fill="auto"/>
                  <w:noWrap w:val="0"/>
                  <w:vAlign w:val="center"/>
                </w:tcPr>
                <w:p w14:paraId="6AEFE53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0.17</w:t>
                  </w:r>
                </w:p>
              </w:tc>
              <w:tc>
                <w:tcPr>
                  <w:tcW w:w="1103" w:type="pct"/>
                  <w:tcBorders>
                    <w:tl2br w:val="nil"/>
                    <w:tr2bl w:val="nil"/>
                  </w:tcBorders>
                  <w:shd w:val="clear" w:color="auto" w:fill="auto"/>
                  <w:noWrap w:val="0"/>
                  <w:vAlign w:val="center"/>
                </w:tcPr>
                <w:p w14:paraId="27C2C2B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0.09</w:t>
                  </w:r>
                </w:p>
              </w:tc>
              <w:tc>
                <w:tcPr>
                  <w:tcW w:w="1875" w:type="dxa"/>
                  <w:tcBorders>
                    <w:tl2br w:val="nil"/>
                    <w:tr2bl w:val="nil"/>
                  </w:tcBorders>
                  <w:noWrap w:val="0"/>
                  <w:vAlign w:val="center"/>
                </w:tcPr>
                <w:p w14:paraId="455B7D0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300</w:t>
                  </w:r>
                </w:p>
              </w:tc>
              <w:tc>
                <w:tcPr>
                  <w:tcW w:w="1023" w:type="pct"/>
                  <w:tcBorders>
                    <w:tl2br w:val="nil"/>
                    <w:tr2bl w:val="nil"/>
                  </w:tcBorders>
                  <w:noWrap w:val="0"/>
                  <w:vAlign w:val="center"/>
                </w:tcPr>
                <w:p w14:paraId="6A430D8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2.06</w:t>
                  </w:r>
                </w:p>
              </w:tc>
            </w:tr>
            <w:tr w14:paraId="54875F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3" w:type="pct"/>
                  <w:tcBorders>
                    <w:tl2br w:val="nil"/>
                    <w:tr2bl w:val="nil"/>
                  </w:tcBorders>
                  <w:shd w:val="clear" w:color="auto" w:fill="auto"/>
                  <w:noWrap w:val="0"/>
                  <w:vAlign w:val="center"/>
                </w:tcPr>
                <w:p w14:paraId="060BAEE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500</w:t>
                  </w:r>
                </w:p>
              </w:tc>
              <w:tc>
                <w:tcPr>
                  <w:tcW w:w="1036" w:type="pct"/>
                  <w:tcBorders>
                    <w:tl2br w:val="nil"/>
                    <w:tr2bl w:val="nil"/>
                  </w:tcBorders>
                  <w:shd w:val="clear" w:color="auto" w:fill="auto"/>
                  <w:noWrap w:val="0"/>
                  <w:vAlign w:val="center"/>
                </w:tcPr>
                <w:p w14:paraId="3A84EE6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0.14</w:t>
                  </w:r>
                </w:p>
              </w:tc>
              <w:tc>
                <w:tcPr>
                  <w:tcW w:w="1103" w:type="pct"/>
                  <w:tcBorders>
                    <w:tl2br w:val="nil"/>
                    <w:tr2bl w:val="nil"/>
                  </w:tcBorders>
                  <w:shd w:val="clear" w:color="auto" w:fill="auto"/>
                  <w:noWrap w:val="0"/>
                  <w:vAlign w:val="center"/>
                </w:tcPr>
                <w:p w14:paraId="02F9BF8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0.07</w:t>
                  </w:r>
                </w:p>
              </w:tc>
              <w:tc>
                <w:tcPr>
                  <w:tcW w:w="1875" w:type="dxa"/>
                  <w:tcBorders>
                    <w:tl2br w:val="nil"/>
                    <w:tr2bl w:val="nil"/>
                  </w:tcBorders>
                  <w:noWrap w:val="0"/>
                  <w:vAlign w:val="center"/>
                </w:tcPr>
                <w:p w14:paraId="0AE8971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500</w:t>
                  </w:r>
                </w:p>
              </w:tc>
              <w:tc>
                <w:tcPr>
                  <w:tcW w:w="1023" w:type="pct"/>
                  <w:tcBorders>
                    <w:tl2br w:val="nil"/>
                    <w:tr2bl w:val="nil"/>
                  </w:tcBorders>
                  <w:noWrap w:val="0"/>
                  <w:vAlign w:val="center"/>
                </w:tcPr>
                <w:p w14:paraId="1825562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1.72</w:t>
                  </w:r>
                </w:p>
              </w:tc>
            </w:tr>
            <w:tr w14:paraId="54D80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3" w:type="pct"/>
                  <w:tcBorders>
                    <w:tl2br w:val="nil"/>
                    <w:tr2bl w:val="nil"/>
                  </w:tcBorders>
                  <w:noWrap w:val="0"/>
                  <w:vAlign w:val="center"/>
                </w:tcPr>
                <w:p w14:paraId="63053AC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1036" w:type="pct"/>
                  <w:tcBorders>
                    <w:tl2br w:val="nil"/>
                    <w:tr2bl w:val="nil"/>
                  </w:tcBorders>
                  <w:noWrap w:val="0"/>
                  <w:vAlign w:val="center"/>
                </w:tcPr>
                <w:p w14:paraId="3D75E74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0.09</w:t>
                  </w:r>
                </w:p>
              </w:tc>
              <w:tc>
                <w:tcPr>
                  <w:tcW w:w="1103" w:type="pct"/>
                  <w:tcBorders>
                    <w:tl2br w:val="nil"/>
                    <w:tr2bl w:val="nil"/>
                  </w:tcBorders>
                  <w:noWrap w:val="0"/>
                  <w:vAlign w:val="center"/>
                </w:tcPr>
                <w:p w14:paraId="4E0BE71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0.05</w:t>
                  </w:r>
                </w:p>
              </w:tc>
              <w:tc>
                <w:tcPr>
                  <w:tcW w:w="1875" w:type="dxa"/>
                  <w:tcBorders>
                    <w:tl2br w:val="nil"/>
                    <w:tr2bl w:val="nil"/>
                  </w:tcBorders>
                  <w:noWrap w:val="0"/>
                  <w:vAlign w:val="center"/>
                </w:tcPr>
                <w:p w14:paraId="7BA99E6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1023" w:type="pct"/>
                  <w:tcBorders>
                    <w:tl2br w:val="nil"/>
                    <w:tr2bl w:val="nil"/>
                  </w:tcBorders>
                  <w:noWrap w:val="0"/>
                  <w:vAlign w:val="center"/>
                </w:tcPr>
                <w:p w14:paraId="1C2F420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1.08</w:t>
                  </w:r>
                </w:p>
              </w:tc>
            </w:tr>
            <w:tr w14:paraId="75884E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3" w:type="pct"/>
                  <w:tcBorders>
                    <w:tl2br w:val="nil"/>
                    <w:tr2bl w:val="nil"/>
                  </w:tcBorders>
                  <w:noWrap w:val="0"/>
                  <w:vAlign w:val="center"/>
                </w:tcPr>
                <w:p w14:paraId="5779FE5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1500</w:t>
                  </w:r>
                </w:p>
              </w:tc>
              <w:tc>
                <w:tcPr>
                  <w:tcW w:w="1036" w:type="pct"/>
                  <w:tcBorders>
                    <w:tl2br w:val="nil"/>
                    <w:tr2bl w:val="nil"/>
                  </w:tcBorders>
                  <w:noWrap w:val="0"/>
                  <w:vAlign w:val="center"/>
                </w:tcPr>
                <w:p w14:paraId="238151F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0.06</w:t>
                  </w:r>
                </w:p>
              </w:tc>
              <w:tc>
                <w:tcPr>
                  <w:tcW w:w="1103" w:type="pct"/>
                  <w:tcBorders>
                    <w:tl2br w:val="nil"/>
                    <w:tr2bl w:val="nil"/>
                  </w:tcBorders>
                  <w:noWrap w:val="0"/>
                  <w:vAlign w:val="center"/>
                </w:tcPr>
                <w:p w14:paraId="30FAF5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0.03</w:t>
                  </w:r>
                </w:p>
              </w:tc>
              <w:tc>
                <w:tcPr>
                  <w:tcW w:w="1875" w:type="dxa"/>
                  <w:tcBorders>
                    <w:tl2br w:val="nil"/>
                    <w:tr2bl w:val="nil"/>
                  </w:tcBorders>
                  <w:noWrap w:val="0"/>
                  <w:vAlign w:val="center"/>
                </w:tcPr>
                <w:p w14:paraId="60DB51B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1500</w:t>
                  </w:r>
                </w:p>
              </w:tc>
              <w:tc>
                <w:tcPr>
                  <w:tcW w:w="1023" w:type="pct"/>
                  <w:tcBorders>
                    <w:tl2br w:val="nil"/>
                    <w:tr2bl w:val="nil"/>
                  </w:tcBorders>
                  <w:noWrap w:val="0"/>
                  <w:vAlign w:val="center"/>
                </w:tcPr>
                <w:p w14:paraId="0DAD057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w:t>
                  </w:r>
                  <w:r>
                    <w:rPr>
                      <w:rFonts w:hint="eastAsia" w:cs="Times New Roman"/>
                      <w:i w:val="0"/>
                      <w:iCs w:val="0"/>
                      <w:color w:val="auto"/>
                      <w:kern w:val="0"/>
                      <w:sz w:val="21"/>
                      <w:szCs w:val="21"/>
                      <w:u w:val="none"/>
                      <w:lang w:val="en-US" w:eastAsia="zh-CN" w:bidi="ar"/>
                    </w:rPr>
                    <w:t>3</w:t>
                  </w:r>
                </w:p>
              </w:tc>
            </w:tr>
            <w:tr w14:paraId="0FEF3A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3" w:type="pct"/>
                  <w:tcBorders>
                    <w:tl2br w:val="nil"/>
                    <w:tr2bl w:val="nil"/>
                  </w:tcBorders>
                  <w:noWrap w:val="0"/>
                  <w:vAlign w:val="center"/>
                </w:tcPr>
                <w:p w14:paraId="4FFB0A8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2000</w:t>
                  </w:r>
                </w:p>
              </w:tc>
              <w:tc>
                <w:tcPr>
                  <w:tcW w:w="1036" w:type="pct"/>
                  <w:tcBorders>
                    <w:tl2br w:val="nil"/>
                    <w:tr2bl w:val="nil"/>
                  </w:tcBorders>
                  <w:noWrap w:val="0"/>
                  <w:vAlign w:val="center"/>
                </w:tcPr>
                <w:p w14:paraId="1CF5054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0.05</w:t>
                  </w:r>
                </w:p>
              </w:tc>
              <w:tc>
                <w:tcPr>
                  <w:tcW w:w="1103" w:type="pct"/>
                  <w:tcBorders>
                    <w:tl2br w:val="nil"/>
                    <w:tr2bl w:val="nil"/>
                  </w:tcBorders>
                  <w:noWrap w:val="0"/>
                  <w:vAlign w:val="center"/>
                </w:tcPr>
                <w:p w14:paraId="37C27C0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0.03</w:t>
                  </w:r>
                </w:p>
              </w:tc>
              <w:tc>
                <w:tcPr>
                  <w:tcW w:w="1875" w:type="dxa"/>
                  <w:tcBorders>
                    <w:tl2br w:val="nil"/>
                    <w:tr2bl w:val="nil"/>
                  </w:tcBorders>
                  <w:noWrap w:val="0"/>
                  <w:vAlign w:val="center"/>
                </w:tcPr>
                <w:p w14:paraId="024A6F8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2000</w:t>
                  </w:r>
                </w:p>
              </w:tc>
              <w:tc>
                <w:tcPr>
                  <w:tcW w:w="1023" w:type="pct"/>
                  <w:tcBorders>
                    <w:tl2br w:val="nil"/>
                    <w:tr2bl w:val="nil"/>
                  </w:tcBorders>
                  <w:noWrap w:val="0"/>
                  <w:vAlign w:val="center"/>
                </w:tcPr>
                <w:p w14:paraId="3D377F5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0.61</w:t>
                  </w:r>
                </w:p>
              </w:tc>
            </w:tr>
            <w:tr w14:paraId="5FB4E3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3" w:type="pct"/>
                  <w:tcBorders>
                    <w:tl2br w:val="nil"/>
                    <w:tr2bl w:val="nil"/>
                  </w:tcBorders>
                  <w:noWrap w:val="0"/>
                  <w:vAlign w:val="center"/>
                </w:tcPr>
                <w:p w14:paraId="6FD0531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2500</w:t>
                  </w:r>
                </w:p>
              </w:tc>
              <w:tc>
                <w:tcPr>
                  <w:tcW w:w="1036" w:type="pct"/>
                  <w:tcBorders>
                    <w:tl2br w:val="nil"/>
                    <w:tr2bl w:val="nil"/>
                  </w:tcBorders>
                  <w:noWrap w:val="0"/>
                  <w:vAlign w:val="center"/>
                </w:tcPr>
                <w:p w14:paraId="24030E2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0.05</w:t>
                  </w:r>
                </w:p>
              </w:tc>
              <w:tc>
                <w:tcPr>
                  <w:tcW w:w="1103" w:type="pct"/>
                  <w:tcBorders>
                    <w:tl2br w:val="nil"/>
                    <w:tr2bl w:val="nil"/>
                  </w:tcBorders>
                  <w:noWrap w:val="0"/>
                  <w:vAlign w:val="center"/>
                </w:tcPr>
                <w:p w14:paraId="0269E8E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0.03</w:t>
                  </w:r>
                </w:p>
              </w:tc>
              <w:tc>
                <w:tcPr>
                  <w:tcW w:w="1875" w:type="dxa"/>
                  <w:tcBorders>
                    <w:tl2br w:val="nil"/>
                    <w:tr2bl w:val="nil"/>
                  </w:tcBorders>
                  <w:noWrap w:val="0"/>
                  <w:vAlign w:val="center"/>
                </w:tcPr>
                <w:p w14:paraId="1896F41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2500</w:t>
                  </w:r>
                </w:p>
              </w:tc>
              <w:tc>
                <w:tcPr>
                  <w:tcW w:w="1023" w:type="pct"/>
                  <w:tcBorders>
                    <w:tl2br w:val="nil"/>
                    <w:tr2bl w:val="nil"/>
                  </w:tcBorders>
                  <w:noWrap w:val="0"/>
                  <w:vAlign w:val="center"/>
                </w:tcPr>
                <w:p w14:paraId="00C2868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0.65</w:t>
                  </w:r>
                </w:p>
              </w:tc>
            </w:tr>
            <w:tr w14:paraId="7F2858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3" w:type="pct"/>
                  <w:tcBorders>
                    <w:tl2br w:val="nil"/>
                    <w:tr2bl w:val="nil"/>
                  </w:tcBorders>
                  <w:noWrap w:val="0"/>
                  <w:vAlign w:val="center"/>
                </w:tcPr>
                <w:p w14:paraId="147AC8B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下风向最大质量浓度</w:t>
                  </w:r>
                </w:p>
              </w:tc>
              <w:tc>
                <w:tcPr>
                  <w:tcW w:w="1763" w:type="dxa"/>
                  <w:tcBorders>
                    <w:tl2br w:val="nil"/>
                    <w:tr2bl w:val="nil"/>
                  </w:tcBorders>
                  <w:noWrap w:val="0"/>
                  <w:vAlign w:val="center"/>
                </w:tcPr>
                <w:p w14:paraId="40986ED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0.19</w:t>
                  </w:r>
                </w:p>
              </w:tc>
              <w:tc>
                <w:tcPr>
                  <w:tcW w:w="1877" w:type="dxa"/>
                  <w:tcBorders>
                    <w:tl2br w:val="nil"/>
                    <w:tr2bl w:val="nil"/>
                  </w:tcBorders>
                  <w:noWrap w:val="0"/>
                  <w:vAlign w:val="center"/>
                </w:tcPr>
                <w:p w14:paraId="6EFC6C0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0.10</w:t>
                  </w:r>
                </w:p>
              </w:tc>
              <w:tc>
                <w:tcPr>
                  <w:tcW w:w="1102" w:type="pct"/>
                  <w:tcBorders>
                    <w:tl2br w:val="nil"/>
                    <w:tr2bl w:val="nil"/>
                  </w:tcBorders>
                  <w:noWrap w:val="0"/>
                  <w:vAlign w:val="center"/>
                </w:tcPr>
                <w:p w14:paraId="29A5FA8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下风向最大质量浓度</w:t>
                  </w:r>
                </w:p>
              </w:tc>
              <w:tc>
                <w:tcPr>
                  <w:tcW w:w="1023" w:type="pct"/>
                  <w:tcBorders>
                    <w:tl2br w:val="nil"/>
                    <w:tr2bl w:val="nil"/>
                  </w:tcBorders>
                  <w:noWrap w:val="0"/>
                  <w:vAlign w:val="center"/>
                </w:tcPr>
                <w:p w14:paraId="2F7801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2.35</w:t>
                  </w:r>
                </w:p>
              </w:tc>
            </w:tr>
          </w:tbl>
          <w:p w14:paraId="12745526">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22" w:firstLineChars="200"/>
              <w:jc w:val="center"/>
              <w:textAlignment w:val="auto"/>
              <w:rPr>
                <w:rFonts w:hint="default" w:ascii="Times New Roman" w:hAnsi="Times New Roman" w:eastAsia="宋体" w:cs="Times New Roman"/>
                <w:color w:val="auto"/>
                <w:sz w:val="21"/>
                <w:szCs w:val="20"/>
                <w:lang w:val="en-US" w:eastAsia="zh-CN"/>
              </w:rPr>
            </w:pPr>
            <w:r>
              <w:rPr>
                <w:rFonts w:hint="default" w:ascii="Times New Roman" w:hAnsi="Times New Roman" w:eastAsia="宋体" w:cs="Times New Roman"/>
                <w:b/>
                <w:bCs/>
                <w:color w:val="auto"/>
                <w:kern w:val="0"/>
                <w:sz w:val="21"/>
                <w:szCs w:val="21"/>
                <w:lang w:val="en-US" w:eastAsia="zh-CN" w:bidi="ar-SA"/>
              </w:rPr>
              <w:t>表4.5-</w:t>
            </w:r>
            <w:r>
              <w:rPr>
                <w:rFonts w:hint="eastAsia" w:cs="Times New Roman"/>
                <w:b/>
                <w:bCs/>
                <w:color w:val="auto"/>
                <w:kern w:val="0"/>
                <w:sz w:val="21"/>
                <w:szCs w:val="21"/>
                <w:lang w:val="en-US" w:eastAsia="zh-CN" w:bidi="ar-SA"/>
              </w:rPr>
              <w:t>6</w:t>
            </w:r>
            <w:r>
              <w:rPr>
                <w:rFonts w:hint="default" w:ascii="Times New Roman" w:hAnsi="Times New Roman" w:eastAsia="宋体" w:cs="Times New Roman"/>
                <w:b/>
                <w:bCs/>
                <w:color w:val="auto"/>
                <w:kern w:val="0"/>
                <w:sz w:val="21"/>
                <w:szCs w:val="21"/>
                <w:lang w:val="en-US" w:eastAsia="zh-CN" w:bidi="ar-SA"/>
              </w:rPr>
              <w:t>无组织估算结果表</w:t>
            </w:r>
          </w:p>
          <w:tbl>
            <w:tblPr>
              <w:tblStyle w:val="23"/>
              <w:tblW w:w="506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24"/>
              <w:gridCol w:w="2126"/>
              <w:gridCol w:w="2127"/>
              <w:gridCol w:w="2127"/>
            </w:tblGrid>
            <w:tr w14:paraId="3E5DE8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8" w:type="pct"/>
                  <w:vMerge w:val="restart"/>
                  <w:tcBorders>
                    <w:tl2br w:val="nil"/>
                    <w:tr2bl w:val="nil"/>
                  </w:tcBorders>
                  <w:noWrap w:val="0"/>
                  <w:vAlign w:val="center"/>
                </w:tcPr>
                <w:p w14:paraId="1EFEBD7B">
                  <w:pPr>
                    <w:widowControl w:val="0"/>
                    <w:overflowPunct w:val="0"/>
                    <w:autoSpaceDE w:val="0"/>
                    <w:autoSpaceDN w:val="0"/>
                    <w:bidi w:val="0"/>
                    <w:adjustRightInd w:val="0"/>
                    <w:snapToGrid w:val="0"/>
                    <w:spacing w:before="0" w:after="0" w:line="320" w:lineRule="exact"/>
                    <w:ind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下风向距离/m</w:t>
                  </w:r>
                </w:p>
              </w:tc>
              <w:tc>
                <w:tcPr>
                  <w:tcW w:w="1250" w:type="pct"/>
                  <w:tcBorders>
                    <w:tl2br w:val="nil"/>
                    <w:tr2bl w:val="nil"/>
                  </w:tcBorders>
                  <w:noWrap w:val="0"/>
                  <w:vAlign w:val="center"/>
                </w:tcPr>
                <w:p w14:paraId="4B5E1784">
                  <w:pPr>
                    <w:widowControl w:val="0"/>
                    <w:overflowPunct w:val="0"/>
                    <w:autoSpaceDE w:val="0"/>
                    <w:autoSpaceDN w:val="0"/>
                    <w:bidi w:val="0"/>
                    <w:adjustRightInd w:val="0"/>
                    <w:snapToGrid w:val="0"/>
                    <w:spacing w:before="0" w:after="0" w:line="320" w:lineRule="exact"/>
                    <w:ind w:right="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color w:val="auto"/>
                      <w:kern w:val="2"/>
                      <w:sz w:val="21"/>
                      <w:szCs w:val="21"/>
                      <w:lang w:val="en-US" w:eastAsia="zh-CN"/>
                    </w:rPr>
                    <w:t>颗粒物</w:t>
                  </w:r>
                  <w:r>
                    <w:rPr>
                      <w:rFonts w:hint="default" w:ascii="Times New Roman" w:hAnsi="Times New Roman" w:eastAsia="宋体" w:cs="Times New Roman"/>
                      <w:color w:val="auto"/>
                      <w:sz w:val="21"/>
                      <w:szCs w:val="21"/>
                      <w:lang w:val="en-US" w:eastAsia="zh-CN"/>
                    </w:rPr>
                    <w:t>（厂界）</w:t>
                  </w:r>
                </w:p>
              </w:tc>
              <w:tc>
                <w:tcPr>
                  <w:tcW w:w="1250" w:type="pct"/>
                  <w:tcBorders>
                    <w:tl2br w:val="nil"/>
                    <w:tr2bl w:val="nil"/>
                  </w:tcBorders>
                  <w:noWrap w:val="0"/>
                  <w:vAlign w:val="center"/>
                </w:tcPr>
                <w:p w14:paraId="74909E4F">
                  <w:pPr>
                    <w:widowControl w:val="0"/>
                    <w:overflowPunct w:val="0"/>
                    <w:autoSpaceDE w:val="0"/>
                    <w:autoSpaceDN w:val="0"/>
                    <w:bidi w:val="0"/>
                    <w:adjustRightInd w:val="0"/>
                    <w:snapToGrid w:val="0"/>
                    <w:spacing w:before="0" w:after="0" w:line="320" w:lineRule="exact"/>
                    <w:ind w:right="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氨</w:t>
                  </w:r>
                  <w:r>
                    <w:rPr>
                      <w:rFonts w:hint="default" w:ascii="Times New Roman" w:hAnsi="Times New Roman" w:eastAsia="宋体" w:cs="Times New Roman"/>
                      <w:color w:val="auto"/>
                      <w:sz w:val="21"/>
                      <w:szCs w:val="21"/>
                      <w:lang w:val="en-US" w:eastAsia="zh-CN"/>
                    </w:rPr>
                    <w:t>（厂界）</w:t>
                  </w:r>
                </w:p>
              </w:tc>
              <w:tc>
                <w:tcPr>
                  <w:tcW w:w="1250" w:type="pct"/>
                  <w:tcBorders>
                    <w:tl2br w:val="nil"/>
                    <w:tr2bl w:val="nil"/>
                  </w:tcBorders>
                  <w:noWrap w:val="0"/>
                  <w:vAlign w:val="center"/>
                </w:tcPr>
                <w:p w14:paraId="730A01F2">
                  <w:pPr>
                    <w:widowControl w:val="0"/>
                    <w:overflowPunct w:val="0"/>
                    <w:autoSpaceDE w:val="0"/>
                    <w:autoSpaceDN w:val="0"/>
                    <w:bidi w:val="0"/>
                    <w:adjustRightInd w:val="0"/>
                    <w:snapToGrid w:val="0"/>
                    <w:spacing w:before="0" w:after="0" w:line="320" w:lineRule="exact"/>
                    <w:ind w:right="0" w:right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硫化氢</w:t>
                  </w:r>
                  <w:r>
                    <w:rPr>
                      <w:rFonts w:hint="default" w:ascii="Times New Roman" w:hAnsi="Times New Roman" w:eastAsia="宋体" w:cs="Times New Roman"/>
                      <w:color w:val="auto"/>
                      <w:sz w:val="21"/>
                      <w:szCs w:val="21"/>
                      <w:lang w:val="en-US" w:eastAsia="zh-CN"/>
                    </w:rPr>
                    <w:t>（厂界）</w:t>
                  </w:r>
                </w:p>
              </w:tc>
            </w:tr>
            <w:tr w14:paraId="180B0F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8" w:type="pct"/>
                  <w:vMerge w:val="continue"/>
                  <w:tcBorders>
                    <w:tl2br w:val="nil"/>
                    <w:tr2bl w:val="nil"/>
                  </w:tcBorders>
                  <w:noWrap w:val="0"/>
                  <w:vAlign w:val="center"/>
                </w:tcPr>
                <w:p w14:paraId="457EDEB2">
                  <w:pPr>
                    <w:widowControl w:val="0"/>
                    <w:overflowPunct w:val="0"/>
                    <w:autoSpaceDE w:val="0"/>
                    <w:autoSpaceDN w:val="0"/>
                    <w:bidi w:val="0"/>
                    <w:adjustRightInd w:val="0"/>
                    <w:snapToGrid w:val="0"/>
                    <w:spacing w:before="0" w:after="0" w:line="320" w:lineRule="exact"/>
                    <w:ind w:left="0" w:right="0" w:firstLine="420" w:firstLineChars="200"/>
                    <w:jc w:val="center"/>
                    <w:rPr>
                      <w:rFonts w:hint="default" w:ascii="Times New Roman" w:hAnsi="Times New Roman" w:eastAsia="宋体" w:cs="Times New Roman"/>
                      <w:color w:val="auto"/>
                      <w:kern w:val="0"/>
                      <w:sz w:val="21"/>
                      <w:szCs w:val="21"/>
                      <w:lang w:val="en-US" w:eastAsia="zh-CN" w:bidi="ar-SA"/>
                    </w:rPr>
                  </w:pPr>
                </w:p>
              </w:tc>
              <w:tc>
                <w:tcPr>
                  <w:tcW w:w="1250" w:type="pct"/>
                  <w:tcBorders>
                    <w:tl2br w:val="nil"/>
                    <w:tr2bl w:val="nil"/>
                  </w:tcBorders>
                  <w:noWrap w:val="0"/>
                  <w:vAlign w:val="center"/>
                </w:tcPr>
                <w:p w14:paraId="0452D188">
                  <w:pPr>
                    <w:widowControl w:val="0"/>
                    <w:overflowPunct w:val="0"/>
                    <w:autoSpaceDE w:val="0"/>
                    <w:autoSpaceDN w:val="0"/>
                    <w:bidi w:val="0"/>
                    <w:adjustRightInd w:val="0"/>
                    <w:snapToGrid w:val="0"/>
                    <w:spacing w:before="0" w:after="0" w:line="320" w:lineRule="exact"/>
                    <w:ind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预测质量浓度</w:t>
                  </w:r>
                  <w:r>
                    <w:rPr>
                      <w:rFonts w:hint="default"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color w:val="auto"/>
                      <w:kern w:val="0"/>
                      <w:sz w:val="21"/>
                      <w:szCs w:val="21"/>
                      <w:lang w:val="en-US" w:eastAsia="zh-CN" w:bidi="ar-SA"/>
                    </w:rPr>
                    <w:t>mg/m</w:t>
                  </w:r>
                  <w:r>
                    <w:rPr>
                      <w:rFonts w:hint="default" w:ascii="Times New Roman" w:hAnsi="Times New Roman" w:eastAsia="宋体" w:cs="Times New Roman"/>
                      <w:color w:val="auto"/>
                      <w:kern w:val="0"/>
                      <w:sz w:val="21"/>
                      <w:szCs w:val="21"/>
                      <w:vertAlign w:val="superscript"/>
                      <w:lang w:val="en-US" w:eastAsia="zh-CN" w:bidi="ar-SA"/>
                    </w:rPr>
                    <w:t>3</w:t>
                  </w:r>
                  <w:r>
                    <w:rPr>
                      <w:rFonts w:hint="default" w:ascii="Times New Roman" w:hAnsi="Times New Roman" w:eastAsia="宋体" w:cs="Times New Roman"/>
                      <w:i w:val="0"/>
                      <w:iCs w:val="0"/>
                      <w:color w:val="auto"/>
                      <w:kern w:val="0"/>
                      <w:sz w:val="21"/>
                      <w:szCs w:val="21"/>
                      <w:u w:val="none"/>
                      <w:lang w:val="en-US" w:eastAsia="zh-CN" w:bidi="ar"/>
                    </w:rPr>
                    <w:t>）</w:t>
                  </w:r>
                </w:p>
              </w:tc>
              <w:tc>
                <w:tcPr>
                  <w:tcW w:w="1250" w:type="pct"/>
                  <w:tcBorders>
                    <w:tl2br w:val="nil"/>
                    <w:tr2bl w:val="nil"/>
                  </w:tcBorders>
                  <w:noWrap w:val="0"/>
                  <w:vAlign w:val="center"/>
                </w:tcPr>
                <w:p w14:paraId="6376DFFD">
                  <w:pPr>
                    <w:widowControl w:val="0"/>
                    <w:overflowPunct w:val="0"/>
                    <w:autoSpaceDE w:val="0"/>
                    <w:autoSpaceDN w:val="0"/>
                    <w:bidi w:val="0"/>
                    <w:adjustRightInd w:val="0"/>
                    <w:snapToGrid w:val="0"/>
                    <w:spacing w:before="0" w:after="0" w:line="320" w:lineRule="exact"/>
                    <w:ind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预测质量浓度</w:t>
                  </w:r>
                  <w:r>
                    <w:rPr>
                      <w:rFonts w:hint="default"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color w:val="auto"/>
                      <w:kern w:val="0"/>
                      <w:sz w:val="21"/>
                      <w:szCs w:val="21"/>
                      <w:lang w:val="en-US" w:eastAsia="zh-CN" w:bidi="ar-SA"/>
                    </w:rPr>
                    <w:t>mg/m</w:t>
                  </w:r>
                  <w:r>
                    <w:rPr>
                      <w:rFonts w:hint="default" w:ascii="Times New Roman" w:hAnsi="Times New Roman" w:eastAsia="宋体" w:cs="Times New Roman"/>
                      <w:color w:val="auto"/>
                      <w:kern w:val="0"/>
                      <w:sz w:val="21"/>
                      <w:szCs w:val="21"/>
                      <w:vertAlign w:val="superscript"/>
                      <w:lang w:val="en-US" w:eastAsia="zh-CN" w:bidi="ar-SA"/>
                    </w:rPr>
                    <w:t>3</w:t>
                  </w:r>
                  <w:r>
                    <w:rPr>
                      <w:rFonts w:hint="default" w:ascii="Times New Roman" w:hAnsi="Times New Roman" w:eastAsia="宋体" w:cs="Times New Roman"/>
                      <w:i w:val="0"/>
                      <w:iCs w:val="0"/>
                      <w:color w:val="auto"/>
                      <w:kern w:val="0"/>
                      <w:sz w:val="21"/>
                      <w:szCs w:val="21"/>
                      <w:u w:val="none"/>
                      <w:lang w:val="en-US" w:eastAsia="zh-CN" w:bidi="ar"/>
                    </w:rPr>
                    <w:t>）</w:t>
                  </w:r>
                </w:p>
              </w:tc>
              <w:tc>
                <w:tcPr>
                  <w:tcW w:w="1250" w:type="pct"/>
                  <w:tcBorders>
                    <w:tl2br w:val="nil"/>
                    <w:tr2bl w:val="nil"/>
                  </w:tcBorders>
                  <w:noWrap w:val="0"/>
                  <w:vAlign w:val="center"/>
                </w:tcPr>
                <w:p w14:paraId="4143E15B">
                  <w:pPr>
                    <w:widowControl w:val="0"/>
                    <w:overflowPunct w:val="0"/>
                    <w:autoSpaceDE w:val="0"/>
                    <w:autoSpaceDN w:val="0"/>
                    <w:bidi w:val="0"/>
                    <w:adjustRightInd w:val="0"/>
                    <w:snapToGrid w:val="0"/>
                    <w:spacing w:before="0" w:after="0" w:line="320" w:lineRule="exact"/>
                    <w:ind w:right="0" w:right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预测质量浓度</w:t>
                  </w:r>
                  <w:r>
                    <w:rPr>
                      <w:rFonts w:hint="default"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color w:val="auto"/>
                      <w:kern w:val="0"/>
                      <w:sz w:val="21"/>
                      <w:szCs w:val="21"/>
                      <w:lang w:val="en-US" w:eastAsia="zh-CN" w:bidi="ar-SA"/>
                    </w:rPr>
                    <w:t>mg/m</w:t>
                  </w:r>
                  <w:r>
                    <w:rPr>
                      <w:rFonts w:hint="default" w:ascii="Times New Roman" w:hAnsi="Times New Roman" w:eastAsia="宋体" w:cs="Times New Roman"/>
                      <w:color w:val="auto"/>
                      <w:kern w:val="0"/>
                      <w:sz w:val="21"/>
                      <w:szCs w:val="21"/>
                      <w:vertAlign w:val="superscript"/>
                      <w:lang w:val="en-US" w:eastAsia="zh-CN" w:bidi="ar-SA"/>
                    </w:rPr>
                    <w:t>3</w:t>
                  </w:r>
                  <w:r>
                    <w:rPr>
                      <w:rFonts w:hint="default" w:ascii="Times New Roman" w:hAnsi="Times New Roman" w:eastAsia="宋体" w:cs="Times New Roman"/>
                      <w:i w:val="0"/>
                      <w:iCs w:val="0"/>
                      <w:color w:val="auto"/>
                      <w:kern w:val="0"/>
                      <w:sz w:val="21"/>
                      <w:szCs w:val="21"/>
                      <w:u w:val="none"/>
                      <w:lang w:val="en-US" w:eastAsia="zh-CN" w:bidi="ar"/>
                    </w:rPr>
                    <w:t>）</w:t>
                  </w:r>
                </w:p>
              </w:tc>
            </w:tr>
            <w:tr w14:paraId="37322A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248" w:type="pct"/>
                  <w:tcBorders>
                    <w:tl2br w:val="nil"/>
                    <w:tr2bl w:val="nil"/>
                  </w:tcBorders>
                  <w:noWrap w:val="0"/>
                  <w:vAlign w:val="center"/>
                </w:tcPr>
                <w:p w14:paraId="432AE3E0">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250" w:type="pct"/>
                  <w:tcBorders>
                    <w:tl2br w:val="nil"/>
                    <w:tr2bl w:val="nil"/>
                  </w:tcBorders>
                  <w:noWrap w:val="0"/>
                  <w:vAlign w:val="center"/>
                </w:tcPr>
                <w:p w14:paraId="78A18951">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31.86</w:t>
                  </w:r>
                </w:p>
              </w:tc>
              <w:tc>
                <w:tcPr>
                  <w:tcW w:w="1250" w:type="pct"/>
                  <w:tcBorders>
                    <w:tl2br w:val="nil"/>
                    <w:tr2bl w:val="nil"/>
                  </w:tcBorders>
                  <w:noWrap w:val="0"/>
                  <w:vAlign w:val="center"/>
                </w:tcPr>
                <w:p w14:paraId="5BBDE0EF">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0.25</w:t>
                  </w:r>
                </w:p>
              </w:tc>
              <w:tc>
                <w:tcPr>
                  <w:tcW w:w="1250" w:type="pct"/>
                  <w:tcBorders>
                    <w:tl2br w:val="nil"/>
                    <w:tr2bl w:val="nil"/>
                  </w:tcBorders>
                  <w:noWrap w:val="0"/>
                  <w:vAlign w:val="center"/>
                </w:tcPr>
                <w:p w14:paraId="10EF77E1">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0.13</w:t>
                  </w:r>
                </w:p>
              </w:tc>
            </w:tr>
            <w:tr w14:paraId="431394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8" w:type="pct"/>
                  <w:tcBorders>
                    <w:tl2br w:val="nil"/>
                    <w:tr2bl w:val="nil"/>
                  </w:tcBorders>
                  <w:noWrap w:val="0"/>
                  <w:vAlign w:val="center"/>
                </w:tcPr>
                <w:p w14:paraId="59D8A96B">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25</w:t>
                  </w:r>
                </w:p>
              </w:tc>
              <w:tc>
                <w:tcPr>
                  <w:tcW w:w="1250" w:type="pct"/>
                  <w:tcBorders>
                    <w:tl2br w:val="nil"/>
                    <w:tr2bl w:val="nil"/>
                  </w:tcBorders>
                  <w:noWrap w:val="0"/>
                  <w:vAlign w:val="center"/>
                </w:tcPr>
                <w:p w14:paraId="24B0C043">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39.22</w:t>
                  </w:r>
                </w:p>
              </w:tc>
              <w:tc>
                <w:tcPr>
                  <w:tcW w:w="1250" w:type="pct"/>
                  <w:tcBorders>
                    <w:tl2br w:val="nil"/>
                    <w:tr2bl w:val="nil"/>
                  </w:tcBorders>
                  <w:noWrap w:val="0"/>
                  <w:vAlign w:val="center"/>
                </w:tcPr>
                <w:p w14:paraId="712989BC">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0.30</w:t>
                  </w:r>
                </w:p>
              </w:tc>
              <w:tc>
                <w:tcPr>
                  <w:tcW w:w="1250" w:type="pct"/>
                  <w:tcBorders>
                    <w:tl2br w:val="nil"/>
                    <w:tr2bl w:val="nil"/>
                  </w:tcBorders>
                  <w:noWrap w:val="0"/>
                  <w:vAlign w:val="center"/>
                </w:tcPr>
                <w:p w14:paraId="2BFB5B8E">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0.16</w:t>
                  </w:r>
                </w:p>
              </w:tc>
            </w:tr>
            <w:tr w14:paraId="302FFD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8" w:type="pct"/>
                  <w:tcBorders>
                    <w:tl2br w:val="nil"/>
                    <w:tr2bl w:val="nil"/>
                  </w:tcBorders>
                  <w:noWrap w:val="0"/>
                  <w:vAlign w:val="center"/>
                </w:tcPr>
                <w:p w14:paraId="421DE903">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50</w:t>
                  </w:r>
                </w:p>
              </w:tc>
              <w:tc>
                <w:tcPr>
                  <w:tcW w:w="1250" w:type="pct"/>
                  <w:tcBorders>
                    <w:tl2br w:val="nil"/>
                    <w:tr2bl w:val="nil"/>
                  </w:tcBorders>
                  <w:noWrap w:val="0"/>
                  <w:vAlign w:val="center"/>
                </w:tcPr>
                <w:p w14:paraId="6797FA09">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4935</w:t>
                  </w:r>
                </w:p>
              </w:tc>
              <w:tc>
                <w:tcPr>
                  <w:tcW w:w="1250" w:type="pct"/>
                  <w:tcBorders>
                    <w:tl2br w:val="nil"/>
                    <w:tr2bl w:val="nil"/>
                  </w:tcBorders>
                  <w:noWrap w:val="0"/>
                  <w:vAlign w:val="center"/>
                </w:tcPr>
                <w:p w14:paraId="63AB47A5">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0.38</w:t>
                  </w:r>
                </w:p>
              </w:tc>
              <w:tc>
                <w:tcPr>
                  <w:tcW w:w="1250" w:type="pct"/>
                  <w:tcBorders>
                    <w:tl2br w:val="nil"/>
                    <w:tr2bl w:val="nil"/>
                  </w:tcBorders>
                  <w:noWrap w:val="0"/>
                  <w:vAlign w:val="center"/>
                </w:tcPr>
                <w:p w14:paraId="014BFB77">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0.20</w:t>
                  </w:r>
                </w:p>
              </w:tc>
            </w:tr>
            <w:tr w14:paraId="135E4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8" w:type="pct"/>
                  <w:tcBorders>
                    <w:tl2br w:val="nil"/>
                    <w:tr2bl w:val="nil"/>
                  </w:tcBorders>
                  <w:noWrap w:val="0"/>
                  <w:vAlign w:val="center"/>
                </w:tcPr>
                <w:p w14:paraId="4DFDE6B5">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75</w:t>
                  </w:r>
                </w:p>
              </w:tc>
              <w:tc>
                <w:tcPr>
                  <w:tcW w:w="1250" w:type="pct"/>
                  <w:tcBorders>
                    <w:tl2br w:val="nil"/>
                    <w:tr2bl w:val="nil"/>
                  </w:tcBorders>
                  <w:noWrap w:val="0"/>
                  <w:vAlign w:val="center"/>
                </w:tcPr>
                <w:p w14:paraId="73867813">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59.03</w:t>
                  </w:r>
                </w:p>
              </w:tc>
              <w:tc>
                <w:tcPr>
                  <w:tcW w:w="1250" w:type="pct"/>
                  <w:tcBorders>
                    <w:tl2br w:val="nil"/>
                    <w:tr2bl w:val="nil"/>
                  </w:tcBorders>
                  <w:noWrap w:val="0"/>
                  <w:vAlign w:val="center"/>
                </w:tcPr>
                <w:p w14:paraId="5BC48918">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0.46</w:t>
                  </w:r>
                </w:p>
              </w:tc>
              <w:tc>
                <w:tcPr>
                  <w:tcW w:w="1250" w:type="pct"/>
                  <w:tcBorders>
                    <w:tl2br w:val="nil"/>
                    <w:tr2bl w:val="nil"/>
                  </w:tcBorders>
                  <w:noWrap w:val="0"/>
                  <w:vAlign w:val="center"/>
                </w:tcPr>
                <w:p w14:paraId="29DE7FC4">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0.24</w:t>
                  </w:r>
                </w:p>
              </w:tc>
            </w:tr>
            <w:tr w14:paraId="3098A3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8" w:type="pct"/>
                  <w:tcBorders>
                    <w:tl2br w:val="nil"/>
                    <w:tr2bl w:val="nil"/>
                  </w:tcBorders>
                  <w:noWrap w:val="0"/>
                  <w:vAlign w:val="center"/>
                </w:tcPr>
                <w:p w14:paraId="0D94C759">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89</w:t>
                  </w:r>
                </w:p>
              </w:tc>
              <w:tc>
                <w:tcPr>
                  <w:tcW w:w="1250" w:type="pct"/>
                  <w:tcBorders>
                    <w:tl2br w:val="nil"/>
                    <w:tr2bl w:val="nil"/>
                  </w:tcBorders>
                  <w:noWrap w:val="0"/>
                  <w:vAlign w:val="center"/>
                </w:tcPr>
                <w:p w14:paraId="453A5BE3">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sz w:val="21"/>
                      <w:szCs w:val="21"/>
                      <w:lang w:val="en-US" w:eastAsia="zh-CN"/>
                    </w:rPr>
                    <w:t>60.72</w:t>
                  </w:r>
                </w:p>
              </w:tc>
              <w:tc>
                <w:tcPr>
                  <w:tcW w:w="1250" w:type="pct"/>
                  <w:tcBorders>
                    <w:tl2br w:val="nil"/>
                    <w:tr2bl w:val="nil"/>
                  </w:tcBorders>
                  <w:noWrap w:val="0"/>
                  <w:vAlign w:val="center"/>
                </w:tcPr>
                <w:p w14:paraId="784B92CB">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0.47</w:t>
                  </w:r>
                </w:p>
              </w:tc>
              <w:tc>
                <w:tcPr>
                  <w:tcW w:w="1250" w:type="pct"/>
                  <w:tcBorders>
                    <w:tl2br w:val="nil"/>
                    <w:tr2bl w:val="nil"/>
                  </w:tcBorders>
                  <w:noWrap w:val="0"/>
                  <w:vAlign w:val="center"/>
                </w:tcPr>
                <w:p w14:paraId="7E62E57F">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0.24</w:t>
                  </w:r>
                </w:p>
              </w:tc>
            </w:tr>
            <w:tr w14:paraId="2ADFA9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8" w:type="pct"/>
                  <w:tcBorders>
                    <w:tl2br w:val="nil"/>
                    <w:tr2bl w:val="nil"/>
                  </w:tcBorders>
                  <w:noWrap w:val="0"/>
                  <w:vAlign w:val="center"/>
                </w:tcPr>
                <w:p w14:paraId="04D62788">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100</w:t>
                  </w:r>
                </w:p>
              </w:tc>
              <w:tc>
                <w:tcPr>
                  <w:tcW w:w="1250" w:type="pct"/>
                  <w:tcBorders>
                    <w:tl2br w:val="nil"/>
                    <w:tr2bl w:val="nil"/>
                  </w:tcBorders>
                  <w:noWrap w:val="0"/>
                  <w:vAlign w:val="center"/>
                </w:tcPr>
                <w:p w14:paraId="3C780A05">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59.98</w:t>
                  </w:r>
                </w:p>
              </w:tc>
              <w:tc>
                <w:tcPr>
                  <w:tcW w:w="1250" w:type="pct"/>
                  <w:tcBorders>
                    <w:tl2br w:val="nil"/>
                    <w:tr2bl w:val="nil"/>
                  </w:tcBorders>
                  <w:noWrap w:val="0"/>
                  <w:vAlign w:val="center"/>
                </w:tcPr>
                <w:p w14:paraId="0B543A0E">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0.46</w:t>
                  </w:r>
                </w:p>
              </w:tc>
              <w:tc>
                <w:tcPr>
                  <w:tcW w:w="1250" w:type="pct"/>
                  <w:tcBorders>
                    <w:tl2br w:val="nil"/>
                    <w:tr2bl w:val="nil"/>
                  </w:tcBorders>
                  <w:noWrap w:val="0"/>
                  <w:vAlign w:val="center"/>
                </w:tcPr>
                <w:p w14:paraId="4DB46817">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0.24</w:t>
                  </w:r>
                </w:p>
              </w:tc>
            </w:tr>
            <w:tr w14:paraId="6E44A4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8" w:type="pct"/>
                  <w:tcBorders>
                    <w:tl2br w:val="nil"/>
                    <w:tr2bl w:val="nil"/>
                  </w:tcBorders>
                  <w:noWrap w:val="0"/>
                  <w:vAlign w:val="center"/>
                </w:tcPr>
                <w:p w14:paraId="47EE06EC">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200</w:t>
                  </w:r>
                </w:p>
              </w:tc>
              <w:tc>
                <w:tcPr>
                  <w:tcW w:w="1250" w:type="pct"/>
                  <w:tcBorders>
                    <w:tl2br w:val="nil"/>
                    <w:tr2bl w:val="nil"/>
                  </w:tcBorders>
                  <w:noWrap w:val="0"/>
                  <w:vAlign w:val="center"/>
                </w:tcPr>
                <w:p w14:paraId="6A921E18">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40.60</w:t>
                  </w:r>
                </w:p>
              </w:tc>
              <w:tc>
                <w:tcPr>
                  <w:tcW w:w="1250" w:type="pct"/>
                  <w:tcBorders>
                    <w:tl2br w:val="nil"/>
                    <w:tr2bl w:val="nil"/>
                  </w:tcBorders>
                  <w:noWrap w:val="0"/>
                  <w:vAlign w:val="center"/>
                </w:tcPr>
                <w:p w14:paraId="2BB2DAA9">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0.31</w:t>
                  </w:r>
                </w:p>
              </w:tc>
              <w:tc>
                <w:tcPr>
                  <w:tcW w:w="1250" w:type="pct"/>
                  <w:tcBorders>
                    <w:tl2br w:val="nil"/>
                    <w:tr2bl w:val="nil"/>
                  </w:tcBorders>
                  <w:noWrap w:val="0"/>
                  <w:vAlign w:val="center"/>
                </w:tcPr>
                <w:p w14:paraId="6470EF17">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0.16</w:t>
                  </w:r>
                </w:p>
              </w:tc>
            </w:tr>
            <w:tr w14:paraId="4A9E1A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248" w:type="pct"/>
                  <w:tcBorders>
                    <w:tl2br w:val="nil"/>
                    <w:tr2bl w:val="nil"/>
                  </w:tcBorders>
                  <w:noWrap w:val="0"/>
                  <w:vAlign w:val="center"/>
                </w:tcPr>
                <w:p w14:paraId="177A6175">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300</w:t>
                  </w:r>
                </w:p>
              </w:tc>
              <w:tc>
                <w:tcPr>
                  <w:tcW w:w="1250" w:type="pct"/>
                  <w:tcBorders>
                    <w:tl2br w:val="nil"/>
                    <w:tr2bl w:val="nil"/>
                  </w:tcBorders>
                  <w:noWrap w:val="0"/>
                  <w:vAlign w:val="center"/>
                </w:tcPr>
                <w:p w14:paraId="0766C040">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31.04</w:t>
                  </w:r>
                </w:p>
              </w:tc>
              <w:tc>
                <w:tcPr>
                  <w:tcW w:w="1250" w:type="pct"/>
                  <w:tcBorders>
                    <w:tl2br w:val="nil"/>
                    <w:tr2bl w:val="nil"/>
                  </w:tcBorders>
                  <w:noWrap w:val="0"/>
                  <w:vAlign w:val="center"/>
                </w:tcPr>
                <w:p w14:paraId="2CF09508">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0.24</w:t>
                  </w:r>
                </w:p>
              </w:tc>
              <w:tc>
                <w:tcPr>
                  <w:tcW w:w="1250" w:type="pct"/>
                  <w:tcBorders>
                    <w:tl2br w:val="nil"/>
                    <w:tr2bl w:val="nil"/>
                  </w:tcBorders>
                  <w:noWrap w:val="0"/>
                  <w:vAlign w:val="center"/>
                </w:tcPr>
                <w:p w14:paraId="5AF0D220">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0.13</w:t>
                  </w:r>
                </w:p>
              </w:tc>
            </w:tr>
            <w:tr w14:paraId="678BBD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8" w:type="pct"/>
                  <w:tcBorders>
                    <w:tl2br w:val="nil"/>
                    <w:tr2bl w:val="nil"/>
                  </w:tcBorders>
                  <w:noWrap w:val="0"/>
                  <w:vAlign w:val="center"/>
                </w:tcPr>
                <w:p w14:paraId="5CE70158">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500</w:t>
                  </w:r>
                </w:p>
              </w:tc>
              <w:tc>
                <w:tcPr>
                  <w:tcW w:w="1250" w:type="pct"/>
                  <w:tcBorders>
                    <w:tl2br w:val="nil"/>
                    <w:tr2bl w:val="nil"/>
                  </w:tcBorders>
                  <w:noWrap w:val="0"/>
                  <w:vAlign w:val="center"/>
                </w:tcPr>
                <w:p w14:paraId="1A9173B0">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23.18</w:t>
                  </w:r>
                </w:p>
              </w:tc>
              <w:tc>
                <w:tcPr>
                  <w:tcW w:w="1250" w:type="pct"/>
                  <w:tcBorders>
                    <w:tl2br w:val="nil"/>
                    <w:tr2bl w:val="nil"/>
                  </w:tcBorders>
                  <w:noWrap w:val="0"/>
                  <w:vAlign w:val="center"/>
                </w:tcPr>
                <w:p w14:paraId="6717DB12">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0.18</w:t>
                  </w:r>
                </w:p>
              </w:tc>
              <w:tc>
                <w:tcPr>
                  <w:tcW w:w="1250" w:type="pct"/>
                  <w:tcBorders>
                    <w:tl2br w:val="nil"/>
                    <w:tr2bl w:val="nil"/>
                  </w:tcBorders>
                  <w:noWrap w:val="0"/>
                  <w:vAlign w:val="center"/>
                </w:tcPr>
                <w:p w14:paraId="6C9FD52C">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0.09</w:t>
                  </w:r>
                </w:p>
              </w:tc>
            </w:tr>
            <w:tr w14:paraId="7BF30B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8" w:type="pct"/>
                  <w:tcBorders>
                    <w:tl2br w:val="nil"/>
                    <w:tr2bl w:val="nil"/>
                  </w:tcBorders>
                  <w:noWrap w:val="0"/>
                  <w:vAlign w:val="center"/>
                </w:tcPr>
                <w:p w14:paraId="25E87B76">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1000</w:t>
                  </w:r>
                </w:p>
              </w:tc>
              <w:tc>
                <w:tcPr>
                  <w:tcW w:w="1250" w:type="pct"/>
                  <w:tcBorders>
                    <w:tl2br w:val="nil"/>
                    <w:tr2bl w:val="nil"/>
                  </w:tcBorders>
                  <w:noWrap w:val="0"/>
                  <w:vAlign w:val="center"/>
                </w:tcPr>
                <w:p w14:paraId="6EB60C61">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15.91</w:t>
                  </w:r>
                </w:p>
              </w:tc>
              <w:tc>
                <w:tcPr>
                  <w:tcW w:w="1250" w:type="pct"/>
                  <w:tcBorders>
                    <w:tl2br w:val="nil"/>
                    <w:tr2bl w:val="nil"/>
                  </w:tcBorders>
                  <w:noWrap w:val="0"/>
                  <w:vAlign w:val="center"/>
                </w:tcPr>
                <w:p w14:paraId="7572A91B">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0.12</w:t>
                  </w:r>
                </w:p>
              </w:tc>
              <w:tc>
                <w:tcPr>
                  <w:tcW w:w="1250" w:type="pct"/>
                  <w:tcBorders>
                    <w:tl2br w:val="nil"/>
                    <w:tr2bl w:val="nil"/>
                  </w:tcBorders>
                  <w:noWrap w:val="0"/>
                  <w:vAlign w:val="center"/>
                </w:tcPr>
                <w:p w14:paraId="7985BA7C">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0.06</w:t>
                  </w:r>
                </w:p>
              </w:tc>
            </w:tr>
            <w:tr w14:paraId="39F80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8" w:type="pct"/>
                  <w:tcBorders>
                    <w:tl2br w:val="nil"/>
                    <w:tr2bl w:val="nil"/>
                  </w:tcBorders>
                  <w:noWrap w:val="0"/>
                  <w:vAlign w:val="center"/>
                </w:tcPr>
                <w:p w14:paraId="542369EB">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1500</w:t>
                  </w:r>
                </w:p>
              </w:tc>
              <w:tc>
                <w:tcPr>
                  <w:tcW w:w="1250" w:type="pct"/>
                  <w:tcBorders>
                    <w:tl2br w:val="nil"/>
                    <w:tr2bl w:val="nil"/>
                  </w:tcBorders>
                  <w:noWrap w:val="0"/>
                  <w:vAlign w:val="center"/>
                </w:tcPr>
                <w:p w14:paraId="2D612C0D">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14.00</w:t>
                  </w:r>
                </w:p>
              </w:tc>
              <w:tc>
                <w:tcPr>
                  <w:tcW w:w="1250" w:type="pct"/>
                  <w:tcBorders>
                    <w:tl2br w:val="nil"/>
                    <w:tr2bl w:val="nil"/>
                  </w:tcBorders>
                  <w:noWrap w:val="0"/>
                  <w:vAlign w:val="center"/>
                </w:tcPr>
                <w:p w14:paraId="7B33550B">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0.11</w:t>
                  </w:r>
                </w:p>
              </w:tc>
              <w:tc>
                <w:tcPr>
                  <w:tcW w:w="1250" w:type="pct"/>
                  <w:tcBorders>
                    <w:tl2br w:val="nil"/>
                    <w:tr2bl w:val="nil"/>
                  </w:tcBorders>
                  <w:noWrap w:val="0"/>
                  <w:vAlign w:val="center"/>
                </w:tcPr>
                <w:p w14:paraId="2C9287AE">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0.06</w:t>
                  </w:r>
                </w:p>
              </w:tc>
            </w:tr>
            <w:tr w14:paraId="11EFFF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8" w:type="pct"/>
                  <w:tcBorders>
                    <w:tl2br w:val="nil"/>
                    <w:tr2bl w:val="nil"/>
                  </w:tcBorders>
                  <w:noWrap w:val="0"/>
                  <w:vAlign w:val="center"/>
                </w:tcPr>
                <w:p w14:paraId="331EEF9B">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2000</w:t>
                  </w:r>
                </w:p>
              </w:tc>
              <w:tc>
                <w:tcPr>
                  <w:tcW w:w="1250" w:type="pct"/>
                  <w:tcBorders>
                    <w:tl2br w:val="nil"/>
                    <w:tr2bl w:val="nil"/>
                  </w:tcBorders>
                  <w:noWrap w:val="0"/>
                  <w:vAlign w:val="center"/>
                </w:tcPr>
                <w:p w14:paraId="3D465146">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12.63</w:t>
                  </w:r>
                </w:p>
              </w:tc>
              <w:tc>
                <w:tcPr>
                  <w:tcW w:w="1250" w:type="pct"/>
                  <w:tcBorders>
                    <w:tl2br w:val="nil"/>
                    <w:tr2bl w:val="nil"/>
                  </w:tcBorders>
                  <w:noWrap w:val="0"/>
                  <w:vAlign w:val="center"/>
                </w:tcPr>
                <w:p w14:paraId="29D6A629">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0.09</w:t>
                  </w:r>
                </w:p>
              </w:tc>
              <w:tc>
                <w:tcPr>
                  <w:tcW w:w="1250" w:type="pct"/>
                  <w:tcBorders>
                    <w:tl2br w:val="nil"/>
                    <w:tr2bl w:val="nil"/>
                  </w:tcBorders>
                  <w:noWrap w:val="0"/>
                  <w:vAlign w:val="center"/>
                </w:tcPr>
                <w:p w14:paraId="40EC53F4">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0.05</w:t>
                  </w:r>
                </w:p>
              </w:tc>
            </w:tr>
            <w:tr w14:paraId="584E94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8" w:type="pct"/>
                  <w:tcBorders>
                    <w:tl2br w:val="nil"/>
                    <w:tr2bl w:val="nil"/>
                  </w:tcBorders>
                  <w:noWrap w:val="0"/>
                  <w:vAlign w:val="center"/>
                </w:tcPr>
                <w:p w14:paraId="18614E3E">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2500</w:t>
                  </w:r>
                </w:p>
              </w:tc>
              <w:tc>
                <w:tcPr>
                  <w:tcW w:w="1250" w:type="pct"/>
                  <w:tcBorders>
                    <w:tl2br w:val="nil"/>
                    <w:tr2bl w:val="nil"/>
                  </w:tcBorders>
                  <w:noWrap w:val="0"/>
                  <w:vAlign w:val="center"/>
                </w:tcPr>
                <w:p w14:paraId="38A15250">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11.63</w:t>
                  </w:r>
                </w:p>
              </w:tc>
              <w:tc>
                <w:tcPr>
                  <w:tcW w:w="1250" w:type="pct"/>
                  <w:tcBorders>
                    <w:tl2br w:val="nil"/>
                    <w:tr2bl w:val="nil"/>
                  </w:tcBorders>
                  <w:noWrap w:val="0"/>
                  <w:vAlign w:val="center"/>
                </w:tcPr>
                <w:p w14:paraId="211AAC0A">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0.09</w:t>
                  </w:r>
                </w:p>
              </w:tc>
              <w:tc>
                <w:tcPr>
                  <w:tcW w:w="1250" w:type="pct"/>
                  <w:tcBorders>
                    <w:tl2br w:val="nil"/>
                    <w:tr2bl w:val="nil"/>
                  </w:tcBorders>
                  <w:noWrap w:val="0"/>
                  <w:vAlign w:val="center"/>
                </w:tcPr>
                <w:p w14:paraId="2D3947DA">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0.05</w:t>
                  </w:r>
                </w:p>
              </w:tc>
            </w:tr>
            <w:tr w14:paraId="1AEBE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8" w:type="pct"/>
                  <w:tcBorders>
                    <w:tl2br w:val="nil"/>
                    <w:tr2bl w:val="nil"/>
                  </w:tcBorders>
                  <w:noWrap w:val="0"/>
                  <w:vAlign w:val="center"/>
                </w:tcPr>
                <w:p w14:paraId="4AB1764E">
                  <w:pPr>
                    <w:widowControl w:val="0"/>
                    <w:overflowPunct w:val="0"/>
                    <w:autoSpaceDE w:val="0"/>
                    <w:autoSpaceDN w:val="0"/>
                    <w:bidi w:val="0"/>
                    <w:adjustRightInd w:val="0"/>
                    <w:snapToGrid w:val="0"/>
                    <w:spacing w:before="0" w:after="0" w:line="320" w:lineRule="exact"/>
                    <w:ind w:right="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下风向最大质量浓度</w:t>
                  </w:r>
                </w:p>
              </w:tc>
              <w:tc>
                <w:tcPr>
                  <w:tcW w:w="1250" w:type="pct"/>
                  <w:tcBorders>
                    <w:tl2br w:val="nil"/>
                    <w:tr2bl w:val="nil"/>
                  </w:tcBorders>
                  <w:noWrap w:val="0"/>
                  <w:vAlign w:val="center"/>
                </w:tcPr>
                <w:p w14:paraId="5E2096BF">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sz w:val="21"/>
                      <w:szCs w:val="21"/>
                      <w:lang w:val="en-US" w:eastAsia="zh-CN"/>
                    </w:rPr>
                    <w:t>60.72</w:t>
                  </w:r>
                </w:p>
              </w:tc>
              <w:tc>
                <w:tcPr>
                  <w:tcW w:w="1250" w:type="pct"/>
                  <w:tcBorders>
                    <w:tl2br w:val="nil"/>
                    <w:tr2bl w:val="nil"/>
                  </w:tcBorders>
                  <w:noWrap w:val="0"/>
                  <w:vAlign w:val="center"/>
                </w:tcPr>
                <w:p w14:paraId="578234DE">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0.47</w:t>
                  </w:r>
                </w:p>
              </w:tc>
              <w:tc>
                <w:tcPr>
                  <w:tcW w:w="1250" w:type="pct"/>
                  <w:tcBorders>
                    <w:tl2br w:val="nil"/>
                    <w:tr2bl w:val="nil"/>
                  </w:tcBorders>
                  <w:noWrap w:val="0"/>
                  <w:vAlign w:val="center"/>
                </w:tcPr>
                <w:p w14:paraId="344C4ACC">
                  <w:pPr>
                    <w:keepNext w:val="0"/>
                    <w:keepLines w:val="0"/>
                    <w:widowControl/>
                    <w:suppressLineNumbers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0.24</w:t>
                  </w:r>
                </w:p>
              </w:tc>
            </w:tr>
          </w:tbl>
          <w:p w14:paraId="47108547">
            <w:pPr>
              <w:keepNext w:val="0"/>
              <w:keepLines w:val="0"/>
              <w:pageBreakBefore w:val="0"/>
              <w:widowControl/>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②确定评价结果</w:t>
            </w:r>
          </w:p>
          <w:p w14:paraId="0BC4CE85">
            <w:pPr>
              <w:widowControl w:val="0"/>
              <w:overflowPunct w:val="0"/>
              <w:autoSpaceDE w:val="0"/>
              <w:autoSpaceDN w:val="0"/>
              <w:adjustRightInd w:val="0"/>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项目有组织排放核算见表4.5-</w:t>
            </w:r>
            <w:r>
              <w:rPr>
                <w:rFonts w:hint="eastAsia" w:cs="Times New Roman"/>
                <w:color w:val="auto"/>
                <w:kern w:val="2"/>
                <w:sz w:val="24"/>
                <w:szCs w:val="24"/>
                <w:highlight w:val="none"/>
                <w:lang w:val="en-US" w:eastAsia="zh-CN" w:bidi="ar-SA"/>
              </w:rPr>
              <w:t>7</w:t>
            </w:r>
            <w:r>
              <w:rPr>
                <w:rFonts w:hint="default" w:ascii="Times New Roman" w:hAnsi="Times New Roman" w:eastAsia="宋体" w:cs="Times New Roman"/>
                <w:color w:val="auto"/>
                <w:kern w:val="2"/>
                <w:sz w:val="24"/>
                <w:szCs w:val="24"/>
                <w:highlight w:val="none"/>
                <w:lang w:val="en-US" w:eastAsia="zh-CN" w:bidi="ar-SA"/>
              </w:rPr>
              <w:t>和4.5-</w:t>
            </w:r>
            <w:r>
              <w:rPr>
                <w:rFonts w:hint="eastAsia" w:cs="Times New Roman"/>
                <w:color w:val="auto"/>
                <w:kern w:val="2"/>
                <w:sz w:val="24"/>
                <w:szCs w:val="24"/>
                <w:highlight w:val="none"/>
                <w:lang w:val="en-US" w:eastAsia="zh-CN" w:bidi="ar-SA"/>
              </w:rPr>
              <w:t>8</w:t>
            </w:r>
            <w:r>
              <w:rPr>
                <w:rFonts w:hint="default" w:ascii="Times New Roman" w:hAnsi="Times New Roman" w:eastAsia="宋体" w:cs="Times New Roman"/>
                <w:color w:val="auto"/>
                <w:kern w:val="2"/>
                <w:sz w:val="24"/>
                <w:szCs w:val="24"/>
                <w:highlight w:val="none"/>
                <w:lang w:val="en-US" w:eastAsia="zh-CN" w:bidi="ar-SA"/>
              </w:rPr>
              <w:t>。</w:t>
            </w:r>
          </w:p>
          <w:p w14:paraId="42EC9B90">
            <w:pPr>
              <w:widowControl w:val="0"/>
              <w:overflowPunct w:val="0"/>
              <w:autoSpaceDE w:val="0"/>
              <w:autoSpaceDN w:val="0"/>
              <w:adjustRightInd w:val="0"/>
              <w:snapToGrid w:val="0"/>
              <w:spacing w:before="0" w:after="0" w:line="500" w:lineRule="exact"/>
              <w:ind w:left="0" w:right="0" w:firstLine="422" w:firstLineChars="200"/>
              <w:jc w:val="center"/>
              <w:rPr>
                <w:rFonts w:hint="default" w:ascii="Times New Roman" w:hAnsi="Times New Roman" w:eastAsia="宋体" w:cs="Times New Roman"/>
                <w:b/>
                <w:color w:val="0000FF"/>
                <w:kern w:val="2"/>
                <w:sz w:val="21"/>
                <w:szCs w:val="21"/>
                <w:highlight w:val="none"/>
                <w:lang w:val="en-US" w:eastAsia="zh-CN" w:bidi="ar-SA"/>
              </w:rPr>
            </w:pPr>
            <w:r>
              <w:rPr>
                <w:rFonts w:hint="default" w:ascii="Times New Roman" w:hAnsi="Times New Roman" w:eastAsia="宋体" w:cs="Times New Roman"/>
                <w:b/>
                <w:color w:val="0000FF"/>
                <w:kern w:val="2"/>
                <w:sz w:val="21"/>
                <w:szCs w:val="21"/>
                <w:highlight w:val="none"/>
                <w:lang w:val="en-US" w:eastAsia="zh-CN" w:bidi="ar-SA"/>
              </w:rPr>
              <w:t>表4.5-</w:t>
            </w:r>
            <w:r>
              <w:rPr>
                <w:rFonts w:hint="eastAsia" w:cs="Times New Roman"/>
                <w:b/>
                <w:color w:val="0000FF"/>
                <w:kern w:val="2"/>
                <w:sz w:val="21"/>
                <w:szCs w:val="21"/>
                <w:highlight w:val="none"/>
                <w:lang w:val="en-US" w:eastAsia="zh-CN" w:bidi="ar-SA"/>
              </w:rPr>
              <w:t>7</w:t>
            </w:r>
            <w:r>
              <w:rPr>
                <w:rFonts w:hint="default" w:ascii="Times New Roman" w:hAnsi="Times New Roman" w:eastAsia="宋体" w:cs="Times New Roman"/>
                <w:b/>
                <w:color w:val="0000FF"/>
                <w:kern w:val="2"/>
                <w:sz w:val="21"/>
                <w:szCs w:val="21"/>
                <w:highlight w:val="none"/>
                <w:lang w:val="en-US" w:eastAsia="zh-CN" w:bidi="ar-SA"/>
              </w:rPr>
              <w:t>本项目有组织废气排放核算表</w:t>
            </w:r>
          </w:p>
          <w:tbl>
            <w:tblPr>
              <w:tblStyle w:val="22"/>
              <w:tblW w:w="850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440"/>
              <w:gridCol w:w="1561"/>
              <w:gridCol w:w="1464"/>
              <w:gridCol w:w="1843"/>
              <w:gridCol w:w="1571"/>
              <w:gridCol w:w="1625"/>
            </w:tblGrid>
            <w:tr w14:paraId="1259DD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40" w:type="dxa"/>
                  <w:noWrap w:val="0"/>
                  <w:vAlign w:val="center"/>
                </w:tcPr>
                <w:p w14:paraId="46614518">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序号</w:t>
                  </w:r>
                </w:p>
              </w:tc>
              <w:tc>
                <w:tcPr>
                  <w:tcW w:w="1561" w:type="dxa"/>
                  <w:noWrap w:val="0"/>
                  <w:vAlign w:val="center"/>
                </w:tcPr>
                <w:p w14:paraId="06F999AE">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排放口编号</w:t>
                  </w:r>
                </w:p>
              </w:tc>
              <w:tc>
                <w:tcPr>
                  <w:tcW w:w="1464" w:type="dxa"/>
                  <w:noWrap w:val="0"/>
                  <w:vAlign w:val="center"/>
                </w:tcPr>
                <w:p w14:paraId="7945968D">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污染物</w:t>
                  </w:r>
                </w:p>
              </w:tc>
              <w:tc>
                <w:tcPr>
                  <w:tcW w:w="1843" w:type="dxa"/>
                  <w:noWrap w:val="0"/>
                  <w:vAlign w:val="center"/>
                </w:tcPr>
                <w:p w14:paraId="76B44863">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核算排放浓度/(mg/Nm</w:t>
                  </w:r>
                  <w:r>
                    <w:rPr>
                      <w:rFonts w:hint="default" w:ascii="Times New Roman" w:hAnsi="Times New Roman" w:eastAsia="宋体" w:cs="Times New Roman"/>
                      <w:color w:val="0000FF"/>
                      <w:kern w:val="2"/>
                      <w:sz w:val="21"/>
                      <w:szCs w:val="24"/>
                      <w:vertAlign w:val="superscript"/>
                      <w:lang w:val="en-US" w:eastAsia="zh-CN"/>
                    </w:rPr>
                    <w:t>3</w:t>
                  </w:r>
                  <w:r>
                    <w:rPr>
                      <w:rFonts w:hint="default" w:ascii="Times New Roman" w:hAnsi="Times New Roman" w:eastAsia="宋体" w:cs="Times New Roman"/>
                      <w:color w:val="0000FF"/>
                      <w:kern w:val="2"/>
                      <w:sz w:val="21"/>
                      <w:szCs w:val="24"/>
                      <w:lang w:val="en-US" w:eastAsia="zh-CN"/>
                    </w:rPr>
                    <w:t>)</w:t>
                  </w:r>
                </w:p>
              </w:tc>
              <w:tc>
                <w:tcPr>
                  <w:tcW w:w="1571" w:type="dxa"/>
                  <w:noWrap w:val="0"/>
                  <w:vAlign w:val="center"/>
                </w:tcPr>
                <w:p w14:paraId="2CD9C298">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核算排放速率/(kg/h)</w:t>
                  </w:r>
                </w:p>
              </w:tc>
              <w:tc>
                <w:tcPr>
                  <w:tcW w:w="1625" w:type="dxa"/>
                  <w:noWrap w:val="0"/>
                  <w:vAlign w:val="center"/>
                </w:tcPr>
                <w:p w14:paraId="17BACFBC">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核算年排放量/(t/a)</w:t>
                  </w:r>
                </w:p>
              </w:tc>
            </w:tr>
            <w:tr w14:paraId="56EB77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504" w:type="dxa"/>
                  <w:gridSpan w:val="6"/>
                  <w:noWrap w:val="0"/>
                  <w:vAlign w:val="center"/>
                </w:tcPr>
                <w:p w14:paraId="740CCE6B">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主要排放口</w:t>
                  </w:r>
                </w:p>
              </w:tc>
            </w:tr>
            <w:tr w14:paraId="5F9E80D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40" w:type="dxa"/>
                  <w:noWrap w:val="0"/>
                  <w:vAlign w:val="center"/>
                </w:tcPr>
                <w:p w14:paraId="667D19F8">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w:t>
                  </w:r>
                </w:p>
              </w:tc>
              <w:tc>
                <w:tcPr>
                  <w:tcW w:w="1561" w:type="dxa"/>
                  <w:noWrap w:val="0"/>
                  <w:vAlign w:val="center"/>
                </w:tcPr>
                <w:p w14:paraId="4EC38D3F">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w:t>
                  </w:r>
                </w:p>
              </w:tc>
              <w:tc>
                <w:tcPr>
                  <w:tcW w:w="1464" w:type="dxa"/>
                  <w:noWrap w:val="0"/>
                  <w:vAlign w:val="center"/>
                </w:tcPr>
                <w:p w14:paraId="20C51D53">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w:t>
                  </w:r>
                </w:p>
              </w:tc>
              <w:tc>
                <w:tcPr>
                  <w:tcW w:w="1843" w:type="dxa"/>
                  <w:noWrap w:val="0"/>
                  <w:vAlign w:val="center"/>
                </w:tcPr>
                <w:p w14:paraId="5C1E68CA">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w:t>
                  </w:r>
                </w:p>
              </w:tc>
              <w:tc>
                <w:tcPr>
                  <w:tcW w:w="1571" w:type="dxa"/>
                  <w:noWrap w:val="0"/>
                  <w:vAlign w:val="center"/>
                </w:tcPr>
                <w:p w14:paraId="4E32F1FA">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w:t>
                  </w:r>
                </w:p>
              </w:tc>
              <w:tc>
                <w:tcPr>
                  <w:tcW w:w="1625" w:type="dxa"/>
                  <w:noWrap w:val="0"/>
                  <w:vAlign w:val="center"/>
                </w:tcPr>
                <w:p w14:paraId="00499EF2">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w:t>
                  </w:r>
                </w:p>
              </w:tc>
            </w:tr>
            <w:tr w14:paraId="456FC1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001" w:type="dxa"/>
                  <w:gridSpan w:val="2"/>
                  <w:noWrap w:val="0"/>
                  <w:vAlign w:val="center"/>
                </w:tcPr>
                <w:p w14:paraId="1177D48D">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主要排放口合计</w:t>
                  </w:r>
                </w:p>
              </w:tc>
              <w:tc>
                <w:tcPr>
                  <w:tcW w:w="4878" w:type="dxa"/>
                  <w:gridSpan w:val="3"/>
                  <w:noWrap w:val="0"/>
                  <w:vAlign w:val="center"/>
                </w:tcPr>
                <w:p w14:paraId="634B1C13">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w:t>
                  </w:r>
                </w:p>
              </w:tc>
              <w:tc>
                <w:tcPr>
                  <w:tcW w:w="1625" w:type="dxa"/>
                  <w:noWrap w:val="0"/>
                  <w:vAlign w:val="center"/>
                </w:tcPr>
                <w:p w14:paraId="6E6BAEE9">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w:t>
                  </w:r>
                </w:p>
              </w:tc>
            </w:tr>
            <w:tr w14:paraId="77F5350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504" w:type="dxa"/>
                  <w:gridSpan w:val="6"/>
                  <w:noWrap w:val="0"/>
                  <w:vAlign w:val="center"/>
                </w:tcPr>
                <w:p w14:paraId="4D9FA91C">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一般排放口</w:t>
                  </w:r>
                </w:p>
              </w:tc>
            </w:tr>
            <w:tr w14:paraId="5CFDBF6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40" w:type="dxa"/>
                  <w:vMerge w:val="restart"/>
                  <w:noWrap w:val="0"/>
                  <w:vAlign w:val="center"/>
                </w:tcPr>
                <w:p w14:paraId="22DEA5AA">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1</w:t>
                  </w:r>
                </w:p>
              </w:tc>
              <w:tc>
                <w:tcPr>
                  <w:tcW w:w="1561" w:type="dxa"/>
                  <w:vMerge w:val="restart"/>
                  <w:noWrap w:val="0"/>
                  <w:vAlign w:val="center"/>
                </w:tcPr>
                <w:p w14:paraId="137A3698">
                  <w:pPr>
                    <w:widowControl w:val="0"/>
                    <w:autoSpaceDE w:val="0"/>
                    <w:autoSpaceDN w:val="0"/>
                    <w:spacing w:line="240" w:lineRule="auto"/>
                    <w:ind w:left="0" w:leftChars="0" w:firstLine="0" w:firstLineChars="0"/>
                    <w:jc w:val="center"/>
                    <w:rPr>
                      <w:rFonts w:hint="default" w:ascii="Times New Roman" w:hAnsi="Times New Roman" w:eastAsia="宋体" w:cs="Times New Roman"/>
                      <w:color w:val="0000FF"/>
                      <w:kern w:val="2"/>
                      <w:sz w:val="21"/>
                      <w:szCs w:val="21"/>
                      <w:lang w:val="en-US" w:eastAsia="zh-CN" w:bidi="ar-SA"/>
                    </w:rPr>
                  </w:pPr>
                  <w:r>
                    <w:rPr>
                      <w:rFonts w:hint="default" w:ascii="Times New Roman" w:hAnsi="Times New Roman" w:eastAsia="宋体" w:cs="Times New Roman"/>
                      <w:color w:val="0000FF"/>
                      <w:kern w:val="2"/>
                      <w:sz w:val="21"/>
                      <w:szCs w:val="21"/>
                      <w:lang w:val="en-US" w:eastAsia="zh-CN" w:bidi="ar-SA"/>
                    </w:rPr>
                    <w:t>DA001</w:t>
                  </w:r>
                </w:p>
                <w:p w14:paraId="5B403DC5">
                  <w:pPr>
                    <w:widowControl w:val="0"/>
                    <w:autoSpaceDE w:val="0"/>
                    <w:autoSpaceDN w:val="0"/>
                    <w:spacing w:line="240" w:lineRule="auto"/>
                    <w:ind w:left="0" w:leftChars="0" w:firstLine="0" w:firstLineChars="0"/>
                    <w:jc w:val="center"/>
                    <w:rPr>
                      <w:rFonts w:hint="default" w:ascii="Times New Roman" w:hAnsi="Times New Roman" w:eastAsia="宋体" w:cs="Times New Roman"/>
                      <w:color w:val="0000FF"/>
                      <w:kern w:val="2"/>
                      <w:sz w:val="21"/>
                      <w:szCs w:val="21"/>
                      <w:lang w:val="en-US" w:eastAsia="zh-CN" w:bidi="ar-SA"/>
                    </w:rPr>
                  </w:pPr>
                  <w:r>
                    <w:rPr>
                      <w:rFonts w:hint="default" w:ascii="Times New Roman" w:hAnsi="Times New Roman" w:eastAsia="宋体" w:cs="Times New Roman"/>
                      <w:color w:val="0000FF"/>
                      <w:kern w:val="2"/>
                      <w:sz w:val="21"/>
                      <w:szCs w:val="21"/>
                      <w:lang w:val="en-US" w:eastAsia="zh-CN" w:bidi="ar-SA"/>
                    </w:rPr>
                    <w:t>（发酵罐区）</w:t>
                  </w:r>
                </w:p>
              </w:tc>
              <w:tc>
                <w:tcPr>
                  <w:tcW w:w="1464" w:type="dxa"/>
                  <w:noWrap w:val="0"/>
                  <w:vAlign w:val="center"/>
                </w:tcPr>
                <w:p w14:paraId="69C788F3">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氨</w:t>
                  </w:r>
                </w:p>
              </w:tc>
              <w:tc>
                <w:tcPr>
                  <w:tcW w:w="1843" w:type="dxa"/>
                  <w:noWrap w:val="0"/>
                  <w:vAlign w:val="center"/>
                </w:tcPr>
                <w:p w14:paraId="106D29A7">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highlight w:val="none"/>
                      <w:lang w:val="en-US" w:eastAsia="zh-CN"/>
                    </w:rPr>
                  </w:pPr>
                  <w:r>
                    <w:rPr>
                      <w:rFonts w:hint="eastAsia" w:ascii="Times New Roman" w:hAnsi="Times New Roman" w:eastAsia="宋体" w:cs="Times New Roman"/>
                      <w:color w:val="0000FF"/>
                      <w:kern w:val="2"/>
                      <w:sz w:val="21"/>
                      <w:szCs w:val="22"/>
                      <w:highlight w:val="none"/>
                      <w:lang w:val="en-US" w:eastAsia="zh-CN"/>
                    </w:rPr>
                    <w:t>0.99</w:t>
                  </w:r>
                </w:p>
              </w:tc>
              <w:tc>
                <w:tcPr>
                  <w:tcW w:w="1571" w:type="dxa"/>
                  <w:noWrap w:val="0"/>
                  <w:vAlign w:val="center"/>
                </w:tcPr>
                <w:p w14:paraId="2AB8B16C">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highlight w:val="none"/>
                      <w:lang w:val="en-US" w:eastAsia="zh-CN"/>
                    </w:rPr>
                  </w:pPr>
                  <w:r>
                    <w:rPr>
                      <w:rFonts w:hint="eastAsia" w:ascii="Times New Roman" w:hAnsi="Times New Roman" w:eastAsia="宋体" w:cs="Times New Roman"/>
                      <w:color w:val="0000FF"/>
                      <w:kern w:val="2"/>
                      <w:sz w:val="21"/>
                      <w:szCs w:val="22"/>
                      <w:highlight w:val="none"/>
                      <w:lang w:val="en-US" w:eastAsia="zh-CN"/>
                    </w:rPr>
                    <w:t>0.0025</w:t>
                  </w:r>
                </w:p>
              </w:tc>
              <w:tc>
                <w:tcPr>
                  <w:tcW w:w="1625" w:type="dxa"/>
                  <w:noWrap w:val="0"/>
                  <w:vAlign w:val="center"/>
                </w:tcPr>
                <w:p w14:paraId="117C2E02">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highlight w:val="none"/>
                      <w:lang w:val="en-US" w:eastAsia="zh-CN"/>
                    </w:rPr>
                  </w:pPr>
                  <w:r>
                    <w:rPr>
                      <w:rFonts w:hint="eastAsia" w:ascii="Times New Roman" w:hAnsi="Times New Roman" w:eastAsia="宋体" w:cs="Times New Roman"/>
                      <w:color w:val="0000FF"/>
                      <w:sz w:val="21"/>
                      <w:szCs w:val="21"/>
                      <w:highlight w:val="none"/>
                      <w:lang w:val="en-US" w:eastAsia="zh-CN"/>
                    </w:rPr>
                    <w:t>0.0216</w:t>
                  </w:r>
                </w:p>
              </w:tc>
            </w:tr>
            <w:tr w14:paraId="3DACFA9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40" w:type="dxa"/>
                  <w:vMerge w:val="continue"/>
                  <w:noWrap w:val="0"/>
                  <w:vAlign w:val="center"/>
                </w:tcPr>
                <w:p w14:paraId="66FD7F3B">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p>
              </w:tc>
              <w:tc>
                <w:tcPr>
                  <w:tcW w:w="1561" w:type="dxa"/>
                  <w:vMerge w:val="continue"/>
                  <w:noWrap w:val="0"/>
                  <w:vAlign w:val="center"/>
                </w:tcPr>
                <w:p w14:paraId="566A9428">
                  <w:pPr>
                    <w:widowControl w:val="0"/>
                    <w:autoSpaceDE w:val="0"/>
                    <w:autoSpaceDN w:val="0"/>
                    <w:spacing w:line="240" w:lineRule="auto"/>
                    <w:ind w:left="0" w:leftChars="0" w:firstLine="0" w:firstLineChars="0"/>
                    <w:jc w:val="center"/>
                    <w:rPr>
                      <w:rFonts w:hint="default" w:ascii="Times New Roman" w:hAnsi="Times New Roman" w:eastAsia="宋体" w:cs="Times New Roman"/>
                      <w:color w:val="0000FF"/>
                      <w:kern w:val="2"/>
                      <w:sz w:val="21"/>
                      <w:szCs w:val="21"/>
                      <w:lang w:val="en-US" w:eastAsia="zh-CN" w:bidi="ar-SA"/>
                    </w:rPr>
                  </w:pPr>
                </w:p>
              </w:tc>
              <w:tc>
                <w:tcPr>
                  <w:tcW w:w="1464" w:type="dxa"/>
                  <w:noWrap w:val="0"/>
                  <w:vAlign w:val="center"/>
                </w:tcPr>
                <w:p w14:paraId="67792B5D">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硫化氢</w:t>
                  </w:r>
                </w:p>
              </w:tc>
              <w:tc>
                <w:tcPr>
                  <w:tcW w:w="1843" w:type="dxa"/>
                  <w:noWrap w:val="0"/>
                  <w:vAlign w:val="center"/>
                </w:tcPr>
                <w:p w14:paraId="6E944CD3">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highlight w:val="none"/>
                      <w:lang w:val="en-US" w:eastAsia="zh-CN"/>
                    </w:rPr>
                  </w:pPr>
                  <w:r>
                    <w:rPr>
                      <w:rFonts w:hint="eastAsia" w:ascii="Times New Roman" w:hAnsi="Times New Roman" w:eastAsia="宋体" w:cs="Times New Roman"/>
                      <w:color w:val="0000FF"/>
                      <w:kern w:val="2"/>
                      <w:sz w:val="21"/>
                      <w:szCs w:val="22"/>
                      <w:highlight w:val="none"/>
                      <w:lang w:val="en-US" w:eastAsia="zh-CN"/>
                    </w:rPr>
                    <w:t>0.53</w:t>
                  </w:r>
                </w:p>
              </w:tc>
              <w:tc>
                <w:tcPr>
                  <w:tcW w:w="1571" w:type="dxa"/>
                  <w:noWrap w:val="0"/>
                  <w:vAlign w:val="center"/>
                </w:tcPr>
                <w:p w14:paraId="53097F6F">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highlight w:val="none"/>
                      <w:lang w:val="en-US" w:eastAsia="zh-CN"/>
                    </w:rPr>
                  </w:pPr>
                  <w:r>
                    <w:rPr>
                      <w:rFonts w:hint="eastAsia" w:ascii="Times New Roman" w:hAnsi="Times New Roman" w:eastAsia="宋体" w:cs="Times New Roman"/>
                      <w:color w:val="0000FF"/>
                      <w:kern w:val="2"/>
                      <w:sz w:val="21"/>
                      <w:szCs w:val="22"/>
                      <w:highlight w:val="none"/>
                      <w:lang w:val="en-US" w:eastAsia="zh-CN"/>
                    </w:rPr>
                    <w:t>0.0013</w:t>
                  </w:r>
                </w:p>
              </w:tc>
              <w:tc>
                <w:tcPr>
                  <w:tcW w:w="1625" w:type="dxa"/>
                  <w:noWrap w:val="0"/>
                  <w:vAlign w:val="center"/>
                </w:tcPr>
                <w:p w14:paraId="681B452D">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highlight w:val="none"/>
                      <w:lang w:val="en-US" w:eastAsia="zh-CN"/>
                    </w:rPr>
                  </w:pPr>
                  <w:r>
                    <w:rPr>
                      <w:rFonts w:hint="eastAsia" w:ascii="Times New Roman" w:hAnsi="Times New Roman" w:eastAsia="宋体" w:cs="Times New Roman"/>
                      <w:color w:val="0000FF"/>
                      <w:sz w:val="21"/>
                      <w:szCs w:val="21"/>
                      <w:highlight w:val="none"/>
                      <w:lang w:val="en-US" w:eastAsia="zh-CN"/>
                    </w:rPr>
                    <w:t>0.0116</w:t>
                  </w:r>
                </w:p>
              </w:tc>
            </w:tr>
            <w:tr w14:paraId="17BE26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40" w:type="dxa"/>
                  <w:noWrap w:val="0"/>
                  <w:vAlign w:val="center"/>
                </w:tcPr>
                <w:p w14:paraId="7BB59DEB">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2</w:t>
                  </w:r>
                </w:p>
              </w:tc>
              <w:tc>
                <w:tcPr>
                  <w:tcW w:w="1561" w:type="dxa"/>
                  <w:noWrap w:val="0"/>
                  <w:vAlign w:val="center"/>
                </w:tcPr>
                <w:p w14:paraId="11122617">
                  <w:pPr>
                    <w:keepNext w:val="0"/>
                    <w:keepLines w:val="0"/>
                    <w:widowControl/>
                    <w:suppressLineNumbers w:val="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DA002</w:t>
                  </w:r>
                </w:p>
                <w:p w14:paraId="05508E54">
                  <w:pPr>
                    <w:widowControl w:val="0"/>
                    <w:autoSpaceDE w:val="0"/>
                    <w:autoSpaceDN w:val="0"/>
                    <w:spacing w:line="240" w:lineRule="auto"/>
                    <w:ind w:left="0" w:leftChars="0" w:firstLine="0" w:firstLineChars="0"/>
                    <w:jc w:val="center"/>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i w:val="0"/>
                      <w:iCs w:val="0"/>
                      <w:color w:val="0000FF"/>
                      <w:kern w:val="0"/>
                      <w:sz w:val="21"/>
                      <w:szCs w:val="21"/>
                      <w:u w:val="none"/>
                      <w:lang w:val="en-US" w:eastAsia="zh-CN" w:bidi="ar"/>
                    </w:rPr>
                    <w:t>（加工车间）</w:t>
                  </w:r>
                </w:p>
              </w:tc>
              <w:tc>
                <w:tcPr>
                  <w:tcW w:w="1464" w:type="dxa"/>
                  <w:noWrap w:val="0"/>
                  <w:vAlign w:val="center"/>
                </w:tcPr>
                <w:p w14:paraId="3D00524E">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颗粒物</w:t>
                  </w:r>
                </w:p>
              </w:tc>
              <w:tc>
                <w:tcPr>
                  <w:tcW w:w="1843" w:type="dxa"/>
                  <w:noWrap w:val="0"/>
                  <w:vAlign w:val="center"/>
                </w:tcPr>
                <w:p w14:paraId="6C048F2E">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sz w:val="21"/>
                      <w:szCs w:val="21"/>
                      <w:highlight w:val="none"/>
                      <w:u w:val="none"/>
                      <w:lang w:val="en-US" w:eastAsia="zh-CN" w:bidi="ar-SA"/>
                    </w:rPr>
                  </w:pPr>
                  <w:r>
                    <w:rPr>
                      <w:rFonts w:hint="eastAsia" w:ascii="Times New Roman" w:hAnsi="Times New Roman" w:eastAsia="宋体" w:cs="Times New Roman"/>
                      <w:color w:val="0000FF"/>
                      <w:kern w:val="2"/>
                      <w:sz w:val="21"/>
                      <w:szCs w:val="22"/>
                      <w:highlight w:val="none"/>
                      <w:lang w:val="en-US" w:eastAsia="zh-CN"/>
                    </w:rPr>
                    <w:t>12.16</w:t>
                  </w:r>
                </w:p>
              </w:tc>
              <w:tc>
                <w:tcPr>
                  <w:tcW w:w="1571" w:type="dxa"/>
                  <w:noWrap w:val="0"/>
                  <w:vAlign w:val="center"/>
                </w:tcPr>
                <w:p w14:paraId="42ACC916">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i w:val="0"/>
                      <w:iCs w:val="0"/>
                      <w:color w:val="0000FF"/>
                      <w:sz w:val="21"/>
                      <w:szCs w:val="21"/>
                      <w:highlight w:val="none"/>
                      <w:u w:val="none"/>
                      <w:lang w:val="en-US" w:eastAsia="zh-CN" w:bidi="ar-SA"/>
                    </w:rPr>
                  </w:pPr>
                  <w:r>
                    <w:rPr>
                      <w:rFonts w:hint="eastAsia" w:ascii="Times New Roman" w:hAnsi="Times New Roman" w:eastAsia="宋体" w:cs="Times New Roman"/>
                      <w:color w:val="0000FF"/>
                      <w:kern w:val="2"/>
                      <w:sz w:val="21"/>
                      <w:szCs w:val="22"/>
                      <w:highlight w:val="none"/>
                      <w:lang w:val="en-US" w:eastAsia="zh-CN"/>
                    </w:rPr>
                    <w:t>0.0304</w:t>
                  </w:r>
                </w:p>
              </w:tc>
              <w:tc>
                <w:tcPr>
                  <w:tcW w:w="1625" w:type="dxa"/>
                  <w:noWrap w:val="0"/>
                  <w:vAlign w:val="center"/>
                </w:tcPr>
                <w:p w14:paraId="43E95177">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highlight w:val="none"/>
                      <w:lang w:val="en-US" w:eastAsia="zh-CN"/>
                    </w:rPr>
                  </w:pPr>
                  <w:r>
                    <w:rPr>
                      <w:rFonts w:hint="eastAsia" w:ascii="Times New Roman" w:hAnsi="Times New Roman" w:eastAsia="宋体" w:cs="Times New Roman"/>
                      <w:color w:val="0000FF"/>
                      <w:sz w:val="21"/>
                      <w:szCs w:val="21"/>
                      <w:highlight w:val="none"/>
                      <w:lang w:val="en-US" w:eastAsia="zh-CN"/>
                    </w:rPr>
                    <w:t>0.1332</w:t>
                  </w:r>
                </w:p>
              </w:tc>
            </w:tr>
            <w:tr w14:paraId="6CC7F2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001" w:type="dxa"/>
                  <w:gridSpan w:val="2"/>
                  <w:vMerge w:val="restart"/>
                  <w:noWrap w:val="0"/>
                  <w:vAlign w:val="center"/>
                </w:tcPr>
                <w:p w14:paraId="63E4F0B1">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一般排放口合计</w:t>
                  </w:r>
                </w:p>
              </w:tc>
              <w:tc>
                <w:tcPr>
                  <w:tcW w:w="4878" w:type="dxa"/>
                  <w:gridSpan w:val="3"/>
                  <w:noWrap w:val="0"/>
                  <w:vAlign w:val="center"/>
                </w:tcPr>
                <w:p w14:paraId="7EB9930E">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highlight w:val="green"/>
                      <w:lang w:val="en-US" w:eastAsia="zh-CN"/>
                    </w:rPr>
                  </w:pPr>
                  <w:r>
                    <w:rPr>
                      <w:rFonts w:hint="default" w:ascii="Times New Roman" w:hAnsi="Times New Roman" w:eastAsia="宋体" w:cs="Times New Roman"/>
                      <w:color w:val="0000FF"/>
                      <w:kern w:val="2"/>
                      <w:sz w:val="21"/>
                      <w:szCs w:val="24"/>
                      <w:highlight w:val="none"/>
                      <w:lang w:val="en-US" w:eastAsia="zh-CN"/>
                    </w:rPr>
                    <w:t>颗粒物</w:t>
                  </w:r>
                </w:p>
              </w:tc>
              <w:tc>
                <w:tcPr>
                  <w:tcW w:w="1625" w:type="dxa"/>
                  <w:noWrap w:val="0"/>
                  <w:vAlign w:val="center"/>
                </w:tcPr>
                <w:p w14:paraId="6E31564E">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highlight w:val="green"/>
                      <w:lang w:val="en-US" w:eastAsia="zh-CN"/>
                    </w:rPr>
                  </w:pPr>
                  <w:r>
                    <w:rPr>
                      <w:rFonts w:hint="eastAsia" w:ascii="Times New Roman" w:hAnsi="Times New Roman" w:eastAsia="宋体" w:cs="Times New Roman"/>
                      <w:color w:val="0000FF"/>
                      <w:sz w:val="21"/>
                      <w:szCs w:val="21"/>
                      <w:highlight w:val="none"/>
                      <w:lang w:val="en-US" w:eastAsia="zh-CN"/>
                    </w:rPr>
                    <w:t>0.1332</w:t>
                  </w:r>
                </w:p>
              </w:tc>
            </w:tr>
            <w:tr w14:paraId="1E91CE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001" w:type="dxa"/>
                  <w:gridSpan w:val="2"/>
                  <w:vMerge w:val="continue"/>
                  <w:noWrap w:val="0"/>
                  <w:vAlign w:val="center"/>
                </w:tcPr>
                <w:p w14:paraId="55F03669">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lang w:val="en-US" w:eastAsia="zh-CN"/>
                    </w:rPr>
                  </w:pPr>
                </w:p>
              </w:tc>
              <w:tc>
                <w:tcPr>
                  <w:tcW w:w="4878" w:type="dxa"/>
                  <w:gridSpan w:val="3"/>
                  <w:noWrap w:val="0"/>
                  <w:vAlign w:val="center"/>
                </w:tcPr>
                <w:p w14:paraId="66E4FD9C">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氨</w:t>
                  </w:r>
                </w:p>
              </w:tc>
              <w:tc>
                <w:tcPr>
                  <w:tcW w:w="1625" w:type="dxa"/>
                  <w:noWrap w:val="0"/>
                  <w:vAlign w:val="center"/>
                </w:tcPr>
                <w:p w14:paraId="57A75B4F">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eastAsia" w:ascii="Times New Roman" w:hAnsi="Times New Roman" w:eastAsia="宋体" w:cs="Times New Roman"/>
                      <w:color w:val="0000FF"/>
                      <w:sz w:val="21"/>
                      <w:szCs w:val="21"/>
                      <w:highlight w:val="none"/>
                      <w:lang w:val="en-US" w:eastAsia="zh-CN"/>
                    </w:rPr>
                    <w:t>0.0216</w:t>
                  </w:r>
                </w:p>
              </w:tc>
            </w:tr>
            <w:tr w14:paraId="04BF260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001" w:type="dxa"/>
                  <w:gridSpan w:val="2"/>
                  <w:vMerge w:val="continue"/>
                  <w:noWrap w:val="0"/>
                  <w:vAlign w:val="center"/>
                </w:tcPr>
                <w:p w14:paraId="59AC22C5">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lang w:val="en-US" w:eastAsia="zh-CN"/>
                    </w:rPr>
                  </w:pPr>
                </w:p>
              </w:tc>
              <w:tc>
                <w:tcPr>
                  <w:tcW w:w="4878" w:type="dxa"/>
                  <w:gridSpan w:val="3"/>
                  <w:noWrap w:val="0"/>
                  <w:vAlign w:val="center"/>
                </w:tcPr>
                <w:p w14:paraId="0B04A00B">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硫化氢</w:t>
                  </w:r>
                </w:p>
              </w:tc>
              <w:tc>
                <w:tcPr>
                  <w:tcW w:w="1625" w:type="dxa"/>
                  <w:noWrap w:val="0"/>
                  <w:vAlign w:val="center"/>
                </w:tcPr>
                <w:p w14:paraId="24D3C529">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eastAsia" w:ascii="Times New Roman" w:hAnsi="Times New Roman" w:eastAsia="宋体" w:cs="Times New Roman"/>
                      <w:color w:val="0000FF"/>
                      <w:sz w:val="21"/>
                      <w:szCs w:val="21"/>
                      <w:highlight w:val="none"/>
                      <w:lang w:val="en-US" w:eastAsia="zh-CN"/>
                    </w:rPr>
                    <w:t>0.0116</w:t>
                  </w:r>
                </w:p>
              </w:tc>
            </w:tr>
            <w:tr w14:paraId="4A7759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504" w:type="dxa"/>
                  <w:gridSpan w:val="6"/>
                  <w:noWrap w:val="0"/>
                  <w:vAlign w:val="center"/>
                </w:tcPr>
                <w:p w14:paraId="02B75026">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有组织排放总计</w:t>
                  </w:r>
                </w:p>
              </w:tc>
            </w:tr>
            <w:tr w14:paraId="45DDCB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001" w:type="dxa"/>
                  <w:gridSpan w:val="2"/>
                  <w:vMerge w:val="restart"/>
                  <w:noWrap w:val="0"/>
                  <w:vAlign w:val="center"/>
                </w:tcPr>
                <w:p w14:paraId="4A9A50E3">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有组织排放总计</w:t>
                  </w:r>
                </w:p>
              </w:tc>
              <w:tc>
                <w:tcPr>
                  <w:tcW w:w="4878" w:type="dxa"/>
                  <w:gridSpan w:val="3"/>
                  <w:noWrap w:val="0"/>
                  <w:vAlign w:val="center"/>
                </w:tcPr>
                <w:p w14:paraId="3CC56F35">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颗粒物</w:t>
                  </w:r>
                </w:p>
              </w:tc>
              <w:tc>
                <w:tcPr>
                  <w:tcW w:w="1625" w:type="dxa"/>
                  <w:noWrap w:val="0"/>
                  <w:vAlign w:val="center"/>
                </w:tcPr>
                <w:p w14:paraId="430F3F50">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eastAsia" w:ascii="Times New Roman" w:hAnsi="Times New Roman" w:eastAsia="宋体" w:cs="Times New Roman"/>
                      <w:color w:val="0000FF"/>
                      <w:sz w:val="21"/>
                      <w:szCs w:val="21"/>
                      <w:highlight w:val="none"/>
                      <w:lang w:val="en-US" w:eastAsia="zh-CN"/>
                    </w:rPr>
                    <w:t>0.1332</w:t>
                  </w:r>
                </w:p>
              </w:tc>
            </w:tr>
            <w:tr w14:paraId="040D22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001" w:type="dxa"/>
                  <w:gridSpan w:val="2"/>
                  <w:vMerge w:val="continue"/>
                  <w:noWrap w:val="0"/>
                  <w:vAlign w:val="center"/>
                </w:tcPr>
                <w:p w14:paraId="307DCE64">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lang w:val="en-US" w:eastAsia="zh-CN"/>
                    </w:rPr>
                  </w:pPr>
                </w:p>
              </w:tc>
              <w:tc>
                <w:tcPr>
                  <w:tcW w:w="4878" w:type="dxa"/>
                  <w:gridSpan w:val="3"/>
                  <w:noWrap w:val="0"/>
                  <w:vAlign w:val="center"/>
                </w:tcPr>
                <w:p w14:paraId="4873A02F">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氨</w:t>
                  </w:r>
                </w:p>
              </w:tc>
              <w:tc>
                <w:tcPr>
                  <w:tcW w:w="1625" w:type="dxa"/>
                  <w:noWrap w:val="0"/>
                  <w:vAlign w:val="center"/>
                </w:tcPr>
                <w:p w14:paraId="718D32E7">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eastAsia" w:ascii="Times New Roman" w:hAnsi="Times New Roman" w:eastAsia="宋体" w:cs="Times New Roman"/>
                      <w:color w:val="0000FF"/>
                      <w:sz w:val="21"/>
                      <w:szCs w:val="21"/>
                      <w:highlight w:val="none"/>
                      <w:lang w:val="en-US" w:eastAsia="zh-CN"/>
                    </w:rPr>
                    <w:t>0.0216</w:t>
                  </w:r>
                </w:p>
              </w:tc>
            </w:tr>
            <w:tr w14:paraId="566345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001" w:type="dxa"/>
                  <w:gridSpan w:val="2"/>
                  <w:vMerge w:val="continue"/>
                  <w:noWrap w:val="0"/>
                  <w:vAlign w:val="center"/>
                </w:tcPr>
                <w:p w14:paraId="533D695A">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0000FF"/>
                      <w:kern w:val="2"/>
                      <w:sz w:val="21"/>
                      <w:szCs w:val="24"/>
                      <w:lang w:val="en-US" w:eastAsia="zh-CN"/>
                    </w:rPr>
                  </w:pPr>
                </w:p>
              </w:tc>
              <w:tc>
                <w:tcPr>
                  <w:tcW w:w="4878" w:type="dxa"/>
                  <w:gridSpan w:val="3"/>
                  <w:noWrap w:val="0"/>
                  <w:vAlign w:val="center"/>
                </w:tcPr>
                <w:p w14:paraId="0C805B33">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硫化氢</w:t>
                  </w:r>
                </w:p>
              </w:tc>
              <w:tc>
                <w:tcPr>
                  <w:tcW w:w="1625" w:type="dxa"/>
                  <w:noWrap w:val="0"/>
                  <w:vAlign w:val="center"/>
                </w:tcPr>
                <w:p w14:paraId="01251789">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eastAsia" w:ascii="Times New Roman" w:hAnsi="Times New Roman" w:eastAsia="宋体" w:cs="Times New Roman"/>
                      <w:color w:val="0000FF"/>
                      <w:sz w:val="21"/>
                      <w:szCs w:val="21"/>
                      <w:highlight w:val="none"/>
                      <w:lang w:val="en-US" w:eastAsia="zh-CN"/>
                    </w:rPr>
                    <w:t>0.0116</w:t>
                  </w:r>
                </w:p>
              </w:tc>
            </w:tr>
          </w:tbl>
          <w:p w14:paraId="2FDBC43C">
            <w:pPr>
              <w:widowControl w:val="0"/>
              <w:overflowPunct w:val="0"/>
              <w:autoSpaceDE w:val="0"/>
              <w:autoSpaceDN w:val="0"/>
              <w:adjustRightInd w:val="0"/>
              <w:snapToGrid w:val="0"/>
              <w:spacing w:before="0" w:after="0" w:line="240" w:lineRule="auto"/>
              <w:ind w:left="0" w:right="0" w:firstLine="422" w:firstLineChars="200"/>
              <w:jc w:val="center"/>
              <w:rPr>
                <w:rFonts w:hint="default" w:ascii="Times New Roman" w:hAnsi="Times New Roman" w:eastAsia="宋体" w:cs="Times New Roman"/>
                <w:b/>
                <w:color w:val="0000FF"/>
                <w:kern w:val="2"/>
                <w:sz w:val="21"/>
                <w:szCs w:val="21"/>
                <w:highlight w:val="none"/>
                <w:lang w:val="en-US" w:eastAsia="zh-CN" w:bidi="ar-SA"/>
              </w:rPr>
            </w:pPr>
            <w:r>
              <w:rPr>
                <w:rFonts w:hint="default" w:ascii="Times New Roman" w:hAnsi="Times New Roman" w:eastAsia="宋体" w:cs="Times New Roman"/>
                <w:b/>
                <w:color w:val="0000FF"/>
                <w:kern w:val="2"/>
                <w:sz w:val="21"/>
                <w:szCs w:val="21"/>
                <w:highlight w:val="none"/>
                <w:lang w:val="en-US" w:eastAsia="zh-CN" w:bidi="ar-SA"/>
              </w:rPr>
              <w:t>表4.5-</w:t>
            </w:r>
            <w:r>
              <w:rPr>
                <w:rFonts w:hint="eastAsia" w:cs="Times New Roman"/>
                <w:b/>
                <w:color w:val="0000FF"/>
                <w:kern w:val="2"/>
                <w:sz w:val="21"/>
                <w:szCs w:val="21"/>
                <w:highlight w:val="none"/>
                <w:lang w:val="en-US" w:eastAsia="zh-CN" w:bidi="ar-SA"/>
              </w:rPr>
              <w:t>8</w:t>
            </w:r>
            <w:r>
              <w:rPr>
                <w:rFonts w:hint="default" w:ascii="Times New Roman" w:hAnsi="Times New Roman" w:eastAsia="宋体" w:cs="Times New Roman"/>
                <w:b/>
                <w:color w:val="0000FF"/>
                <w:kern w:val="2"/>
                <w:sz w:val="21"/>
                <w:szCs w:val="21"/>
                <w:highlight w:val="none"/>
                <w:lang w:val="en-US" w:eastAsia="zh-CN" w:bidi="ar-SA"/>
              </w:rPr>
              <w:t>本项目有组织大气污染物年排放核算表</w:t>
            </w:r>
          </w:p>
          <w:tbl>
            <w:tblPr>
              <w:tblStyle w:val="22"/>
              <w:tblW w:w="8504"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2344"/>
              <w:gridCol w:w="3246"/>
              <w:gridCol w:w="2914"/>
            </w:tblGrid>
            <w:tr w14:paraId="57C3CE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tcBorders>
                    <w:left w:val="single" w:color="000000" w:sz="12" w:space="0"/>
                  </w:tcBorders>
                  <w:noWrap w:val="0"/>
                  <w:vAlign w:val="center"/>
                </w:tcPr>
                <w:p w14:paraId="32E7C729">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FF"/>
                      <w:kern w:val="2"/>
                      <w:sz w:val="21"/>
                      <w:szCs w:val="21"/>
                    </w:rPr>
                  </w:pPr>
                  <w:r>
                    <w:rPr>
                      <w:rFonts w:hint="default" w:ascii="Times New Roman" w:hAnsi="Times New Roman" w:eastAsia="宋体" w:cs="Times New Roman"/>
                      <w:color w:val="0000FF"/>
                      <w:kern w:val="2"/>
                      <w:sz w:val="21"/>
                      <w:szCs w:val="21"/>
                    </w:rPr>
                    <w:t>序号</w:t>
                  </w:r>
                </w:p>
              </w:tc>
              <w:tc>
                <w:tcPr>
                  <w:tcW w:w="3246" w:type="dxa"/>
                  <w:noWrap w:val="0"/>
                  <w:vAlign w:val="center"/>
                </w:tcPr>
                <w:p w14:paraId="13932E42">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FF"/>
                      <w:kern w:val="2"/>
                      <w:sz w:val="21"/>
                      <w:szCs w:val="21"/>
                    </w:rPr>
                  </w:pPr>
                  <w:r>
                    <w:rPr>
                      <w:rFonts w:hint="default" w:ascii="Times New Roman" w:hAnsi="Times New Roman" w:eastAsia="宋体" w:cs="Times New Roman"/>
                      <w:color w:val="0000FF"/>
                      <w:kern w:val="2"/>
                      <w:sz w:val="21"/>
                      <w:szCs w:val="21"/>
                    </w:rPr>
                    <w:t>污染物</w:t>
                  </w:r>
                </w:p>
              </w:tc>
              <w:tc>
                <w:tcPr>
                  <w:tcW w:w="2914" w:type="dxa"/>
                  <w:tcBorders>
                    <w:right w:val="single" w:color="000000" w:sz="12" w:space="0"/>
                  </w:tcBorders>
                  <w:noWrap w:val="0"/>
                  <w:vAlign w:val="center"/>
                </w:tcPr>
                <w:p w14:paraId="6B03A6E0">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FF"/>
                      <w:kern w:val="2"/>
                      <w:sz w:val="21"/>
                      <w:szCs w:val="21"/>
                    </w:rPr>
                  </w:pPr>
                  <w:r>
                    <w:rPr>
                      <w:rFonts w:hint="default" w:ascii="Times New Roman" w:hAnsi="Times New Roman" w:eastAsia="宋体" w:cs="Times New Roman"/>
                      <w:color w:val="0000FF"/>
                      <w:kern w:val="2"/>
                      <w:sz w:val="21"/>
                      <w:szCs w:val="21"/>
                    </w:rPr>
                    <w:t>年排放量/(t/a)</w:t>
                  </w:r>
                </w:p>
              </w:tc>
            </w:tr>
            <w:tr w14:paraId="2444E75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tcBorders>
                    <w:left w:val="single" w:color="000000" w:sz="12" w:space="0"/>
                  </w:tcBorders>
                  <w:noWrap w:val="0"/>
                  <w:vAlign w:val="center"/>
                </w:tcPr>
                <w:p w14:paraId="5D6A1FAB">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1"/>
                      <w:lang w:val="en-US" w:eastAsia="zh-CN"/>
                    </w:rPr>
                  </w:pPr>
                  <w:r>
                    <w:rPr>
                      <w:rFonts w:hint="default" w:ascii="Times New Roman" w:hAnsi="Times New Roman" w:eastAsia="宋体" w:cs="Times New Roman"/>
                      <w:color w:val="0000FF"/>
                      <w:kern w:val="2"/>
                      <w:sz w:val="21"/>
                      <w:szCs w:val="24"/>
                      <w:lang w:val="en-US" w:eastAsia="zh-CN"/>
                    </w:rPr>
                    <w:t>1</w:t>
                  </w:r>
                </w:p>
              </w:tc>
              <w:tc>
                <w:tcPr>
                  <w:tcW w:w="3246" w:type="dxa"/>
                  <w:noWrap w:val="0"/>
                  <w:vAlign w:val="center"/>
                </w:tcPr>
                <w:p w14:paraId="19054B7B">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bCs/>
                      <w:color w:val="0000FF"/>
                      <w:kern w:val="2"/>
                      <w:sz w:val="21"/>
                      <w:szCs w:val="21"/>
                      <w:highlight w:val="none"/>
                      <w:lang w:val="en-US" w:eastAsia="zh-CN" w:bidi="ar-SA"/>
                    </w:rPr>
                  </w:pPr>
                  <w:r>
                    <w:rPr>
                      <w:rFonts w:hint="default" w:ascii="Times New Roman" w:hAnsi="Times New Roman" w:eastAsia="宋体" w:cs="Times New Roman"/>
                      <w:color w:val="0000FF"/>
                      <w:kern w:val="2"/>
                      <w:sz w:val="21"/>
                      <w:szCs w:val="24"/>
                      <w:lang w:val="en-US" w:eastAsia="zh-CN"/>
                    </w:rPr>
                    <w:t>颗粒物</w:t>
                  </w:r>
                </w:p>
              </w:tc>
              <w:tc>
                <w:tcPr>
                  <w:tcW w:w="2914" w:type="dxa"/>
                  <w:tcBorders>
                    <w:right w:val="single" w:color="000000" w:sz="12" w:space="0"/>
                  </w:tcBorders>
                  <w:noWrap w:val="0"/>
                  <w:vAlign w:val="center"/>
                </w:tcPr>
                <w:p w14:paraId="4024CAA4">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1"/>
                      <w:lang w:val="en-US" w:eastAsia="zh-CN" w:bidi="ar-SA"/>
                    </w:rPr>
                  </w:pPr>
                  <w:r>
                    <w:rPr>
                      <w:rFonts w:hint="eastAsia" w:ascii="Times New Roman" w:hAnsi="Times New Roman" w:eastAsia="宋体" w:cs="Times New Roman"/>
                      <w:color w:val="0000FF"/>
                      <w:sz w:val="21"/>
                      <w:szCs w:val="21"/>
                      <w:highlight w:val="none"/>
                      <w:lang w:val="en-US" w:eastAsia="zh-CN"/>
                    </w:rPr>
                    <w:t>0.1332</w:t>
                  </w:r>
                </w:p>
              </w:tc>
            </w:tr>
            <w:tr w14:paraId="61FB3F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tcBorders>
                    <w:left w:val="single" w:color="000000" w:sz="12" w:space="0"/>
                  </w:tcBorders>
                  <w:noWrap w:val="0"/>
                  <w:vAlign w:val="center"/>
                </w:tcPr>
                <w:p w14:paraId="1EFF92CE">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1"/>
                      <w:lang w:val="en-US" w:eastAsia="zh-CN"/>
                    </w:rPr>
                  </w:pPr>
                  <w:r>
                    <w:rPr>
                      <w:rFonts w:hint="default" w:ascii="Times New Roman" w:hAnsi="Times New Roman" w:eastAsia="宋体" w:cs="Times New Roman"/>
                      <w:color w:val="0000FF"/>
                      <w:kern w:val="2"/>
                      <w:sz w:val="21"/>
                      <w:szCs w:val="24"/>
                      <w:lang w:val="en-US" w:eastAsia="zh-CN"/>
                    </w:rPr>
                    <w:t>2</w:t>
                  </w:r>
                </w:p>
              </w:tc>
              <w:tc>
                <w:tcPr>
                  <w:tcW w:w="3246" w:type="dxa"/>
                  <w:noWrap w:val="0"/>
                  <w:vAlign w:val="center"/>
                </w:tcPr>
                <w:p w14:paraId="73321395">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氨</w:t>
                  </w:r>
                </w:p>
              </w:tc>
              <w:tc>
                <w:tcPr>
                  <w:tcW w:w="2914" w:type="dxa"/>
                  <w:tcBorders>
                    <w:right w:val="single" w:color="000000" w:sz="12" w:space="0"/>
                  </w:tcBorders>
                  <w:noWrap w:val="0"/>
                  <w:vAlign w:val="center"/>
                </w:tcPr>
                <w:p w14:paraId="68B709D6">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eastAsia" w:ascii="Times New Roman" w:hAnsi="Times New Roman" w:eastAsia="宋体" w:cs="Times New Roman"/>
                      <w:color w:val="0000FF"/>
                      <w:sz w:val="21"/>
                      <w:szCs w:val="21"/>
                      <w:highlight w:val="none"/>
                      <w:lang w:val="en-US" w:eastAsia="zh-CN"/>
                    </w:rPr>
                    <w:t>0.0216</w:t>
                  </w:r>
                </w:p>
              </w:tc>
            </w:tr>
            <w:tr w14:paraId="7EA857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tcBorders>
                    <w:left w:val="single" w:color="000000" w:sz="12" w:space="0"/>
                  </w:tcBorders>
                  <w:noWrap w:val="0"/>
                  <w:vAlign w:val="center"/>
                </w:tcPr>
                <w:p w14:paraId="75AF9015">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1"/>
                      <w:lang w:val="en-US" w:eastAsia="zh-CN"/>
                    </w:rPr>
                  </w:pPr>
                  <w:r>
                    <w:rPr>
                      <w:rFonts w:hint="default" w:ascii="Times New Roman" w:hAnsi="Times New Roman" w:eastAsia="宋体" w:cs="Times New Roman"/>
                      <w:color w:val="0000FF"/>
                      <w:kern w:val="2"/>
                      <w:sz w:val="21"/>
                      <w:szCs w:val="24"/>
                      <w:lang w:val="en-US" w:eastAsia="zh-CN"/>
                    </w:rPr>
                    <w:t>3</w:t>
                  </w:r>
                </w:p>
              </w:tc>
              <w:tc>
                <w:tcPr>
                  <w:tcW w:w="3246" w:type="dxa"/>
                  <w:noWrap w:val="0"/>
                  <w:vAlign w:val="center"/>
                </w:tcPr>
                <w:p w14:paraId="543FD4F2">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硫化氢</w:t>
                  </w:r>
                </w:p>
              </w:tc>
              <w:tc>
                <w:tcPr>
                  <w:tcW w:w="2914" w:type="dxa"/>
                  <w:tcBorders>
                    <w:right w:val="single" w:color="000000" w:sz="12" w:space="0"/>
                  </w:tcBorders>
                  <w:noWrap w:val="0"/>
                  <w:vAlign w:val="center"/>
                </w:tcPr>
                <w:p w14:paraId="68A1068E">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eastAsia" w:ascii="Times New Roman" w:hAnsi="Times New Roman" w:eastAsia="宋体" w:cs="Times New Roman"/>
                      <w:color w:val="0000FF"/>
                      <w:sz w:val="21"/>
                      <w:szCs w:val="21"/>
                      <w:highlight w:val="none"/>
                      <w:lang w:val="en-US" w:eastAsia="zh-CN"/>
                    </w:rPr>
                    <w:t>0.0116</w:t>
                  </w:r>
                </w:p>
              </w:tc>
            </w:tr>
          </w:tbl>
          <w:p w14:paraId="54481986">
            <w:pPr>
              <w:widowControl w:val="0"/>
              <w:overflowPunct w:val="0"/>
              <w:autoSpaceDE w:val="0"/>
              <w:autoSpaceDN w:val="0"/>
              <w:adjustRightInd w:val="0"/>
              <w:snapToGrid w:val="0"/>
              <w:spacing w:before="0" w:after="0" w:line="520" w:lineRule="exact"/>
              <w:ind w:left="0" w:right="0" w:firstLine="480" w:firstLineChars="200"/>
              <w:jc w:val="both"/>
              <w:rPr>
                <w:rFonts w:hint="default" w:ascii="Times New Roman" w:hAnsi="Times New Roman" w:eastAsia="宋体" w:cs="Times New Roman"/>
                <w:color w:val="0000FF"/>
                <w:kern w:val="2"/>
                <w:sz w:val="24"/>
                <w:szCs w:val="24"/>
                <w:highlight w:val="none"/>
                <w:lang w:val="en-US" w:eastAsia="zh-CN" w:bidi="ar-SA"/>
              </w:rPr>
            </w:pPr>
            <w:r>
              <w:rPr>
                <w:rFonts w:hint="default" w:ascii="Times New Roman" w:hAnsi="Times New Roman" w:eastAsia="宋体" w:cs="Times New Roman"/>
                <w:color w:val="0000FF"/>
                <w:kern w:val="2"/>
                <w:sz w:val="24"/>
                <w:szCs w:val="24"/>
                <w:highlight w:val="none"/>
                <w:lang w:val="en-US" w:eastAsia="zh-CN" w:bidi="ar-SA"/>
              </w:rPr>
              <w:t>在所有工艺设备及环保设备工作正常的情况下，本项目排放的各废气污染物量较低，在开、停、检修和治理措施故障均会造成污染物排放瞬时增大甚至超标情况，因此环评中需要对此类非正常工况排放进行分析和预测。本项目非正常工况主要考虑装置失效时的情况。非正常工况下，按照处理效率的30%计，项目排气筒排放的废气源强见表4.5-</w:t>
            </w:r>
            <w:r>
              <w:rPr>
                <w:rFonts w:hint="eastAsia" w:cs="Times New Roman"/>
                <w:color w:val="0000FF"/>
                <w:kern w:val="2"/>
                <w:sz w:val="24"/>
                <w:szCs w:val="24"/>
                <w:highlight w:val="none"/>
                <w:lang w:val="en-US" w:eastAsia="zh-CN" w:bidi="ar-SA"/>
              </w:rPr>
              <w:t>9</w:t>
            </w:r>
            <w:r>
              <w:rPr>
                <w:rFonts w:hint="default" w:ascii="Times New Roman" w:hAnsi="Times New Roman" w:eastAsia="宋体" w:cs="Times New Roman"/>
                <w:color w:val="0000FF"/>
                <w:kern w:val="2"/>
                <w:sz w:val="24"/>
                <w:szCs w:val="24"/>
                <w:highlight w:val="none"/>
                <w:lang w:val="en-US" w:eastAsia="zh-CN" w:bidi="ar-SA"/>
              </w:rPr>
              <w:t>。</w:t>
            </w:r>
          </w:p>
          <w:p w14:paraId="72493DB1">
            <w:pPr>
              <w:keepNext w:val="0"/>
              <w:keepLines w:val="0"/>
              <w:pageBreakBefore w:val="0"/>
              <w:widowControl w:val="0"/>
              <w:kinsoku/>
              <w:wordWrap/>
              <w:overflowPunct/>
              <w:topLinePunct w:val="0"/>
              <w:autoSpaceDE/>
              <w:autoSpaceDN/>
              <w:bidi w:val="0"/>
              <w:adjustRightInd/>
              <w:snapToGrid/>
              <w:spacing w:before="0" w:after="0" w:line="500" w:lineRule="exact"/>
              <w:ind w:left="0" w:right="0" w:firstLine="0" w:firstLineChars="0"/>
              <w:jc w:val="center"/>
              <w:textAlignment w:val="auto"/>
              <w:rPr>
                <w:rFonts w:hint="default" w:ascii="Times New Roman" w:hAnsi="Times New Roman" w:eastAsia="宋体" w:cs="Times New Roman"/>
                <w:b/>
                <w:color w:val="0000FF"/>
                <w:kern w:val="2"/>
                <w:sz w:val="21"/>
                <w:szCs w:val="21"/>
                <w:highlight w:val="none"/>
                <w:lang w:val="en-US" w:eastAsia="zh-CN" w:bidi="ar-SA"/>
              </w:rPr>
            </w:pPr>
            <w:r>
              <w:rPr>
                <w:rFonts w:hint="default" w:ascii="Times New Roman" w:hAnsi="Times New Roman" w:eastAsia="宋体" w:cs="Times New Roman"/>
                <w:b/>
                <w:color w:val="0000FF"/>
                <w:kern w:val="2"/>
                <w:sz w:val="21"/>
                <w:szCs w:val="21"/>
                <w:highlight w:val="none"/>
                <w:lang w:val="en-US" w:eastAsia="zh-CN" w:bidi="ar-SA"/>
              </w:rPr>
              <w:t>表4.5-</w:t>
            </w:r>
            <w:r>
              <w:rPr>
                <w:rFonts w:hint="eastAsia" w:cs="Times New Roman"/>
                <w:b/>
                <w:color w:val="0000FF"/>
                <w:kern w:val="2"/>
                <w:sz w:val="21"/>
                <w:szCs w:val="21"/>
                <w:highlight w:val="none"/>
                <w:lang w:val="en-US" w:eastAsia="zh-CN" w:bidi="ar-SA"/>
              </w:rPr>
              <w:t>9</w:t>
            </w:r>
            <w:r>
              <w:rPr>
                <w:rFonts w:hint="default" w:ascii="Times New Roman" w:hAnsi="Times New Roman" w:eastAsia="宋体" w:cs="Times New Roman"/>
                <w:b/>
                <w:color w:val="0000FF"/>
                <w:kern w:val="2"/>
                <w:sz w:val="21"/>
                <w:szCs w:val="21"/>
                <w:highlight w:val="none"/>
                <w:lang w:val="en-US" w:eastAsia="zh-CN" w:bidi="ar-SA"/>
              </w:rPr>
              <w:t>本项目有组织大气污染物非正常工况年排放核算表</w:t>
            </w:r>
          </w:p>
          <w:tbl>
            <w:tblPr>
              <w:tblStyle w:val="22"/>
              <w:tblW w:w="506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49"/>
              <w:gridCol w:w="1340"/>
              <w:gridCol w:w="649"/>
              <w:gridCol w:w="834"/>
              <w:gridCol w:w="846"/>
              <w:gridCol w:w="751"/>
              <w:gridCol w:w="643"/>
              <w:gridCol w:w="1346"/>
              <w:gridCol w:w="1346"/>
            </w:tblGrid>
            <w:tr w14:paraId="275F0F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tcBorders>
                    <w:tl2br w:val="nil"/>
                    <w:tr2bl w:val="nil"/>
                  </w:tcBorders>
                  <w:noWrap w:val="0"/>
                  <w:tcMar>
                    <w:left w:w="0" w:type="dxa"/>
                    <w:right w:w="0" w:type="dxa"/>
                  </w:tcMar>
                  <w:vAlign w:val="center"/>
                </w:tcPr>
                <w:p w14:paraId="2BFF1A9B">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FF"/>
                      <w:kern w:val="2"/>
                      <w:sz w:val="21"/>
                      <w:szCs w:val="21"/>
                      <w:lang w:val="en-US"/>
                    </w:rPr>
                  </w:pPr>
                  <w:r>
                    <w:rPr>
                      <w:rFonts w:hint="default" w:ascii="Times New Roman" w:hAnsi="Times New Roman" w:eastAsia="宋体" w:cs="Times New Roman"/>
                      <w:color w:val="0000FF"/>
                      <w:kern w:val="2"/>
                      <w:sz w:val="21"/>
                      <w:szCs w:val="21"/>
                      <w:lang w:val="en-US" w:eastAsia="zh-CN"/>
                    </w:rPr>
                    <w:t>污染源</w:t>
                  </w:r>
                </w:p>
              </w:tc>
              <w:tc>
                <w:tcPr>
                  <w:tcW w:w="787" w:type="pct"/>
                  <w:tcBorders>
                    <w:tl2br w:val="nil"/>
                    <w:tr2bl w:val="nil"/>
                  </w:tcBorders>
                  <w:noWrap w:val="0"/>
                  <w:tcMar>
                    <w:left w:w="0" w:type="dxa"/>
                    <w:right w:w="0" w:type="dxa"/>
                  </w:tcMar>
                  <w:vAlign w:val="center"/>
                </w:tcPr>
                <w:p w14:paraId="1251A2F2">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FF"/>
                      <w:kern w:val="2"/>
                      <w:sz w:val="21"/>
                      <w:szCs w:val="21"/>
                      <w:lang w:val="en-US" w:eastAsia="zh-CN"/>
                    </w:rPr>
                  </w:pPr>
                  <w:r>
                    <w:rPr>
                      <w:rFonts w:hint="default" w:ascii="Times New Roman" w:hAnsi="Times New Roman" w:eastAsia="宋体" w:cs="Times New Roman"/>
                      <w:color w:val="0000FF"/>
                      <w:kern w:val="2"/>
                      <w:sz w:val="21"/>
                      <w:szCs w:val="21"/>
                      <w:lang w:val="en-US" w:eastAsia="zh-CN"/>
                    </w:rPr>
                    <w:t>非正常排放原因</w:t>
                  </w:r>
                </w:p>
              </w:tc>
              <w:tc>
                <w:tcPr>
                  <w:tcW w:w="381" w:type="pct"/>
                  <w:tcBorders>
                    <w:tl2br w:val="nil"/>
                    <w:tr2bl w:val="nil"/>
                  </w:tcBorders>
                  <w:noWrap w:val="0"/>
                  <w:tcMar>
                    <w:left w:w="0" w:type="dxa"/>
                    <w:right w:w="0" w:type="dxa"/>
                  </w:tcMar>
                  <w:vAlign w:val="center"/>
                </w:tcPr>
                <w:p w14:paraId="184109E3">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FF"/>
                      <w:kern w:val="2"/>
                      <w:sz w:val="21"/>
                      <w:szCs w:val="21"/>
                    </w:rPr>
                  </w:pPr>
                  <w:r>
                    <w:rPr>
                      <w:rFonts w:hint="default" w:ascii="Times New Roman" w:hAnsi="Times New Roman" w:eastAsia="宋体" w:cs="Times New Roman"/>
                      <w:color w:val="0000FF"/>
                      <w:kern w:val="2"/>
                      <w:sz w:val="21"/>
                      <w:szCs w:val="21"/>
                    </w:rPr>
                    <w:t>污染物</w:t>
                  </w:r>
                </w:p>
              </w:tc>
              <w:tc>
                <w:tcPr>
                  <w:tcW w:w="490" w:type="pct"/>
                  <w:tcBorders>
                    <w:tl2br w:val="nil"/>
                    <w:tr2bl w:val="nil"/>
                  </w:tcBorders>
                  <w:noWrap w:val="0"/>
                  <w:tcMar>
                    <w:left w:w="0" w:type="dxa"/>
                    <w:right w:w="0" w:type="dxa"/>
                  </w:tcMar>
                  <w:vAlign w:val="center"/>
                </w:tcPr>
                <w:p w14:paraId="563B7FC8">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FF"/>
                      <w:kern w:val="2"/>
                      <w:sz w:val="21"/>
                      <w:szCs w:val="21"/>
                      <w:lang w:val="en-US" w:eastAsia="zh-CN"/>
                    </w:rPr>
                  </w:pPr>
                  <w:r>
                    <w:rPr>
                      <w:rFonts w:hint="default" w:ascii="Times New Roman" w:hAnsi="Times New Roman" w:eastAsia="宋体" w:cs="Times New Roman"/>
                      <w:color w:val="0000FF"/>
                      <w:kern w:val="2"/>
                      <w:sz w:val="21"/>
                      <w:szCs w:val="21"/>
                      <w:lang w:val="en-US" w:eastAsia="zh-CN"/>
                    </w:rPr>
                    <w:t>非正常排放浓度（m</w:t>
                  </w:r>
                  <w:r>
                    <w:rPr>
                      <w:rFonts w:hint="default" w:ascii="Times New Roman" w:hAnsi="Times New Roman" w:eastAsia="宋体" w:cs="Times New Roman"/>
                      <w:color w:val="0000FF"/>
                      <w:kern w:val="2"/>
                      <w:sz w:val="21"/>
                      <w:szCs w:val="24"/>
                    </w:rPr>
                    <w:t>g/m</w:t>
                  </w:r>
                  <w:r>
                    <w:rPr>
                      <w:rFonts w:hint="default" w:ascii="Times New Roman" w:hAnsi="Times New Roman" w:eastAsia="宋体" w:cs="Times New Roman"/>
                      <w:color w:val="0000FF"/>
                      <w:kern w:val="2"/>
                      <w:sz w:val="21"/>
                      <w:szCs w:val="24"/>
                      <w:vertAlign w:val="superscript"/>
                    </w:rPr>
                    <w:t>3</w:t>
                  </w:r>
                  <w:r>
                    <w:rPr>
                      <w:rFonts w:hint="default" w:ascii="Times New Roman" w:hAnsi="Times New Roman" w:eastAsia="宋体" w:cs="Times New Roman"/>
                      <w:color w:val="0000FF"/>
                      <w:kern w:val="2"/>
                      <w:sz w:val="21"/>
                      <w:szCs w:val="21"/>
                      <w:lang w:val="en-US" w:eastAsia="zh-CN"/>
                    </w:rPr>
                    <w:t>）</w:t>
                  </w:r>
                </w:p>
              </w:tc>
              <w:tc>
                <w:tcPr>
                  <w:tcW w:w="497" w:type="pct"/>
                  <w:tcBorders>
                    <w:tl2br w:val="nil"/>
                    <w:tr2bl w:val="nil"/>
                  </w:tcBorders>
                  <w:noWrap w:val="0"/>
                  <w:vAlign w:val="center"/>
                </w:tcPr>
                <w:p w14:paraId="41E01DB8">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FF"/>
                      <w:kern w:val="2"/>
                      <w:sz w:val="21"/>
                      <w:szCs w:val="21"/>
                      <w:lang w:val="en-US" w:eastAsia="zh-CN" w:bidi="ar-SA"/>
                    </w:rPr>
                  </w:pPr>
                  <w:r>
                    <w:rPr>
                      <w:rFonts w:hint="default" w:ascii="Times New Roman" w:hAnsi="Times New Roman" w:eastAsia="宋体" w:cs="Times New Roman"/>
                      <w:color w:val="0000FF"/>
                      <w:kern w:val="2"/>
                      <w:sz w:val="21"/>
                      <w:szCs w:val="21"/>
                      <w:lang w:val="en-US" w:eastAsia="zh-CN"/>
                    </w:rPr>
                    <w:t>非正常排放速率/</w:t>
                  </w:r>
                  <w:r>
                    <w:rPr>
                      <w:rFonts w:hint="default" w:ascii="Times New Roman" w:hAnsi="Times New Roman" w:eastAsia="宋体" w:cs="Times New Roman"/>
                      <w:color w:val="0000FF"/>
                      <w:kern w:val="2"/>
                      <w:sz w:val="21"/>
                      <w:szCs w:val="21"/>
                    </w:rPr>
                    <w:t>(</w:t>
                  </w:r>
                  <w:r>
                    <w:rPr>
                      <w:rFonts w:hint="default" w:ascii="Times New Roman" w:hAnsi="Times New Roman" w:eastAsia="宋体" w:cs="Times New Roman"/>
                      <w:color w:val="0000FF"/>
                      <w:kern w:val="2"/>
                      <w:sz w:val="21"/>
                      <w:szCs w:val="21"/>
                      <w:lang w:val="en-US" w:eastAsia="zh-CN"/>
                    </w:rPr>
                    <w:t>kg/h</w:t>
                  </w:r>
                  <w:r>
                    <w:rPr>
                      <w:rFonts w:hint="default" w:ascii="Times New Roman" w:hAnsi="Times New Roman" w:eastAsia="宋体" w:cs="Times New Roman"/>
                      <w:color w:val="0000FF"/>
                      <w:kern w:val="2"/>
                      <w:sz w:val="21"/>
                      <w:szCs w:val="21"/>
                    </w:rPr>
                    <w:t>)</w:t>
                  </w:r>
                </w:p>
              </w:tc>
              <w:tc>
                <w:tcPr>
                  <w:tcW w:w="441" w:type="pct"/>
                  <w:tcBorders>
                    <w:tl2br w:val="nil"/>
                    <w:tr2bl w:val="nil"/>
                  </w:tcBorders>
                  <w:noWrap w:val="0"/>
                  <w:tcMar>
                    <w:left w:w="0" w:type="dxa"/>
                    <w:right w:w="0" w:type="dxa"/>
                  </w:tcMar>
                  <w:vAlign w:val="center"/>
                </w:tcPr>
                <w:p w14:paraId="1E2719BD">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FF"/>
                      <w:kern w:val="2"/>
                      <w:sz w:val="21"/>
                      <w:szCs w:val="21"/>
                      <w:lang w:val="en-US" w:eastAsia="zh-CN" w:bidi="ar-SA"/>
                    </w:rPr>
                  </w:pPr>
                  <w:r>
                    <w:rPr>
                      <w:rFonts w:hint="default" w:ascii="Times New Roman" w:hAnsi="Times New Roman" w:eastAsia="宋体" w:cs="Times New Roman"/>
                      <w:color w:val="0000FF"/>
                      <w:kern w:val="2"/>
                      <w:sz w:val="21"/>
                      <w:szCs w:val="21"/>
                      <w:lang w:val="en-US" w:eastAsia="zh-CN"/>
                    </w:rPr>
                    <w:t>单次持续时间/h</w:t>
                  </w:r>
                </w:p>
              </w:tc>
              <w:tc>
                <w:tcPr>
                  <w:tcW w:w="378" w:type="pct"/>
                  <w:tcBorders>
                    <w:tl2br w:val="nil"/>
                    <w:tr2bl w:val="nil"/>
                  </w:tcBorders>
                  <w:noWrap w:val="0"/>
                  <w:tcMar>
                    <w:left w:w="0" w:type="dxa"/>
                    <w:right w:w="0" w:type="dxa"/>
                  </w:tcMar>
                  <w:vAlign w:val="center"/>
                </w:tcPr>
                <w:p w14:paraId="21B476A7">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FF"/>
                      <w:kern w:val="2"/>
                      <w:sz w:val="21"/>
                      <w:szCs w:val="21"/>
                      <w:lang w:val="en-US" w:eastAsia="zh-CN" w:bidi="ar-SA"/>
                    </w:rPr>
                  </w:pPr>
                  <w:r>
                    <w:rPr>
                      <w:rFonts w:hint="default" w:ascii="Times New Roman" w:hAnsi="Times New Roman" w:eastAsia="宋体" w:cs="Times New Roman"/>
                      <w:color w:val="0000FF"/>
                      <w:kern w:val="2"/>
                      <w:sz w:val="21"/>
                      <w:szCs w:val="21"/>
                      <w:lang w:val="en-US" w:eastAsia="zh-CN"/>
                    </w:rPr>
                    <w:t>年发生频次/次</w:t>
                  </w:r>
                </w:p>
              </w:tc>
              <w:tc>
                <w:tcPr>
                  <w:tcW w:w="791" w:type="pct"/>
                  <w:tcBorders>
                    <w:tl2br w:val="nil"/>
                    <w:tr2bl w:val="nil"/>
                  </w:tcBorders>
                  <w:noWrap w:val="0"/>
                  <w:tcMar>
                    <w:left w:w="0" w:type="dxa"/>
                    <w:right w:w="0" w:type="dxa"/>
                  </w:tcMar>
                  <w:vAlign w:val="center"/>
                </w:tcPr>
                <w:p w14:paraId="567D4A5E">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FF"/>
                      <w:kern w:val="2"/>
                      <w:sz w:val="21"/>
                      <w:szCs w:val="21"/>
                      <w:lang w:val="en-US" w:eastAsia="zh-CN"/>
                    </w:rPr>
                  </w:pPr>
                  <w:r>
                    <w:rPr>
                      <w:rFonts w:hint="default" w:ascii="Times New Roman" w:hAnsi="Times New Roman" w:eastAsia="宋体" w:cs="Times New Roman"/>
                      <w:color w:val="0000FF"/>
                      <w:kern w:val="2"/>
                      <w:sz w:val="21"/>
                      <w:szCs w:val="21"/>
                      <w:lang w:val="en-US" w:eastAsia="zh-CN"/>
                    </w:rPr>
                    <w:t>非正常排放量/</w:t>
                  </w:r>
                  <w:r>
                    <w:rPr>
                      <w:rFonts w:hint="default" w:ascii="Times New Roman" w:hAnsi="Times New Roman" w:eastAsia="宋体" w:cs="Times New Roman"/>
                      <w:color w:val="0000FF"/>
                      <w:kern w:val="2"/>
                      <w:sz w:val="21"/>
                      <w:szCs w:val="21"/>
                    </w:rPr>
                    <w:t>(</w:t>
                  </w:r>
                  <w:r>
                    <w:rPr>
                      <w:rFonts w:hint="default" w:ascii="Times New Roman" w:hAnsi="Times New Roman" w:eastAsia="宋体" w:cs="Times New Roman"/>
                      <w:color w:val="0000FF"/>
                      <w:kern w:val="2"/>
                      <w:sz w:val="21"/>
                      <w:szCs w:val="21"/>
                      <w:lang w:val="en-US" w:eastAsia="zh-CN"/>
                    </w:rPr>
                    <w:t>kg/a</w:t>
                  </w:r>
                  <w:r>
                    <w:rPr>
                      <w:rFonts w:hint="default" w:ascii="Times New Roman" w:hAnsi="Times New Roman" w:eastAsia="宋体" w:cs="Times New Roman"/>
                      <w:color w:val="0000FF"/>
                      <w:kern w:val="2"/>
                      <w:sz w:val="21"/>
                      <w:szCs w:val="21"/>
                    </w:rPr>
                    <w:t>)</w:t>
                  </w:r>
                </w:p>
              </w:tc>
              <w:tc>
                <w:tcPr>
                  <w:tcW w:w="791" w:type="pct"/>
                  <w:tcBorders>
                    <w:tl2br w:val="nil"/>
                    <w:tr2bl w:val="nil"/>
                  </w:tcBorders>
                  <w:noWrap w:val="0"/>
                  <w:tcMar>
                    <w:left w:w="0" w:type="dxa"/>
                    <w:right w:w="0" w:type="dxa"/>
                  </w:tcMar>
                  <w:vAlign w:val="center"/>
                </w:tcPr>
                <w:p w14:paraId="0A60B129">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FF"/>
                      <w:kern w:val="2"/>
                      <w:sz w:val="21"/>
                      <w:szCs w:val="21"/>
                      <w:lang w:val="en-US" w:eastAsia="zh-CN"/>
                    </w:rPr>
                  </w:pPr>
                  <w:r>
                    <w:rPr>
                      <w:rFonts w:hint="default" w:ascii="Times New Roman" w:hAnsi="Times New Roman" w:eastAsia="宋体" w:cs="Times New Roman"/>
                      <w:color w:val="0000FF"/>
                      <w:kern w:val="2"/>
                      <w:sz w:val="21"/>
                      <w:szCs w:val="21"/>
                      <w:lang w:val="en-US" w:eastAsia="zh-CN"/>
                    </w:rPr>
                    <w:t>应对措施</w:t>
                  </w:r>
                </w:p>
              </w:tc>
            </w:tr>
            <w:tr w14:paraId="5A3A25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440" w:type="pct"/>
                  <w:vMerge w:val="restart"/>
                  <w:tcBorders>
                    <w:tl2br w:val="nil"/>
                    <w:tr2bl w:val="nil"/>
                  </w:tcBorders>
                  <w:noWrap w:val="0"/>
                  <w:tcMar>
                    <w:left w:w="0" w:type="dxa"/>
                    <w:right w:w="0" w:type="dxa"/>
                  </w:tcMar>
                  <w:vAlign w:val="center"/>
                </w:tcPr>
                <w:p w14:paraId="2AA81744">
                  <w:pPr>
                    <w:widowControl w:val="0"/>
                    <w:autoSpaceDE w:val="0"/>
                    <w:autoSpaceDN w:val="0"/>
                    <w:spacing w:line="240" w:lineRule="auto"/>
                    <w:ind w:left="0" w:leftChars="0" w:firstLine="0" w:firstLineChars="0"/>
                    <w:jc w:val="center"/>
                    <w:rPr>
                      <w:rFonts w:hint="default" w:ascii="Times New Roman" w:hAnsi="Times New Roman" w:eastAsia="宋体" w:cs="Times New Roman"/>
                      <w:color w:val="0000FF"/>
                      <w:kern w:val="2"/>
                      <w:sz w:val="21"/>
                      <w:szCs w:val="21"/>
                      <w:lang w:val="en-US" w:eastAsia="zh-CN" w:bidi="ar-SA"/>
                    </w:rPr>
                  </w:pPr>
                  <w:r>
                    <w:rPr>
                      <w:rFonts w:hint="default" w:ascii="Times New Roman" w:hAnsi="Times New Roman" w:eastAsia="宋体" w:cs="Times New Roman"/>
                      <w:color w:val="0000FF"/>
                      <w:kern w:val="2"/>
                      <w:sz w:val="21"/>
                      <w:szCs w:val="21"/>
                      <w:lang w:val="en-US" w:eastAsia="zh-CN" w:bidi="ar-SA"/>
                    </w:rPr>
                    <w:t>DA001</w:t>
                  </w:r>
                </w:p>
                <w:p w14:paraId="386E4E5C">
                  <w:pPr>
                    <w:widowControl w:val="0"/>
                    <w:autoSpaceDE w:val="0"/>
                    <w:autoSpaceDN w:val="0"/>
                    <w:spacing w:line="240" w:lineRule="auto"/>
                    <w:ind w:left="0" w:leftChars="0" w:firstLine="0" w:firstLineChars="0"/>
                    <w:jc w:val="center"/>
                    <w:rPr>
                      <w:rFonts w:hint="default" w:ascii="Times New Roman" w:hAnsi="Times New Roman" w:eastAsia="宋体" w:cs="Times New Roman"/>
                      <w:bCs w:val="0"/>
                      <w:color w:val="0000FF"/>
                      <w:spacing w:val="0"/>
                      <w:kern w:val="2"/>
                      <w:sz w:val="21"/>
                      <w:szCs w:val="21"/>
                      <w:lang w:val="en-US" w:eastAsia="zh-CN" w:bidi="ar-SA"/>
                    </w:rPr>
                  </w:pPr>
                  <w:r>
                    <w:rPr>
                      <w:rFonts w:hint="default" w:ascii="Times New Roman" w:hAnsi="Times New Roman" w:eastAsia="宋体" w:cs="Times New Roman"/>
                      <w:color w:val="0000FF"/>
                      <w:kern w:val="2"/>
                      <w:sz w:val="21"/>
                      <w:szCs w:val="21"/>
                      <w:lang w:val="en-US" w:eastAsia="zh-CN" w:bidi="ar-SA"/>
                    </w:rPr>
                    <w:t>（发酵罐区排放口）</w:t>
                  </w:r>
                </w:p>
              </w:tc>
              <w:tc>
                <w:tcPr>
                  <w:tcW w:w="787" w:type="pct"/>
                  <w:vMerge w:val="restart"/>
                  <w:tcBorders>
                    <w:tl2br w:val="nil"/>
                    <w:tr2bl w:val="nil"/>
                  </w:tcBorders>
                  <w:noWrap w:val="0"/>
                  <w:tcMar>
                    <w:left w:w="0" w:type="dxa"/>
                    <w:right w:w="0" w:type="dxa"/>
                  </w:tcMar>
                  <w:vAlign w:val="center"/>
                </w:tcPr>
                <w:p w14:paraId="42C64E0F">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FF"/>
                      <w:kern w:val="2"/>
                      <w:sz w:val="21"/>
                      <w:szCs w:val="21"/>
                      <w:lang w:val="en-US" w:eastAsia="zh-CN"/>
                    </w:rPr>
                  </w:pPr>
                  <w:r>
                    <w:rPr>
                      <w:rFonts w:hint="default" w:ascii="Times New Roman" w:hAnsi="Times New Roman" w:eastAsia="宋体" w:cs="Times New Roman"/>
                      <w:color w:val="0000FF"/>
                      <w:kern w:val="2"/>
                      <w:sz w:val="21"/>
                      <w:szCs w:val="24"/>
                    </w:rPr>
                    <w:t>运转异常等非正常工况下</w:t>
                  </w:r>
                  <w:r>
                    <w:rPr>
                      <w:rFonts w:hint="default" w:ascii="Times New Roman" w:hAnsi="Times New Roman" w:eastAsia="宋体" w:cs="Times New Roman"/>
                      <w:color w:val="0000FF"/>
                      <w:kern w:val="2"/>
                      <w:sz w:val="21"/>
                      <w:szCs w:val="24"/>
                      <w:lang w:val="en-US" w:eastAsia="zh-CN"/>
                    </w:rPr>
                    <w:t>和</w:t>
                  </w:r>
                  <w:r>
                    <w:rPr>
                      <w:rFonts w:hint="default" w:ascii="Times New Roman" w:hAnsi="Times New Roman" w:eastAsia="宋体" w:cs="Times New Roman"/>
                      <w:color w:val="0000FF"/>
                      <w:kern w:val="2"/>
                      <w:sz w:val="21"/>
                      <w:szCs w:val="24"/>
                    </w:rPr>
                    <w:t>废气处理系统</w:t>
                  </w:r>
                  <w:r>
                    <w:rPr>
                      <w:rFonts w:hint="default" w:ascii="Times New Roman" w:hAnsi="Times New Roman" w:eastAsia="宋体" w:cs="Times New Roman"/>
                      <w:color w:val="0000FF"/>
                      <w:kern w:val="2"/>
                      <w:sz w:val="21"/>
                      <w:szCs w:val="24"/>
                      <w:lang w:val="en-US" w:eastAsia="zh-CN"/>
                    </w:rPr>
                    <w:t>达不到应有效率</w:t>
                  </w:r>
                </w:p>
              </w:tc>
              <w:tc>
                <w:tcPr>
                  <w:tcW w:w="381" w:type="pct"/>
                  <w:tcBorders>
                    <w:tl2br w:val="nil"/>
                    <w:tr2bl w:val="nil"/>
                  </w:tcBorders>
                  <w:noWrap w:val="0"/>
                  <w:tcMar>
                    <w:left w:w="0" w:type="dxa"/>
                    <w:right w:w="0" w:type="dxa"/>
                  </w:tcMar>
                  <w:vAlign w:val="center"/>
                </w:tcPr>
                <w:p w14:paraId="5F9962F4">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0"/>
                      <w:sz w:val="21"/>
                      <w:szCs w:val="21"/>
                      <w:highlight w:val="none"/>
                      <w:lang w:val="en-US" w:eastAsia="zh-CN" w:bidi="ar-SA"/>
                    </w:rPr>
                  </w:pPr>
                  <w:r>
                    <w:rPr>
                      <w:rFonts w:hint="default" w:ascii="Times New Roman" w:hAnsi="Times New Roman" w:eastAsia="宋体" w:cs="Times New Roman"/>
                      <w:color w:val="0000FF"/>
                      <w:kern w:val="2"/>
                      <w:sz w:val="21"/>
                      <w:szCs w:val="24"/>
                      <w:lang w:val="en-US" w:eastAsia="zh-CN"/>
                    </w:rPr>
                    <w:t>氨</w:t>
                  </w:r>
                </w:p>
              </w:tc>
              <w:tc>
                <w:tcPr>
                  <w:tcW w:w="490" w:type="pct"/>
                  <w:tcBorders>
                    <w:tl2br w:val="nil"/>
                    <w:tr2bl w:val="nil"/>
                  </w:tcBorders>
                  <w:noWrap w:val="0"/>
                  <w:tcMar>
                    <w:left w:w="0" w:type="dxa"/>
                    <w:right w:w="0" w:type="dxa"/>
                  </w:tcMar>
                  <w:vAlign w:val="center"/>
                </w:tcPr>
                <w:p w14:paraId="74F5338A">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color w:val="0000FF"/>
                      <w:kern w:val="2"/>
                      <w:sz w:val="21"/>
                      <w:szCs w:val="21"/>
                      <w:highlight w:val="none"/>
                      <w:lang w:val="en-US" w:eastAsia="zh-CN"/>
                    </w:rPr>
                    <w:t xml:space="preserve">8.22 </w:t>
                  </w:r>
                </w:p>
              </w:tc>
              <w:tc>
                <w:tcPr>
                  <w:tcW w:w="497" w:type="pct"/>
                  <w:tcBorders>
                    <w:tl2br w:val="nil"/>
                    <w:tr2bl w:val="nil"/>
                  </w:tcBorders>
                  <w:shd w:val="clear" w:color="auto" w:fill="auto"/>
                  <w:noWrap w:val="0"/>
                  <w:tcMar>
                    <w:left w:w="0" w:type="dxa"/>
                    <w:right w:w="0" w:type="dxa"/>
                  </w:tcMar>
                  <w:vAlign w:val="center"/>
                </w:tcPr>
                <w:p w14:paraId="0492012D">
                  <w:pPr>
                    <w:keepNext w:val="0"/>
                    <w:keepLines w:val="0"/>
                    <w:widowControl/>
                    <w:suppressLineNumbers w:val="0"/>
                    <w:jc w:val="center"/>
                    <w:textAlignment w:val="center"/>
                    <w:rPr>
                      <w:rFonts w:hint="default" w:ascii="Times New Roman" w:hAnsi="Times New Roman" w:eastAsia="宋体" w:cs="Times New Roman"/>
                      <w:i w:val="0"/>
                      <w:iCs w:val="0"/>
                      <w:color w:val="0000FF"/>
                      <w:sz w:val="21"/>
                      <w:szCs w:val="21"/>
                      <w:u w:val="none"/>
                      <w:lang w:val="en-US" w:eastAsia="zh-CN" w:bidi="ar-SA"/>
                    </w:rPr>
                  </w:pPr>
                  <w:r>
                    <w:rPr>
                      <w:rFonts w:hint="default" w:ascii="Times New Roman" w:hAnsi="Times New Roman" w:eastAsia="宋体" w:cs="Times New Roman"/>
                      <w:i w:val="0"/>
                      <w:iCs w:val="0"/>
                      <w:color w:val="0000FF"/>
                      <w:kern w:val="0"/>
                      <w:sz w:val="21"/>
                      <w:szCs w:val="21"/>
                      <w:u w:val="none"/>
                      <w:lang w:val="en-US" w:eastAsia="zh-CN" w:bidi="ar"/>
                    </w:rPr>
                    <w:t>0.0205</w:t>
                  </w:r>
                </w:p>
              </w:tc>
              <w:tc>
                <w:tcPr>
                  <w:tcW w:w="441" w:type="pct"/>
                  <w:vMerge w:val="restart"/>
                  <w:tcBorders>
                    <w:tl2br w:val="nil"/>
                    <w:tr2bl w:val="nil"/>
                  </w:tcBorders>
                  <w:noWrap w:val="0"/>
                  <w:tcMar>
                    <w:left w:w="0" w:type="dxa"/>
                    <w:right w:w="0" w:type="dxa"/>
                  </w:tcMar>
                  <w:vAlign w:val="center"/>
                </w:tcPr>
                <w:p w14:paraId="6C19543C">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color w:val="0000FF"/>
                      <w:kern w:val="2"/>
                      <w:sz w:val="21"/>
                      <w:szCs w:val="21"/>
                      <w:highlight w:val="none"/>
                      <w:lang w:val="en-US" w:eastAsia="zh-CN"/>
                    </w:rPr>
                    <w:t>1</w:t>
                  </w:r>
                </w:p>
              </w:tc>
              <w:tc>
                <w:tcPr>
                  <w:tcW w:w="378" w:type="pct"/>
                  <w:vMerge w:val="restart"/>
                  <w:tcBorders>
                    <w:tl2br w:val="nil"/>
                    <w:tr2bl w:val="nil"/>
                  </w:tcBorders>
                  <w:noWrap w:val="0"/>
                  <w:tcMar>
                    <w:left w:w="0" w:type="dxa"/>
                    <w:right w:w="0" w:type="dxa"/>
                  </w:tcMar>
                  <w:vAlign w:val="center"/>
                </w:tcPr>
                <w:p w14:paraId="29CFC842">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color w:val="0000FF"/>
                      <w:kern w:val="2"/>
                      <w:sz w:val="21"/>
                      <w:szCs w:val="21"/>
                      <w:highlight w:val="none"/>
                      <w:lang w:val="en-US" w:eastAsia="zh-CN"/>
                    </w:rPr>
                    <w:t>2</w:t>
                  </w:r>
                </w:p>
              </w:tc>
              <w:tc>
                <w:tcPr>
                  <w:tcW w:w="791" w:type="pct"/>
                  <w:tcBorders>
                    <w:tl2br w:val="nil"/>
                    <w:tr2bl w:val="nil"/>
                  </w:tcBorders>
                  <w:noWrap w:val="0"/>
                  <w:tcMar>
                    <w:left w:w="0" w:type="dxa"/>
                    <w:right w:w="0" w:type="dxa"/>
                  </w:tcMar>
                  <w:vAlign w:val="center"/>
                </w:tcPr>
                <w:p w14:paraId="1F9E88EB">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0000FF"/>
                      <w:kern w:val="2"/>
                      <w:sz w:val="21"/>
                      <w:szCs w:val="21"/>
                      <w:highlight w:val="none"/>
                      <w:lang w:val="en-US" w:eastAsia="zh-CN"/>
                    </w:rPr>
                  </w:pPr>
                  <w:r>
                    <w:rPr>
                      <w:rFonts w:hint="eastAsia" w:ascii="Times New Roman" w:hAnsi="Times New Roman" w:eastAsia="宋体" w:cs="Times New Roman"/>
                      <w:color w:val="0000FF"/>
                      <w:kern w:val="2"/>
                      <w:sz w:val="21"/>
                      <w:szCs w:val="21"/>
                      <w:highlight w:val="none"/>
                      <w:lang w:val="en-US" w:eastAsia="zh-CN"/>
                    </w:rPr>
                    <w:t>0.041</w:t>
                  </w:r>
                </w:p>
              </w:tc>
              <w:tc>
                <w:tcPr>
                  <w:tcW w:w="791" w:type="pct"/>
                  <w:vMerge w:val="restart"/>
                  <w:tcBorders>
                    <w:tl2br w:val="nil"/>
                    <w:tr2bl w:val="nil"/>
                  </w:tcBorders>
                  <w:noWrap w:val="0"/>
                  <w:tcMar>
                    <w:left w:w="0" w:type="dxa"/>
                    <w:right w:w="0" w:type="dxa"/>
                  </w:tcMar>
                  <w:vAlign w:val="center"/>
                </w:tcPr>
                <w:p w14:paraId="7BE274A3">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FF"/>
                      <w:kern w:val="2"/>
                      <w:sz w:val="21"/>
                      <w:szCs w:val="21"/>
                      <w:lang w:val="en-US" w:eastAsia="zh-CN"/>
                    </w:rPr>
                  </w:pPr>
                  <w:r>
                    <w:rPr>
                      <w:rFonts w:hint="default" w:ascii="Times New Roman" w:hAnsi="Times New Roman" w:eastAsia="宋体" w:cs="Times New Roman"/>
                      <w:color w:val="0000FF"/>
                      <w:kern w:val="2"/>
                      <w:sz w:val="21"/>
                      <w:szCs w:val="21"/>
                      <w:lang w:val="en-US" w:eastAsia="zh-CN"/>
                    </w:rPr>
                    <w:t>加强设备维护和管理，发现非正常工况及时</w:t>
                  </w:r>
                  <w:r>
                    <w:rPr>
                      <w:rFonts w:hint="default" w:ascii="Times New Roman" w:hAnsi="Times New Roman" w:eastAsia="宋体" w:cs="Times New Roman"/>
                      <w:color w:val="0000FF"/>
                      <w:kern w:val="2"/>
                      <w:sz w:val="21"/>
                      <w:szCs w:val="21"/>
                      <w:highlight w:val="none"/>
                      <w:lang w:val="en-US" w:eastAsia="zh-CN"/>
                    </w:rPr>
                    <w:t>停产</w:t>
                  </w:r>
                  <w:r>
                    <w:rPr>
                      <w:rFonts w:hint="default" w:ascii="Times New Roman" w:hAnsi="Times New Roman" w:eastAsia="宋体" w:cs="Times New Roman"/>
                      <w:color w:val="0000FF"/>
                      <w:kern w:val="2"/>
                      <w:sz w:val="21"/>
                      <w:szCs w:val="21"/>
                      <w:lang w:val="en-US" w:eastAsia="zh-CN"/>
                    </w:rPr>
                    <w:t>，并进行检修和维护</w:t>
                  </w:r>
                </w:p>
              </w:tc>
            </w:tr>
            <w:tr w14:paraId="7755A8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vMerge w:val="continue"/>
                  <w:tcBorders>
                    <w:tl2br w:val="nil"/>
                    <w:tr2bl w:val="nil"/>
                  </w:tcBorders>
                  <w:noWrap w:val="0"/>
                  <w:tcMar>
                    <w:left w:w="0" w:type="dxa"/>
                    <w:right w:w="0" w:type="dxa"/>
                  </w:tcMar>
                  <w:vAlign w:val="center"/>
                </w:tcPr>
                <w:p w14:paraId="08C54194">
                  <w:pPr>
                    <w:widowControl w:val="0"/>
                    <w:autoSpaceDE w:val="0"/>
                    <w:autoSpaceDN w:val="0"/>
                    <w:spacing w:line="240" w:lineRule="auto"/>
                    <w:ind w:left="0" w:leftChars="0" w:firstLine="0" w:firstLineChars="0"/>
                    <w:jc w:val="center"/>
                    <w:rPr>
                      <w:rFonts w:hint="default" w:ascii="Times New Roman" w:hAnsi="Times New Roman" w:eastAsia="宋体" w:cs="Times New Roman"/>
                      <w:color w:val="0000FF"/>
                      <w:kern w:val="2"/>
                      <w:sz w:val="21"/>
                      <w:szCs w:val="21"/>
                      <w:lang w:val="en-US" w:eastAsia="zh-CN" w:bidi="ar-SA"/>
                    </w:rPr>
                  </w:pPr>
                </w:p>
              </w:tc>
              <w:tc>
                <w:tcPr>
                  <w:tcW w:w="787" w:type="pct"/>
                  <w:vMerge w:val="continue"/>
                  <w:tcBorders>
                    <w:tl2br w:val="nil"/>
                    <w:tr2bl w:val="nil"/>
                  </w:tcBorders>
                  <w:noWrap w:val="0"/>
                  <w:tcMar>
                    <w:left w:w="0" w:type="dxa"/>
                    <w:right w:w="0" w:type="dxa"/>
                  </w:tcMar>
                  <w:vAlign w:val="center"/>
                </w:tcPr>
                <w:p w14:paraId="21E02DEF">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FF"/>
                      <w:kern w:val="2"/>
                      <w:sz w:val="21"/>
                      <w:szCs w:val="24"/>
                    </w:rPr>
                  </w:pPr>
                </w:p>
              </w:tc>
              <w:tc>
                <w:tcPr>
                  <w:tcW w:w="381" w:type="pct"/>
                  <w:tcBorders>
                    <w:tl2br w:val="nil"/>
                    <w:tr2bl w:val="nil"/>
                  </w:tcBorders>
                  <w:noWrap w:val="0"/>
                  <w:tcMar>
                    <w:left w:w="0" w:type="dxa"/>
                    <w:right w:w="0" w:type="dxa"/>
                  </w:tcMar>
                  <w:vAlign w:val="center"/>
                </w:tcPr>
                <w:p w14:paraId="18458D3B">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4"/>
                      <w:lang w:val="en-US" w:eastAsia="zh-CN"/>
                    </w:rPr>
                  </w:pPr>
                  <w:r>
                    <w:rPr>
                      <w:rFonts w:hint="default" w:ascii="Times New Roman" w:hAnsi="Times New Roman" w:eastAsia="宋体" w:cs="Times New Roman"/>
                      <w:color w:val="0000FF"/>
                      <w:kern w:val="2"/>
                      <w:sz w:val="21"/>
                      <w:szCs w:val="24"/>
                      <w:lang w:val="en-US" w:eastAsia="zh-CN"/>
                    </w:rPr>
                    <w:t>硫化氢</w:t>
                  </w:r>
                </w:p>
              </w:tc>
              <w:tc>
                <w:tcPr>
                  <w:tcW w:w="490" w:type="pct"/>
                  <w:tcBorders>
                    <w:tl2br w:val="nil"/>
                    <w:tr2bl w:val="nil"/>
                  </w:tcBorders>
                  <w:shd w:val="clear" w:color="auto" w:fill="auto"/>
                  <w:noWrap w:val="0"/>
                  <w:tcMar>
                    <w:left w:w="0" w:type="dxa"/>
                    <w:right w:w="0" w:type="dxa"/>
                  </w:tcMar>
                  <w:vAlign w:val="center"/>
                </w:tcPr>
                <w:p w14:paraId="04AA94F3">
                  <w:pPr>
                    <w:keepNext w:val="0"/>
                    <w:keepLines w:val="0"/>
                    <w:widowControl/>
                    <w:suppressLineNumbers w:val="0"/>
                    <w:jc w:val="center"/>
                    <w:textAlignment w:val="center"/>
                    <w:rPr>
                      <w:rFonts w:hint="default" w:ascii="Times New Roman" w:hAnsi="Times New Roman" w:eastAsia="宋体" w:cs="Times New Roman"/>
                      <w:i w:val="0"/>
                      <w:iCs w:val="0"/>
                      <w:color w:val="0000FF"/>
                      <w:sz w:val="21"/>
                      <w:szCs w:val="21"/>
                      <w:u w:val="none"/>
                      <w:lang w:val="en-US" w:eastAsia="zh-CN" w:bidi="ar-SA"/>
                    </w:rPr>
                  </w:pPr>
                  <w:r>
                    <w:rPr>
                      <w:rFonts w:hint="default" w:ascii="Times New Roman" w:hAnsi="Times New Roman" w:eastAsia="宋体" w:cs="Times New Roman"/>
                      <w:i w:val="0"/>
                      <w:iCs w:val="0"/>
                      <w:color w:val="0000FF"/>
                      <w:kern w:val="0"/>
                      <w:sz w:val="21"/>
                      <w:szCs w:val="21"/>
                      <w:u w:val="none"/>
                      <w:lang w:val="en-US" w:eastAsia="zh-CN" w:bidi="ar"/>
                    </w:rPr>
                    <w:t>4.43</w:t>
                  </w:r>
                </w:p>
              </w:tc>
              <w:tc>
                <w:tcPr>
                  <w:tcW w:w="497" w:type="pct"/>
                  <w:tcBorders>
                    <w:tl2br w:val="nil"/>
                    <w:tr2bl w:val="nil"/>
                  </w:tcBorders>
                  <w:shd w:val="clear" w:color="auto" w:fill="auto"/>
                  <w:noWrap w:val="0"/>
                  <w:tcMar>
                    <w:left w:w="0" w:type="dxa"/>
                    <w:right w:w="0" w:type="dxa"/>
                  </w:tcMar>
                  <w:vAlign w:val="center"/>
                </w:tcPr>
                <w:p w14:paraId="7B900C99">
                  <w:pPr>
                    <w:keepNext w:val="0"/>
                    <w:keepLines w:val="0"/>
                    <w:widowControl/>
                    <w:suppressLineNumbers w:val="0"/>
                    <w:jc w:val="center"/>
                    <w:textAlignment w:val="center"/>
                    <w:rPr>
                      <w:rFonts w:hint="default" w:ascii="Times New Roman" w:hAnsi="Times New Roman" w:eastAsia="宋体" w:cs="Times New Roman"/>
                      <w:i w:val="0"/>
                      <w:iCs w:val="0"/>
                      <w:color w:val="0000FF"/>
                      <w:sz w:val="21"/>
                      <w:szCs w:val="21"/>
                      <w:u w:val="none"/>
                      <w:lang w:val="en-US" w:eastAsia="zh-CN" w:bidi="ar-SA"/>
                    </w:rPr>
                  </w:pPr>
                  <w:r>
                    <w:rPr>
                      <w:rFonts w:hint="default" w:ascii="Times New Roman" w:hAnsi="Times New Roman" w:eastAsia="宋体" w:cs="Times New Roman"/>
                      <w:i w:val="0"/>
                      <w:iCs w:val="0"/>
                      <w:color w:val="0000FF"/>
                      <w:kern w:val="0"/>
                      <w:sz w:val="21"/>
                      <w:szCs w:val="21"/>
                      <w:u w:val="none"/>
                      <w:lang w:val="en-US" w:eastAsia="zh-CN" w:bidi="ar"/>
                    </w:rPr>
                    <w:t>0.0111</w:t>
                  </w:r>
                </w:p>
              </w:tc>
              <w:tc>
                <w:tcPr>
                  <w:tcW w:w="441" w:type="pct"/>
                  <w:vMerge w:val="continue"/>
                  <w:tcBorders>
                    <w:tl2br w:val="nil"/>
                    <w:tr2bl w:val="nil"/>
                  </w:tcBorders>
                  <w:noWrap w:val="0"/>
                  <w:tcMar>
                    <w:left w:w="0" w:type="dxa"/>
                    <w:right w:w="0" w:type="dxa"/>
                  </w:tcMar>
                  <w:vAlign w:val="center"/>
                </w:tcPr>
                <w:p w14:paraId="138DE4DD">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0000FF"/>
                      <w:kern w:val="2"/>
                      <w:sz w:val="21"/>
                      <w:szCs w:val="21"/>
                      <w:highlight w:val="none"/>
                      <w:lang w:val="en-US" w:eastAsia="zh-CN"/>
                    </w:rPr>
                  </w:pPr>
                </w:p>
              </w:tc>
              <w:tc>
                <w:tcPr>
                  <w:tcW w:w="378" w:type="pct"/>
                  <w:vMerge w:val="continue"/>
                  <w:tcBorders>
                    <w:tl2br w:val="nil"/>
                    <w:tr2bl w:val="nil"/>
                  </w:tcBorders>
                  <w:noWrap w:val="0"/>
                  <w:tcMar>
                    <w:left w:w="0" w:type="dxa"/>
                    <w:right w:w="0" w:type="dxa"/>
                  </w:tcMar>
                  <w:vAlign w:val="center"/>
                </w:tcPr>
                <w:p w14:paraId="57A592F0">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0000FF"/>
                      <w:kern w:val="2"/>
                      <w:sz w:val="21"/>
                      <w:szCs w:val="21"/>
                      <w:highlight w:val="none"/>
                      <w:lang w:val="en-US" w:eastAsia="zh-CN"/>
                    </w:rPr>
                  </w:pPr>
                </w:p>
              </w:tc>
              <w:tc>
                <w:tcPr>
                  <w:tcW w:w="791" w:type="pct"/>
                  <w:tcBorders>
                    <w:tl2br w:val="nil"/>
                    <w:tr2bl w:val="nil"/>
                  </w:tcBorders>
                  <w:noWrap w:val="0"/>
                  <w:tcMar>
                    <w:left w:w="0" w:type="dxa"/>
                    <w:right w:w="0" w:type="dxa"/>
                  </w:tcMar>
                  <w:vAlign w:val="center"/>
                </w:tcPr>
                <w:p w14:paraId="2C7909AA">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0000FF"/>
                      <w:kern w:val="2"/>
                      <w:sz w:val="21"/>
                      <w:szCs w:val="21"/>
                      <w:highlight w:val="none"/>
                      <w:lang w:val="en-US" w:eastAsia="zh-CN"/>
                    </w:rPr>
                  </w:pPr>
                  <w:r>
                    <w:rPr>
                      <w:rFonts w:hint="eastAsia" w:ascii="Times New Roman" w:hAnsi="Times New Roman" w:eastAsia="宋体" w:cs="Times New Roman"/>
                      <w:color w:val="0000FF"/>
                      <w:kern w:val="2"/>
                      <w:sz w:val="21"/>
                      <w:szCs w:val="21"/>
                      <w:highlight w:val="none"/>
                      <w:lang w:val="en-US" w:eastAsia="zh-CN"/>
                    </w:rPr>
                    <w:t>0.0222</w:t>
                  </w:r>
                </w:p>
              </w:tc>
              <w:tc>
                <w:tcPr>
                  <w:tcW w:w="791" w:type="pct"/>
                  <w:vMerge w:val="continue"/>
                  <w:tcBorders>
                    <w:tl2br w:val="nil"/>
                    <w:tr2bl w:val="nil"/>
                  </w:tcBorders>
                  <w:noWrap w:val="0"/>
                  <w:tcMar>
                    <w:left w:w="0" w:type="dxa"/>
                    <w:right w:w="0" w:type="dxa"/>
                  </w:tcMar>
                  <w:vAlign w:val="center"/>
                </w:tcPr>
                <w:p w14:paraId="6187066B">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FF"/>
                      <w:kern w:val="2"/>
                      <w:sz w:val="21"/>
                      <w:szCs w:val="21"/>
                      <w:lang w:val="en-US" w:eastAsia="zh-CN"/>
                    </w:rPr>
                  </w:pPr>
                </w:p>
              </w:tc>
            </w:tr>
            <w:tr w14:paraId="28B9B2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tcBorders>
                    <w:tl2br w:val="nil"/>
                    <w:tr2bl w:val="nil"/>
                  </w:tcBorders>
                  <w:noWrap w:val="0"/>
                  <w:tcMar>
                    <w:left w:w="0" w:type="dxa"/>
                    <w:right w:w="0" w:type="dxa"/>
                  </w:tcMar>
                  <w:vAlign w:val="center"/>
                </w:tcPr>
                <w:p w14:paraId="160066AF">
                  <w:pPr>
                    <w:keepNext w:val="0"/>
                    <w:keepLines w:val="0"/>
                    <w:widowControl/>
                    <w:suppressLineNumbers w:val="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DA002</w:t>
                  </w:r>
                </w:p>
                <w:p w14:paraId="22CB23FC">
                  <w:pPr>
                    <w:widowControl w:val="0"/>
                    <w:autoSpaceDE w:val="0"/>
                    <w:autoSpaceDN w:val="0"/>
                    <w:spacing w:line="240" w:lineRule="auto"/>
                    <w:ind w:left="0" w:leftChars="0" w:firstLine="0" w:firstLineChars="0"/>
                    <w:jc w:val="center"/>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i w:val="0"/>
                      <w:iCs w:val="0"/>
                      <w:color w:val="0000FF"/>
                      <w:kern w:val="0"/>
                      <w:sz w:val="21"/>
                      <w:szCs w:val="21"/>
                      <w:u w:val="none"/>
                      <w:lang w:val="en-US" w:eastAsia="zh-CN" w:bidi="ar"/>
                    </w:rPr>
                    <w:t>（</w:t>
                  </w:r>
                  <w:r>
                    <w:rPr>
                      <w:rFonts w:hint="default" w:ascii="Times New Roman" w:hAnsi="Times New Roman" w:eastAsia="宋体" w:cs="Times New Roman"/>
                      <w:color w:val="0000FF"/>
                      <w:kern w:val="2"/>
                      <w:sz w:val="21"/>
                      <w:szCs w:val="21"/>
                      <w:lang w:val="en-US" w:eastAsia="zh-CN" w:bidi="ar-SA"/>
                    </w:rPr>
                    <w:t>生产车间排放口</w:t>
                  </w:r>
                  <w:r>
                    <w:rPr>
                      <w:rFonts w:hint="default" w:ascii="Times New Roman" w:hAnsi="Times New Roman" w:eastAsia="宋体" w:cs="Times New Roman"/>
                      <w:i w:val="0"/>
                      <w:iCs w:val="0"/>
                      <w:color w:val="0000FF"/>
                      <w:kern w:val="0"/>
                      <w:sz w:val="21"/>
                      <w:szCs w:val="21"/>
                      <w:u w:val="none"/>
                      <w:lang w:val="en-US" w:eastAsia="zh-CN" w:bidi="ar"/>
                    </w:rPr>
                    <w:t>）</w:t>
                  </w:r>
                </w:p>
              </w:tc>
              <w:tc>
                <w:tcPr>
                  <w:tcW w:w="787" w:type="pct"/>
                  <w:tcBorders>
                    <w:tl2br w:val="nil"/>
                    <w:tr2bl w:val="nil"/>
                  </w:tcBorders>
                  <w:noWrap w:val="0"/>
                  <w:tcMar>
                    <w:left w:w="0" w:type="dxa"/>
                    <w:right w:w="0" w:type="dxa"/>
                  </w:tcMar>
                  <w:vAlign w:val="center"/>
                </w:tcPr>
                <w:p w14:paraId="69B4596A">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color w:val="0000FF"/>
                      <w:kern w:val="2"/>
                      <w:sz w:val="21"/>
                      <w:szCs w:val="21"/>
                      <w:highlight w:val="none"/>
                      <w:lang w:val="en-US" w:eastAsia="zh-CN"/>
                    </w:rPr>
                    <w:t>运转异常等非正常工况下和废气处理系统达不到应有效率</w:t>
                  </w:r>
                </w:p>
              </w:tc>
              <w:tc>
                <w:tcPr>
                  <w:tcW w:w="381" w:type="pct"/>
                  <w:tcBorders>
                    <w:tl2br w:val="nil"/>
                    <w:tr2bl w:val="nil"/>
                  </w:tcBorders>
                  <w:noWrap w:val="0"/>
                  <w:tcMar>
                    <w:left w:w="0" w:type="dxa"/>
                    <w:right w:w="0" w:type="dxa"/>
                  </w:tcMar>
                  <w:vAlign w:val="center"/>
                </w:tcPr>
                <w:p w14:paraId="44E9BCA7">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color w:val="0000FF"/>
                      <w:kern w:val="2"/>
                      <w:sz w:val="21"/>
                      <w:szCs w:val="24"/>
                      <w:lang w:val="en-US" w:eastAsia="zh-CN"/>
                    </w:rPr>
                    <w:t>颗粒物</w:t>
                  </w:r>
                </w:p>
              </w:tc>
              <w:tc>
                <w:tcPr>
                  <w:tcW w:w="490" w:type="pct"/>
                  <w:tcBorders>
                    <w:tl2br w:val="nil"/>
                    <w:tr2bl w:val="nil"/>
                  </w:tcBorders>
                  <w:noWrap w:val="0"/>
                  <w:tcMar>
                    <w:left w:w="0" w:type="dxa"/>
                    <w:right w:w="0" w:type="dxa"/>
                  </w:tcMar>
                  <w:vAlign w:val="center"/>
                </w:tcPr>
                <w:p w14:paraId="0F4ABD10">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color w:val="0000FF"/>
                      <w:kern w:val="2"/>
                      <w:sz w:val="21"/>
                      <w:szCs w:val="21"/>
                      <w:highlight w:val="none"/>
                      <w:lang w:val="en-US" w:eastAsia="zh-CN"/>
                    </w:rPr>
                    <w:t>608.22</w:t>
                  </w:r>
                </w:p>
              </w:tc>
              <w:tc>
                <w:tcPr>
                  <w:tcW w:w="497" w:type="pct"/>
                  <w:tcBorders>
                    <w:tl2br w:val="nil"/>
                    <w:tr2bl w:val="nil"/>
                  </w:tcBorders>
                  <w:noWrap w:val="0"/>
                  <w:tcMar>
                    <w:left w:w="0" w:type="dxa"/>
                    <w:right w:w="0" w:type="dxa"/>
                  </w:tcMar>
                  <w:vAlign w:val="center"/>
                </w:tcPr>
                <w:p w14:paraId="3065E5F6">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color w:val="0000FF"/>
                      <w:kern w:val="2"/>
                      <w:sz w:val="21"/>
                      <w:szCs w:val="21"/>
                      <w:highlight w:val="none"/>
                      <w:lang w:val="en-US" w:eastAsia="zh-CN"/>
                    </w:rPr>
                    <w:t xml:space="preserve">1.52 </w:t>
                  </w:r>
                </w:p>
              </w:tc>
              <w:tc>
                <w:tcPr>
                  <w:tcW w:w="441" w:type="pct"/>
                  <w:tcBorders>
                    <w:tl2br w:val="nil"/>
                    <w:tr2bl w:val="nil"/>
                  </w:tcBorders>
                  <w:noWrap w:val="0"/>
                  <w:tcMar>
                    <w:left w:w="0" w:type="dxa"/>
                    <w:right w:w="0" w:type="dxa"/>
                  </w:tcMar>
                  <w:vAlign w:val="center"/>
                </w:tcPr>
                <w:p w14:paraId="12BBD3CF">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color w:val="0000FF"/>
                      <w:kern w:val="2"/>
                      <w:sz w:val="21"/>
                      <w:szCs w:val="21"/>
                      <w:highlight w:val="none"/>
                      <w:lang w:val="en-US" w:eastAsia="zh-CN"/>
                    </w:rPr>
                    <w:t>1</w:t>
                  </w:r>
                </w:p>
              </w:tc>
              <w:tc>
                <w:tcPr>
                  <w:tcW w:w="378" w:type="pct"/>
                  <w:tcBorders>
                    <w:tl2br w:val="nil"/>
                    <w:tr2bl w:val="nil"/>
                  </w:tcBorders>
                  <w:noWrap w:val="0"/>
                  <w:tcMar>
                    <w:left w:w="0" w:type="dxa"/>
                    <w:right w:w="0" w:type="dxa"/>
                  </w:tcMar>
                  <w:vAlign w:val="center"/>
                </w:tcPr>
                <w:p w14:paraId="64692115">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color w:val="0000FF"/>
                      <w:kern w:val="2"/>
                      <w:sz w:val="21"/>
                      <w:szCs w:val="21"/>
                      <w:highlight w:val="none"/>
                      <w:lang w:val="en-US" w:eastAsia="zh-CN"/>
                    </w:rPr>
                    <w:t>2</w:t>
                  </w:r>
                </w:p>
              </w:tc>
              <w:tc>
                <w:tcPr>
                  <w:tcW w:w="791" w:type="pct"/>
                  <w:tcBorders>
                    <w:tl2br w:val="nil"/>
                    <w:tr2bl w:val="nil"/>
                  </w:tcBorders>
                  <w:noWrap w:val="0"/>
                  <w:tcMar>
                    <w:left w:w="0" w:type="dxa"/>
                    <w:right w:w="0" w:type="dxa"/>
                  </w:tcMar>
                  <w:vAlign w:val="center"/>
                </w:tcPr>
                <w:p w14:paraId="6D481116">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0000FF"/>
                      <w:kern w:val="2"/>
                      <w:sz w:val="21"/>
                      <w:szCs w:val="21"/>
                      <w:highlight w:val="none"/>
                      <w:lang w:val="en-US" w:eastAsia="zh-CN"/>
                    </w:rPr>
                  </w:pPr>
                  <w:r>
                    <w:rPr>
                      <w:rFonts w:hint="eastAsia" w:ascii="Times New Roman" w:hAnsi="Times New Roman" w:eastAsia="宋体" w:cs="Times New Roman"/>
                      <w:color w:val="0000FF"/>
                      <w:kern w:val="2"/>
                      <w:sz w:val="21"/>
                      <w:szCs w:val="21"/>
                      <w:highlight w:val="none"/>
                      <w:lang w:val="en-US" w:eastAsia="zh-CN"/>
                    </w:rPr>
                    <w:t>3.04</w:t>
                  </w:r>
                </w:p>
              </w:tc>
              <w:tc>
                <w:tcPr>
                  <w:tcW w:w="791" w:type="pct"/>
                  <w:tcBorders>
                    <w:tl2br w:val="nil"/>
                    <w:tr2bl w:val="nil"/>
                  </w:tcBorders>
                  <w:noWrap w:val="0"/>
                  <w:tcMar>
                    <w:left w:w="0" w:type="dxa"/>
                    <w:right w:w="0" w:type="dxa"/>
                  </w:tcMar>
                  <w:vAlign w:val="center"/>
                </w:tcPr>
                <w:p w14:paraId="79BA4BFB">
                  <w:pPr>
                    <w:overflowPunct/>
                    <w:autoSpaceDE/>
                    <w:autoSpaceDN/>
                    <w:adjustRightInd/>
                    <w:snapToGrid/>
                    <w:spacing w:before="0" w:after="0" w:line="240" w:lineRule="auto"/>
                    <w:ind w:left="0" w:leftChars="0" w:right="0" w:rightChars="0" w:firstLine="0" w:firstLineChars="0"/>
                    <w:jc w:val="center"/>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color w:val="0000FF"/>
                      <w:kern w:val="2"/>
                      <w:sz w:val="21"/>
                      <w:szCs w:val="21"/>
                      <w:highlight w:val="none"/>
                      <w:lang w:val="en-US" w:eastAsia="zh-CN"/>
                    </w:rPr>
                    <w:t>加强设备维护和管理，发现非正常工况及时停产，并进行检修和维护</w:t>
                  </w:r>
                </w:p>
              </w:tc>
            </w:tr>
          </w:tbl>
          <w:p w14:paraId="75B9F23E">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项目无组织排放核算见表4.5-</w:t>
            </w:r>
            <w:r>
              <w:rPr>
                <w:rFonts w:hint="eastAsia" w:cs="Times New Roman"/>
                <w:color w:val="auto"/>
                <w:kern w:val="2"/>
                <w:sz w:val="24"/>
                <w:szCs w:val="24"/>
                <w:highlight w:val="none"/>
                <w:lang w:val="en-US" w:eastAsia="zh-CN" w:bidi="ar-SA"/>
              </w:rPr>
              <w:t>10</w:t>
            </w:r>
            <w:r>
              <w:rPr>
                <w:rFonts w:hint="default" w:ascii="Times New Roman" w:hAnsi="Times New Roman" w:eastAsia="宋体" w:cs="Times New Roman"/>
                <w:color w:val="auto"/>
                <w:kern w:val="2"/>
                <w:sz w:val="24"/>
                <w:szCs w:val="24"/>
                <w:highlight w:val="none"/>
                <w:lang w:val="en-US" w:eastAsia="zh-CN" w:bidi="ar-SA"/>
              </w:rPr>
              <w:t>和4.5-</w:t>
            </w:r>
            <w:r>
              <w:rPr>
                <w:rFonts w:hint="eastAsia" w:cs="Times New Roman"/>
                <w:color w:val="auto"/>
                <w:kern w:val="2"/>
                <w:sz w:val="24"/>
                <w:szCs w:val="24"/>
                <w:highlight w:val="none"/>
                <w:lang w:val="en-US" w:eastAsia="zh-CN" w:bidi="ar-SA"/>
              </w:rPr>
              <w:t>11</w:t>
            </w:r>
            <w:r>
              <w:rPr>
                <w:rFonts w:hint="default" w:ascii="Times New Roman" w:hAnsi="Times New Roman" w:eastAsia="宋体" w:cs="Times New Roman"/>
                <w:color w:val="auto"/>
                <w:kern w:val="2"/>
                <w:sz w:val="24"/>
                <w:szCs w:val="24"/>
                <w:highlight w:val="none"/>
                <w:lang w:val="en-US" w:eastAsia="zh-CN" w:bidi="ar-SA"/>
              </w:rPr>
              <w:t>。</w:t>
            </w:r>
          </w:p>
          <w:p w14:paraId="5E42EA74">
            <w:pPr>
              <w:keepNext w:val="0"/>
              <w:keepLines w:val="0"/>
              <w:pageBreakBefore w:val="0"/>
              <w:widowControl w:val="0"/>
              <w:kinsoku/>
              <w:wordWrap/>
              <w:overflowPunct w:val="0"/>
              <w:topLinePunct w:val="0"/>
              <w:autoSpaceDE w:val="0"/>
              <w:autoSpaceDN w:val="0"/>
              <w:bidi w:val="0"/>
              <w:adjustRightInd w:val="0"/>
              <w:snapToGrid w:val="0"/>
              <w:spacing w:before="0" w:after="0" w:line="240" w:lineRule="auto"/>
              <w:ind w:left="0" w:right="0" w:firstLine="0" w:firstLineChars="0"/>
              <w:jc w:val="center"/>
              <w:textAlignment w:val="auto"/>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eastAsia="宋体" w:cs="Times New Roman"/>
                <w:b/>
                <w:color w:val="auto"/>
                <w:kern w:val="2"/>
                <w:sz w:val="21"/>
                <w:szCs w:val="21"/>
                <w:highlight w:val="none"/>
                <w:lang w:val="en-US" w:eastAsia="zh-CN" w:bidi="ar-SA"/>
              </w:rPr>
              <w:t>表4.5</w:t>
            </w:r>
            <w:r>
              <w:rPr>
                <w:rFonts w:hint="eastAsia" w:cs="Times New Roman"/>
                <w:b/>
                <w:color w:val="auto"/>
                <w:kern w:val="2"/>
                <w:sz w:val="21"/>
                <w:szCs w:val="21"/>
                <w:highlight w:val="none"/>
                <w:lang w:val="en-US" w:eastAsia="zh-CN" w:bidi="ar-SA"/>
              </w:rPr>
              <w:t>-10</w:t>
            </w:r>
            <w:r>
              <w:rPr>
                <w:rFonts w:hint="default" w:ascii="Times New Roman" w:hAnsi="Times New Roman" w:eastAsia="宋体" w:cs="Times New Roman"/>
                <w:b/>
                <w:color w:val="auto"/>
                <w:kern w:val="2"/>
                <w:sz w:val="21"/>
                <w:szCs w:val="21"/>
                <w:highlight w:val="none"/>
                <w:lang w:val="en-US" w:eastAsia="zh-CN" w:bidi="ar-SA"/>
              </w:rPr>
              <w:t>本项目无组织废气排放核算表</w:t>
            </w:r>
          </w:p>
          <w:tbl>
            <w:tblPr>
              <w:tblStyle w:val="22"/>
              <w:tblW w:w="8504"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446"/>
              <w:gridCol w:w="1530"/>
              <w:gridCol w:w="967"/>
              <w:gridCol w:w="1277"/>
              <w:gridCol w:w="2020"/>
              <w:gridCol w:w="1170"/>
              <w:gridCol w:w="1094"/>
            </w:tblGrid>
            <w:tr w14:paraId="5D06507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446" w:type="dxa"/>
                  <w:vMerge w:val="restart"/>
                  <w:noWrap w:val="0"/>
                  <w:vAlign w:val="center"/>
                </w:tcPr>
                <w:p w14:paraId="52F783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FF"/>
                      <w:kern w:val="2"/>
                      <w:sz w:val="21"/>
                      <w:szCs w:val="21"/>
                      <w:highlight w:val="none"/>
                    </w:rPr>
                  </w:pPr>
                  <w:r>
                    <w:rPr>
                      <w:rFonts w:hint="default" w:ascii="Times New Roman" w:hAnsi="Times New Roman" w:eastAsia="宋体" w:cs="Times New Roman"/>
                      <w:b/>
                      <w:bCs/>
                      <w:color w:val="0000FF"/>
                      <w:kern w:val="2"/>
                      <w:sz w:val="21"/>
                      <w:szCs w:val="21"/>
                      <w:highlight w:val="none"/>
                    </w:rPr>
                    <w:t>序号</w:t>
                  </w:r>
                </w:p>
              </w:tc>
              <w:tc>
                <w:tcPr>
                  <w:tcW w:w="1530" w:type="dxa"/>
                  <w:vMerge w:val="restart"/>
                  <w:noWrap w:val="0"/>
                  <w:vAlign w:val="center"/>
                </w:tcPr>
                <w:p w14:paraId="7F2595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FF"/>
                      <w:kern w:val="2"/>
                      <w:sz w:val="21"/>
                      <w:szCs w:val="21"/>
                      <w:highlight w:val="none"/>
                    </w:rPr>
                  </w:pPr>
                  <w:r>
                    <w:rPr>
                      <w:rFonts w:hint="default" w:ascii="Times New Roman" w:hAnsi="Times New Roman" w:eastAsia="宋体" w:cs="Times New Roman"/>
                      <w:b/>
                      <w:bCs/>
                      <w:color w:val="0000FF"/>
                      <w:kern w:val="2"/>
                      <w:sz w:val="21"/>
                      <w:szCs w:val="21"/>
                      <w:highlight w:val="none"/>
                    </w:rPr>
                    <w:t>排放口编号</w:t>
                  </w:r>
                </w:p>
              </w:tc>
              <w:tc>
                <w:tcPr>
                  <w:tcW w:w="967" w:type="dxa"/>
                  <w:vMerge w:val="restart"/>
                  <w:noWrap w:val="0"/>
                  <w:vAlign w:val="center"/>
                </w:tcPr>
                <w:p w14:paraId="650C20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FF"/>
                      <w:kern w:val="2"/>
                      <w:sz w:val="21"/>
                      <w:szCs w:val="21"/>
                      <w:highlight w:val="none"/>
                    </w:rPr>
                  </w:pPr>
                  <w:r>
                    <w:rPr>
                      <w:rFonts w:hint="default" w:ascii="Times New Roman" w:hAnsi="Times New Roman" w:eastAsia="宋体" w:cs="Times New Roman"/>
                      <w:b/>
                      <w:bCs/>
                      <w:color w:val="0000FF"/>
                      <w:kern w:val="2"/>
                      <w:sz w:val="21"/>
                      <w:szCs w:val="21"/>
                      <w:highlight w:val="none"/>
                    </w:rPr>
                    <w:t>污染物</w:t>
                  </w:r>
                </w:p>
              </w:tc>
              <w:tc>
                <w:tcPr>
                  <w:tcW w:w="1277" w:type="dxa"/>
                  <w:vMerge w:val="restart"/>
                  <w:noWrap w:val="0"/>
                  <w:vAlign w:val="center"/>
                </w:tcPr>
                <w:p w14:paraId="4128F0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FF"/>
                      <w:kern w:val="2"/>
                      <w:sz w:val="21"/>
                      <w:szCs w:val="21"/>
                      <w:highlight w:val="none"/>
                    </w:rPr>
                  </w:pPr>
                  <w:r>
                    <w:rPr>
                      <w:rFonts w:hint="default" w:ascii="Times New Roman" w:hAnsi="Times New Roman" w:eastAsia="宋体" w:cs="Times New Roman"/>
                      <w:b/>
                      <w:bCs/>
                      <w:color w:val="0000FF"/>
                      <w:kern w:val="2"/>
                      <w:sz w:val="21"/>
                      <w:szCs w:val="21"/>
                      <w:highlight w:val="none"/>
                    </w:rPr>
                    <w:t>主要污染防治措施</w:t>
                  </w:r>
                </w:p>
              </w:tc>
              <w:tc>
                <w:tcPr>
                  <w:tcW w:w="3190" w:type="dxa"/>
                  <w:gridSpan w:val="2"/>
                  <w:noWrap w:val="0"/>
                  <w:vAlign w:val="center"/>
                </w:tcPr>
                <w:p w14:paraId="4C4DE0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FF"/>
                      <w:kern w:val="2"/>
                      <w:sz w:val="21"/>
                      <w:szCs w:val="21"/>
                      <w:highlight w:val="none"/>
                    </w:rPr>
                  </w:pPr>
                  <w:r>
                    <w:rPr>
                      <w:rFonts w:hint="default" w:ascii="Times New Roman" w:hAnsi="Times New Roman" w:eastAsia="宋体" w:cs="Times New Roman"/>
                      <w:b/>
                      <w:bCs/>
                      <w:color w:val="0000FF"/>
                      <w:kern w:val="2"/>
                      <w:sz w:val="21"/>
                      <w:szCs w:val="21"/>
                      <w:highlight w:val="none"/>
                    </w:rPr>
                    <w:t>国家或地方污染物排放标准</w:t>
                  </w:r>
                </w:p>
              </w:tc>
              <w:tc>
                <w:tcPr>
                  <w:tcW w:w="1094" w:type="dxa"/>
                  <w:vMerge w:val="restart"/>
                  <w:noWrap w:val="0"/>
                  <w:vAlign w:val="center"/>
                </w:tcPr>
                <w:p w14:paraId="097BCB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FF"/>
                      <w:kern w:val="2"/>
                      <w:sz w:val="21"/>
                      <w:szCs w:val="21"/>
                      <w:highlight w:val="none"/>
                      <w:lang w:eastAsia="zh-CN"/>
                    </w:rPr>
                  </w:pPr>
                  <w:r>
                    <w:rPr>
                      <w:rFonts w:hint="default" w:ascii="Times New Roman" w:hAnsi="Times New Roman" w:eastAsia="宋体" w:cs="Times New Roman"/>
                      <w:b/>
                      <w:bCs/>
                      <w:color w:val="0000FF"/>
                      <w:kern w:val="2"/>
                      <w:sz w:val="21"/>
                      <w:szCs w:val="21"/>
                      <w:highlight w:val="none"/>
                    </w:rPr>
                    <w:t>年排放量/</w:t>
                  </w:r>
                  <w:r>
                    <w:rPr>
                      <w:rFonts w:hint="default" w:ascii="Times New Roman" w:hAnsi="Times New Roman" w:eastAsia="宋体" w:cs="Times New Roman"/>
                      <w:b/>
                      <w:bCs/>
                      <w:color w:val="0000FF"/>
                      <w:kern w:val="2"/>
                      <w:sz w:val="21"/>
                      <w:szCs w:val="21"/>
                      <w:highlight w:val="none"/>
                      <w:lang w:eastAsia="zh-CN"/>
                    </w:rPr>
                    <w:t>（</w:t>
                  </w:r>
                  <w:r>
                    <w:rPr>
                      <w:rFonts w:hint="default" w:ascii="Times New Roman" w:hAnsi="Times New Roman" w:eastAsia="宋体" w:cs="Times New Roman"/>
                      <w:b/>
                      <w:bCs/>
                      <w:color w:val="0000FF"/>
                      <w:kern w:val="2"/>
                      <w:sz w:val="21"/>
                      <w:szCs w:val="21"/>
                      <w:highlight w:val="none"/>
                    </w:rPr>
                    <w:t>t/a</w:t>
                  </w:r>
                  <w:r>
                    <w:rPr>
                      <w:rFonts w:hint="default" w:ascii="Times New Roman" w:hAnsi="Times New Roman" w:eastAsia="宋体" w:cs="Times New Roman"/>
                      <w:b/>
                      <w:bCs/>
                      <w:color w:val="0000FF"/>
                      <w:kern w:val="2"/>
                      <w:sz w:val="21"/>
                      <w:szCs w:val="21"/>
                      <w:highlight w:val="none"/>
                      <w:lang w:eastAsia="zh-CN"/>
                    </w:rPr>
                    <w:t>）</w:t>
                  </w:r>
                </w:p>
              </w:tc>
            </w:tr>
            <w:tr w14:paraId="19D1CC9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446" w:type="dxa"/>
                  <w:vMerge w:val="continue"/>
                  <w:noWrap w:val="0"/>
                  <w:vAlign w:val="center"/>
                </w:tcPr>
                <w:p w14:paraId="41E06F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FF"/>
                      <w:kern w:val="2"/>
                      <w:sz w:val="21"/>
                      <w:szCs w:val="21"/>
                      <w:highlight w:val="none"/>
                    </w:rPr>
                  </w:pPr>
                </w:p>
              </w:tc>
              <w:tc>
                <w:tcPr>
                  <w:tcW w:w="1530" w:type="dxa"/>
                  <w:vMerge w:val="continue"/>
                  <w:noWrap w:val="0"/>
                  <w:vAlign w:val="center"/>
                </w:tcPr>
                <w:p w14:paraId="492051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FF"/>
                      <w:kern w:val="2"/>
                      <w:sz w:val="21"/>
                      <w:szCs w:val="21"/>
                      <w:highlight w:val="none"/>
                    </w:rPr>
                  </w:pPr>
                </w:p>
              </w:tc>
              <w:tc>
                <w:tcPr>
                  <w:tcW w:w="967" w:type="dxa"/>
                  <w:vMerge w:val="continue"/>
                  <w:noWrap w:val="0"/>
                  <w:vAlign w:val="center"/>
                </w:tcPr>
                <w:p w14:paraId="66334A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FF"/>
                      <w:kern w:val="2"/>
                      <w:sz w:val="21"/>
                      <w:szCs w:val="21"/>
                      <w:highlight w:val="none"/>
                    </w:rPr>
                  </w:pPr>
                </w:p>
              </w:tc>
              <w:tc>
                <w:tcPr>
                  <w:tcW w:w="1277" w:type="dxa"/>
                  <w:vMerge w:val="continue"/>
                  <w:noWrap w:val="0"/>
                  <w:vAlign w:val="center"/>
                </w:tcPr>
                <w:p w14:paraId="5DE681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FF"/>
                      <w:kern w:val="2"/>
                      <w:sz w:val="21"/>
                      <w:szCs w:val="21"/>
                      <w:highlight w:val="none"/>
                    </w:rPr>
                  </w:pPr>
                </w:p>
              </w:tc>
              <w:tc>
                <w:tcPr>
                  <w:tcW w:w="2020" w:type="dxa"/>
                  <w:noWrap w:val="0"/>
                  <w:vAlign w:val="center"/>
                </w:tcPr>
                <w:p w14:paraId="7F964DC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FF"/>
                      <w:kern w:val="2"/>
                      <w:sz w:val="21"/>
                      <w:szCs w:val="21"/>
                      <w:highlight w:val="none"/>
                    </w:rPr>
                  </w:pPr>
                  <w:r>
                    <w:rPr>
                      <w:rFonts w:hint="default" w:ascii="Times New Roman" w:hAnsi="Times New Roman" w:eastAsia="宋体" w:cs="Times New Roman"/>
                      <w:b/>
                      <w:bCs/>
                      <w:color w:val="0000FF"/>
                      <w:kern w:val="2"/>
                      <w:sz w:val="21"/>
                      <w:szCs w:val="21"/>
                      <w:highlight w:val="none"/>
                    </w:rPr>
                    <w:t>标准名称</w:t>
                  </w:r>
                </w:p>
              </w:tc>
              <w:tc>
                <w:tcPr>
                  <w:tcW w:w="1170" w:type="dxa"/>
                  <w:noWrap w:val="0"/>
                  <w:vAlign w:val="center"/>
                </w:tcPr>
                <w:p w14:paraId="59B561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
                      <w:bCs/>
                      <w:color w:val="0000FF"/>
                      <w:kern w:val="2"/>
                      <w:sz w:val="21"/>
                      <w:szCs w:val="21"/>
                      <w:highlight w:val="none"/>
                      <w:lang w:eastAsia="zh-CN"/>
                    </w:rPr>
                  </w:pPr>
                  <w:r>
                    <w:rPr>
                      <w:rFonts w:hint="default" w:ascii="Times New Roman" w:hAnsi="Times New Roman" w:eastAsia="宋体" w:cs="Times New Roman"/>
                      <w:b/>
                      <w:bCs/>
                      <w:color w:val="0000FF"/>
                      <w:kern w:val="2"/>
                      <w:sz w:val="21"/>
                      <w:szCs w:val="21"/>
                      <w:highlight w:val="none"/>
                    </w:rPr>
                    <w:t>浓度限值/</w:t>
                  </w:r>
                  <w:r>
                    <w:rPr>
                      <w:rFonts w:hint="default" w:ascii="Times New Roman" w:hAnsi="Times New Roman" w:eastAsia="宋体" w:cs="Times New Roman"/>
                      <w:b/>
                      <w:bCs/>
                      <w:color w:val="0000FF"/>
                      <w:kern w:val="2"/>
                      <w:sz w:val="21"/>
                      <w:szCs w:val="21"/>
                      <w:highlight w:val="none"/>
                      <w:lang w:eastAsia="zh-CN"/>
                    </w:rPr>
                    <w:t>（</w:t>
                  </w:r>
                  <w:r>
                    <w:rPr>
                      <w:rFonts w:hint="default" w:ascii="Times New Roman" w:hAnsi="Times New Roman" w:eastAsia="宋体" w:cs="Times New Roman"/>
                      <w:b/>
                      <w:bCs/>
                      <w:color w:val="0000FF"/>
                      <w:kern w:val="2"/>
                      <w:sz w:val="21"/>
                      <w:szCs w:val="21"/>
                      <w:highlight w:val="none"/>
                    </w:rPr>
                    <w:t>mg/m</w:t>
                  </w:r>
                  <w:r>
                    <w:rPr>
                      <w:rFonts w:hint="default" w:ascii="Times New Roman" w:hAnsi="Times New Roman" w:eastAsia="宋体" w:cs="Times New Roman"/>
                      <w:b/>
                      <w:bCs/>
                      <w:color w:val="0000FF"/>
                      <w:kern w:val="2"/>
                      <w:sz w:val="21"/>
                      <w:szCs w:val="21"/>
                      <w:highlight w:val="none"/>
                      <w:vertAlign w:val="superscript"/>
                    </w:rPr>
                    <w:t>3</w:t>
                  </w:r>
                  <w:r>
                    <w:rPr>
                      <w:rFonts w:hint="default" w:ascii="Times New Roman" w:hAnsi="Times New Roman" w:eastAsia="宋体" w:cs="Times New Roman"/>
                      <w:b/>
                      <w:bCs/>
                      <w:color w:val="0000FF"/>
                      <w:kern w:val="2"/>
                      <w:sz w:val="21"/>
                      <w:szCs w:val="21"/>
                      <w:highlight w:val="none"/>
                      <w:lang w:eastAsia="zh-CN"/>
                    </w:rPr>
                    <w:t>）</w:t>
                  </w:r>
                </w:p>
              </w:tc>
              <w:tc>
                <w:tcPr>
                  <w:tcW w:w="1094" w:type="dxa"/>
                  <w:vMerge w:val="continue"/>
                  <w:noWrap w:val="0"/>
                  <w:vAlign w:val="center"/>
                </w:tcPr>
                <w:p w14:paraId="56862B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FF"/>
                      <w:kern w:val="2"/>
                      <w:sz w:val="21"/>
                      <w:szCs w:val="21"/>
                      <w:highlight w:val="none"/>
                    </w:rPr>
                  </w:pPr>
                </w:p>
              </w:tc>
            </w:tr>
            <w:tr w14:paraId="641973C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446" w:type="dxa"/>
                  <w:noWrap w:val="0"/>
                  <w:vAlign w:val="center"/>
                </w:tcPr>
                <w:p w14:paraId="720F52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color w:val="0000FF"/>
                      <w:kern w:val="2"/>
                      <w:sz w:val="21"/>
                      <w:szCs w:val="21"/>
                      <w:highlight w:val="none"/>
                      <w:lang w:val="en-US" w:eastAsia="zh-CN"/>
                    </w:rPr>
                    <w:t>01</w:t>
                  </w:r>
                </w:p>
              </w:tc>
              <w:tc>
                <w:tcPr>
                  <w:tcW w:w="1530" w:type="dxa"/>
                  <w:noWrap w:val="0"/>
                  <w:vAlign w:val="center"/>
                </w:tcPr>
                <w:p w14:paraId="5D339E4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color w:val="0000FF"/>
                      <w:kern w:val="2"/>
                      <w:sz w:val="21"/>
                      <w:szCs w:val="24"/>
                      <w:highlight w:val="none"/>
                      <w:lang w:val="en-US" w:eastAsia="zh-CN"/>
                    </w:rPr>
                    <w:t>颗粒物</w:t>
                  </w:r>
                  <w:r>
                    <w:rPr>
                      <w:rFonts w:hint="default" w:ascii="Times New Roman" w:hAnsi="Times New Roman" w:eastAsia="宋体" w:cs="Times New Roman"/>
                      <w:color w:val="0000FF"/>
                      <w:kern w:val="2"/>
                      <w:sz w:val="21"/>
                      <w:szCs w:val="21"/>
                      <w:highlight w:val="none"/>
                      <w:lang w:val="en-US" w:eastAsia="zh-CN"/>
                    </w:rPr>
                    <w:t>（厂界）</w:t>
                  </w:r>
                </w:p>
              </w:tc>
              <w:tc>
                <w:tcPr>
                  <w:tcW w:w="967" w:type="dxa"/>
                  <w:noWrap w:val="0"/>
                  <w:vAlign w:val="center"/>
                </w:tcPr>
                <w:p w14:paraId="7B843EC1">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color w:val="0000FF"/>
                      <w:kern w:val="2"/>
                      <w:sz w:val="21"/>
                      <w:szCs w:val="24"/>
                      <w:highlight w:val="none"/>
                      <w:lang w:val="en-US" w:eastAsia="zh-CN"/>
                    </w:rPr>
                    <w:t>颗粒物</w:t>
                  </w:r>
                </w:p>
              </w:tc>
              <w:tc>
                <w:tcPr>
                  <w:tcW w:w="1277" w:type="dxa"/>
                  <w:noWrap w:val="0"/>
                  <w:vAlign w:val="center"/>
                </w:tcPr>
                <w:p w14:paraId="673F0090">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color w:val="0000FF"/>
                      <w:kern w:val="2"/>
                      <w:sz w:val="21"/>
                      <w:szCs w:val="21"/>
                      <w:highlight w:val="none"/>
                      <w:lang w:val="en-US" w:eastAsia="zh-CN"/>
                    </w:rPr>
                    <w:t>加强车辆管理、湿料混合，加强封闭式作业、封闭式成品仓库</w:t>
                  </w:r>
                </w:p>
              </w:tc>
              <w:tc>
                <w:tcPr>
                  <w:tcW w:w="2020" w:type="dxa"/>
                  <w:noWrap w:val="0"/>
                  <w:vAlign w:val="center"/>
                </w:tcPr>
                <w:p w14:paraId="39AB0C3F">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color w:val="0000FF"/>
                      <w:kern w:val="2"/>
                      <w:sz w:val="21"/>
                      <w:szCs w:val="21"/>
                      <w:highlight w:val="none"/>
                      <w:lang w:val="en-US" w:eastAsia="zh-CN"/>
                    </w:rPr>
                    <w:t>《大气污染物综合排放标准》（GB16297-1996）</w:t>
                  </w:r>
                </w:p>
              </w:tc>
              <w:tc>
                <w:tcPr>
                  <w:tcW w:w="1170" w:type="dxa"/>
                  <w:noWrap w:val="0"/>
                  <w:vAlign w:val="center"/>
                </w:tcPr>
                <w:p w14:paraId="0F66B7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color w:val="0000FF"/>
                      <w:kern w:val="2"/>
                      <w:sz w:val="21"/>
                      <w:szCs w:val="21"/>
                      <w:highlight w:val="none"/>
                      <w:lang w:val="en-US" w:eastAsia="zh-CN"/>
                    </w:rPr>
                    <w:t>1.0</w:t>
                  </w:r>
                </w:p>
              </w:tc>
              <w:tc>
                <w:tcPr>
                  <w:tcW w:w="1094" w:type="dxa"/>
                  <w:noWrap w:val="0"/>
                  <w:vAlign w:val="center"/>
                </w:tcPr>
                <w:p w14:paraId="6A86C896">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1"/>
                      <w:highlight w:val="none"/>
                      <w:lang w:val="en-US" w:eastAsia="zh-CN"/>
                    </w:rPr>
                  </w:pPr>
                  <w:r>
                    <w:rPr>
                      <w:rFonts w:hint="eastAsia" w:ascii="Times New Roman" w:hAnsi="Times New Roman" w:eastAsia="宋体" w:cs="Times New Roman"/>
                      <w:color w:val="0000FF"/>
                      <w:kern w:val="2"/>
                      <w:sz w:val="21"/>
                      <w:szCs w:val="21"/>
                      <w:highlight w:val="none"/>
                      <w:lang w:val="en-US" w:eastAsia="zh-CN"/>
                    </w:rPr>
                    <w:t>0.2978</w:t>
                  </w:r>
                </w:p>
              </w:tc>
            </w:tr>
            <w:tr w14:paraId="6D24E07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592" w:hRule="atLeast"/>
                <w:jc w:val="center"/>
              </w:trPr>
              <w:tc>
                <w:tcPr>
                  <w:tcW w:w="446" w:type="dxa"/>
                  <w:noWrap w:val="0"/>
                  <w:vAlign w:val="center"/>
                </w:tcPr>
                <w:p w14:paraId="4C127B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color w:val="0000FF"/>
                      <w:kern w:val="2"/>
                      <w:sz w:val="21"/>
                      <w:szCs w:val="21"/>
                      <w:highlight w:val="none"/>
                      <w:lang w:val="en-US" w:eastAsia="zh-CN"/>
                    </w:rPr>
                    <w:t>02</w:t>
                  </w:r>
                </w:p>
              </w:tc>
              <w:tc>
                <w:tcPr>
                  <w:tcW w:w="1530" w:type="dxa"/>
                  <w:noWrap w:val="0"/>
                  <w:vAlign w:val="center"/>
                </w:tcPr>
                <w:p w14:paraId="5699A59C">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color w:val="0000FF"/>
                      <w:kern w:val="2"/>
                      <w:sz w:val="21"/>
                      <w:szCs w:val="24"/>
                      <w:highlight w:val="none"/>
                      <w:lang w:val="en-US" w:eastAsia="zh-CN" w:bidi="ar-SA"/>
                    </w:rPr>
                    <w:t>氨</w:t>
                  </w:r>
                  <w:r>
                    <w:rPr>
                      <w:rFonts w:hint="default" w:ascii="Times New Roman" w:hAnsi="Times New Roman" w:eastAsia="宋体" w:cs="Times New Roman"/>
                      <w:color w:val="0000FF"/>
                      <w:sz w:val="21"/>
                      <w:szCs w:val="21"/>
                      <w:highlight w:val="none"/>
                      <w:lang w:val="en-US" w:eastAsia="zh-CN"/>
                    </w:rPr>
                    <w:t>（厂界）</w:t>
                  </w:r>
                </w:p>
              </w:tc>
              <w:tc>
                <w:tcPr>
                  <w:tcW w:w="967" w:type="dxa"/>
                  <w:noWrap w:val="0"/>
                  <w:vAlign w:val="center"/>
                </w:tcPr>
                <w:p w14:paraId="03B9D766">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color w:val="0000FF"/>
                      <w:kern w:val="2"/>
                      <w:sz w:val="21"/>
                      <w:szCs w:val="21"/>
                      <w:highlight w:val="none"/>
                      <w:lang w:val="en-US" w:eastAsia="zh-CN"/>
                    </w:rPr>
                    <w:t>氨</w:t>
                  </w:r>
                </w:p>
              </w:tc>
              <w:tc>
                <w:tcPr>
                  <w:tcW w:w="1277" w:type="dxa"/>
                  <w:vMerge w:val="restart"/>
                  <w:noWrap w:val="0"/>
                  <w:vAlign w:val="center"/>
                </w:tcPr>
                <w:p w14:paraId="48D795FD">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color w:val="0000FF"/>
                      <w:sz w:val="21"/>
                      <w:szCs w:val="21"/>
                      <w:highlight w:val="none"/>
                      <w:lang w:val="en-US" w:eastAsia="zh-CN"/>
                    </w:rPr>
                    <w:t>加强封闭式作业、</w:t>
                  </w:r>
                  <w:r>
                    <w:rPr>
                      <w:rFonts w:hint="default" w:ascii="Times New Roman" w:hAnsi="Times New Roman" w:eastAsia="宋体" w:cs="Times New Roman"/>
                      <w:color w:val="0000FF"/>
                      <w:sz w:val="21"/>
                      <w:szCs w:val="22"/>
                      <w:highlight w:val="none"/>
                      <w:lang w:val="en-US" w:eastAsia="zh-CN" w:bidi="ar-SA"/>
                    </w:rPr>
                    <w:t>喷洒除臭剂</w:t>
                  </w:r>
                </w:p>
              </w:tc>
              <w:tc>
                <w:tcPr>
                  <w:tcW w:w="2020" w:type="dxa"/>
                  <w:noWrap w:val="0"/>
                  <w:vAlign w:val="center"/>
                </w:tcPr>
                <w:p w14:paraId="1D5051B6">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color w:val="0000FF"/>
                      <w:kern w:val="2"/>
                      <w:sz w:val="21"/>
                      <w:szCs w:val="21"/>
                      <w:highlight w:val="none"/>
                      <w:lang w:val="en-US" w:eastAsia="zh-CN"/>
                    </w:rPr>
                    <w:t>《恶臭污染物排放标准》（GB14554-93）</w:t>
                  </w:r>
                </w:p>
              </w:tc>
              <w:tc>
                <w:tcPr>
                  <w:tcW w:w="1170" w:type="dxa"/>
                  <w:noWrap w:val="0"/>
                  <w:vAlign w:val="center"/>
                </w:tcPr>
                <w:p w14:paraId="76571E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color w:val="0000FF"/>
                      <w:kern w:val="2"/>
                      <w:sz w:val="21"/>
                      <w:szCs w:val="21"/>
                      <w:highlight w:val="none"/>
                      <w:lang w:val="en-US" w:eastAsia="zh-CN"/>
                    </w:rPr>
                    <w:t>1.5</w:t>
                  </w:r>
                </w:p>
              </w:tc>
              <w:tc>
                <w:tcPr>
                  <w:tcW w:w="1094" w:type="dxa"/>
                  <w:noWrap w:val="0"/>
                  <w:vAlign w:val="center"/>
                </w:tcPr>
                <w:p w14:paraId="32143262">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pacing w:val="4"/>
                      <w:kern w:val="2"/>
                      <w:sz w:val="21"/>
                      <w:szCs w:val="21"/>
                      <w:highlight w:val="none"/>
                      <w:lang w:val="en-US" w:eastAsia="zh-CN"/>
                    </w:rPr>
                  </w:pPr>
                  <w:r>
                    <w:rPr>
                      <w:rFonts w:hint="default" w:ascii="Times New Roman" w:hAnsi="Times New Roman" w:eastAsia="宋体" w:cs="Times New Roman"/>
                      <w:color w:val="0000FF"/>
                      <w:sz w:val="21"/>
                      <w:szCs w:val="21"/>
                      <w:highlight w:val="none"/>
                      <w:lang w:val="en-US" w:eastAsia="zh-CN"/>
                    </w:rPr>
                    <w:t>0.02</w:t>
                  </w:r>
                </w:p>
              </w:tc>
            </w:tr>
            <w:tr w14:paraId="3686057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592" w:hRule="atLeast"/>
                <w:jc w:val="center"/>
              </w:trPr>
              <w:tc>
                <w:tcPr>
                  <w:tcW w:w="446" w:type="dxa"/>
                  <w:noWrap w:val="0"/>
                  <w:vAlign w:val="center"/>
                </w:tcPr>
                <w:p w14:paraId="01D903F6">
                  <w:pPr>
                    <w:spacing w:line="240" w:lineRule="auto"/>
                    <w:jc w:val="center"/>
                    <w:rPr>
                      <w:rFonts w:hint="default" w:ascii="Times New Roman" w:hAnsi="Times New Roman" w:eastAsia="宋体" w:cs="Times New Roman"/>
                      <w:color w:val="0000FF"/>
                      <w:highlight w:val="none"/>
                      <w:lang w:val="en-US" w:eastAsia="zh-CN"/>
                    </w:rPr>
                  </w:pPr>
                  <w:r>
                    <w:rPr>
                      <w:rFonts w:hint="default" w:ascii="Times New Roman" w:hAnsi="Times New Roman" w:eastAsia="宋体" w:cs="Times New Roman"/>
                      <w:color w:val="0000FF"/>
                      <w:highlight w:val="none"/>
                      <w:lang w:val="en-US" w:eastAsia="zh-CN"/>
                    </w:rPr>
                    <w:t>03</w:t>
                  </w:r>
                </w:p>
              </w:tc>
              <w:tc>
                <w:tcPr>
                  <w:tcW w:w="1530" w:type="dxa"/>
                  <w:noWrap w:val="0"/>
                  <w:vAlign w:val="center"/>
                </w:tcPr>
                <w:p w14:paraId="2C8953CB">
                  <w:pPr>
                    <w:keepNext w:val="0"/>
                    <w:keepLines w:val="0"/>
                    <w:pageBreakBefore w:val="0"/>
                    <w:widowControl w:val="0"/>
                    <w:kinsoku/>
                    <w:wordWrap/>
                    <w:overflowPunct w:val="0"/>
                    <w:topLinePunct w:val="0"/>
                    <w:autoSpaceDE w:val="0"/>
                    <w:autoSpaceDN w:val="0"/>
                    <w:bidi w:val="0"/>
                    <w:adjustRightInd w:val="0"/>
                    <w:snapToGrid w:val="0"/>
                    <w:spacing w:line="360" w:lineRule="atLeast"/>
                    <w:ind w:left="0" w:leftChars="0" w:firstLine="0" w:firstLineChars="0"/>
                    <w:jc w:val="center"/>
                    <w:textAlignment w:val="baseline"/>
                    <w:rPr>
                      <w:rFonts w:hint="default" w:ascii="Times New Roman" w:hAnsi="Times New Roman" w:eastAsia="宋体" w:cs="Times New Roman"/>
                      <w:color w:val="0000FF"/>
                      <w:highlight w:val="none"/>
                    </w:rPr>
                  </w:pPr>
                  <w:r>
                    <w:rPr>
                      <w:rFonts w:hint="default" w:ascii="Times New Roman" w:hAnsi="Times New Roman" w:eastAsia="宋体" w:cs="Times New Roman"/>
                      <w:color w:val="0000FF"/>
                      <w:kern w:val="2"/>
                      <w:sz w:val="21"/>
                      <w:szCs w:val="24"/>
                      <w:highlight w:val="none"/>
                      <w:lang w:val="en-US" w:eastAsia="zh-CN" w:bidi="ar-SA"/>
                    </w:rPr>
                    <w:t>硫化氢</w:t>
                  </w:r>
                  <w:r>
                    <w:rPr>
                      <w:rFonts w:hint="default" w:ascii="Times New Roman" w:hAnsi="Times New Roman" w:eastAsia="宋体" w:cs="Times New Roman"/>
                      <w:color w:val="0000FF"/>
                      <w:sz w:val="21"/>
                      <w:szCs w:val="21"/>
                      <w:highlight w:val="none"/>
                      <w:lang w:val="en-US" w:eastAsia="zh-CN"/>
                    </w:rPr>
                    <w:t>（厂界）</w:t>
                  </w:r>
                </w:p>
              </w:tc>
              <w:tc>
                <w:tcPr>
                  <w:tcW w:w="967" w:type="dxa"/>
                  <w:noWrap w:val="0"/>
                  <w:vAlign w:val="center"/>
                </w:tcPr>
                <w:p w14:paraId="1EDD3C96">
                  <w:pPr>
                    <w:spacing w:line="240" w:lineRule="auto"/>
                    <w:jc w:val="center"/>
                    <w:rPr>
                      <w:rFonts w:hint="default" w:ascii="Times New Roman" w:hAnsi="Times New Roman" w:eastAsia="宋体" w:cs="Times New Roman"/>
                      <w:color w:val="0000FF"/>
                      <w:highlight w:val="none"/>
                    </w:rPr>
                  </w:pPr>
                  <w:r>
                    <w:rPr>
                      <w:rFonts w:hint="default" w:ascii="Times New Roman" w:hAnsi="Times New Roman" w:eastAsia="宋体" w:cs="Times New Roman"/>
                      <w:color w:val="0000FF"/>
                      <w:kern w:val="2"/>
                      <w:sz w:val="21"/>
                      <w:szCs w:val="24"/>
                      <w:highlight w:val="none"/>
                      <w:lang w:val="en-US" w:eastAsia="zh-CN" w:bidi="ar-SA"/>
                    </w:rPr>
                    <w:t>硫化氢</w:t>
                  </w:r>
                </w:p>
              </w:tc>
              <w:tc>
                <w:tcPr>
                  <w:tcW w:w="1277" w:type="dxa"/>
                  <w:vMerge w:val="continue"/>
                  <w:noWrap w:val="0"/>
                  <w:vAlign w:val="center"/>
                </w:tcPr>
                <w:p w14:paraId="45357251">
                  <w:pPr>
                    <w:spacing w:line="240" w:lineRule="auto"/>
                    <w:jc w:val="center"/>
                    <w:rPr>
                      <w:rFonts w:hint="default" w:ascii="Times New Roman" w:hAnsi="Times New Roman" w:eastAsia="宋体" w:cs="Times New Roman"/>
                      <w:color w:val="0000FF"/>
                      <w:highlight w:val="none"/>
                    </w:rPr>
                  </w:pPr>
                </w:p>
              </w:tc>
              <w:tc>
                <w:tcPr>
                  <w:tcW w:w="2020" w:type="dxa"/>
                  <w:noWrap w:val="0"/>
                  <w:vAlign w:val="center"/>
                </w:tcPr>
                <w:p w14:paraId="43BD1C21">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color w:val="0000FF"/>
                      <w:kern w:val="2"/>
                      <w:sz w:val="21"/>
                      <w:szCs w:val="21"/>
                      <w:highlight w:val="none"/>
                      <w:lang w:val="zh-CN" w:eastAsia="zh-CN"/>
                    </w:rPr>
                  </w:pPr>
                  <w:r>
                    <w:rPr>
                      <w:rFonts w:hint="default" w:ascii="Times New Roman" w:hAnsi="Times New Roman" w:eastAsia="宋体" w:cs="Times New Roman"/>
                      <w:color w:val="0000FF"/>
                      <w:kern w:val="2"/>
                      <w:sz w:val="21"/>
                      <w:szCs w:val="21"/>
                      <w:highlight w:val="none"/>
                      <w:lang w:val="en-US" w:eastAsia="zh-CN"/>
                    </w:rPr>
                    <w:t>《恶臭污染物排放标准》（GB14554-93）</w:t>
                  </w:r>
                </w:p>
              </w:tc>
              <w:tc>
                <w:tcPr>
                  <w:tcW w:w="1170" w:type="dxa"/>
                  <w:noWrap w:val="0"/>
                  <w:vAlign w:val="center"/>
                </w:tcPr>
                <w:p w14:paraId="3766EC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color w:val="0000FF"/>
                      <w:kern w:val="2"/>
                      <w:sz w:val="21"/>
                      <w:szCs w:val="21"/>
                      <w:highlight w:val="none"/>
                      <w:lang w:val="en-US" w:eastAsia="zh-CN"/>
                    </w:rPr>
                    <w:t>0.06</w:t>
                  </w:r>
                </w:p>
              </w:tc>
              <w:tc>
                <w:tcPr>
                  <w:tcW w:w="1094" w:type="dxa"/>
                  <w:noWrap w:val="0"/>
                  <w:vAlign w:val="center"/>
                </w:tcPr>
                <w:p w14:paraId="10EFA88C">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1"/>
                      <w:highlight w:val="none"/>
                      <w:lang w:val="en-US" w:eastAsia="zh-CN"/>
                    </w:rPr>
                  </w:pPr>
                  <w:r>
                    <w:rPr>
                      <w:rFonts w:hint="default" w:ascii="Times New Roman" w:hAnsi="Times New Roman" w:eastAsia="宋体" w:cs="Times New Roman"/>
                      <w:i w:val="0"/>
                      <w:iCs w:val="0"/>
                      <w:color w:val="0000FF"/>
                      <w:kern w:val="0"/>
                      <w:sz w:val="21"/>
                      <w:szCs w:val="21"/>
                      <w:highlight w:val="none"/>
                      <w:u w:val="none"/>
                      <w:lang w:val="en-US" w:eastAsia="zh-CN" w:bidi="ar"/>
                    </w:rPr>
                    <w:t>0.0104</w:t>
                  </w:r>
                </w:p>
              </w:tc>
            </w:tr>
            <w:tr w14:paraId="775C970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504" w:type="dxa"/>
                  <w:gridSpan w:val="7"/>
                  <w:noWrap w:val="0"/>
                  <w:vAlign w:val="center"/>
                </w:tcPr>
                <w:p w14:paraId="704F81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无组织排放总计</w:t>
                  </w:r>
                </w:p>
              </w:tc>
            </w:tr>
            <w:tr w14:paraId="7AD68F3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1976" w:type="dxa"/>
                  <w:gridSpan w:val="2"/>
                  <w:vMerge w:val="restart"/>
                  <w:noWrap w:val="0"/>
                  <w:vAlign w:val="center"/>
                </w:tcPr>
                <w:p w14:paraId="7A611D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无组织排放总计</w:t>
                  </w:r>
                </w:p>
              </w:tc>
              <w:tc>
                <w:tcPr>
                  <w:tcW w:w="5434" w:type="dxa"/>
                  <w:gridSpan w:val="4"/>
                  <w:noWrap w:val="0"/>
                  <w:vAlign w:val="center"/>
                </w:tcPr>
                <w:p w14:paraId="079520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4"/>
                      <w:lang w:val="en-US" w:eastAsia="zh-CN"/>
                    </w:rPr>
                    <w:t>颗粒物</w:t>
                  </w:r>
                </w:p>
              </w:tc>
              <w:tc>
                <w:tcPr>
                  <w:tcW w:w="1094" w:type="dxa"/>
                  <w:noWrap w:val="0"/>
                  <w:vAlign w:val="center"/>
                </w:tcPr>
                <w:p w14:paraId="4EF3207C">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0000FF"/>
                      <w:kern w:val="2"/>
                      <w:sz w:val="21"/>
                      <w:szCs w:val="21"/>
                      <w:highlight w:val="none"/>
                      <w:lang w:val="en-US" w:eastAsia="zh-CN"/>
                    </w:rPr>
                    <w:t>0.2978</w:t>
                  </w:r>
                </w:p>
              </w:tc>
            </w:tr>
            <w:tr w14:paraId="6AAD845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1976" w:type="dxa"/>
                  <w:gridSpan w:val="2"/>
                  <w:vMerge w:val="continue"/>
                  <w:noWrap w:val="0"/>
                  <w:vAlign w:val="center"/>
                </w:tcPr>
                <w:p w14:paraId="11446D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p>
              </w:tc>
              <w:tc>
                <w:tcPr>
                  <w:tcW w:w="5434" w:type="dxa"/>
                  <w:gridSpan w:val="4"/>
                  <w:noWrap w:val="0"/>
                  <w:vAlign w:val="center"/>
                </w:tcPr>
                <w:p w14:paraId="4D053519">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氨</w:t>
                  </w:r>
                </w:p>
              </w:tc>
              <w:tc>
                <w:tcPr>
                  <w:tcW w:w="1094" w:type="dxa"/>
                  <w:noWrap w:val="0"/>
                  <w:vAlign w:val="center"/>
                </w:tcPr>
                <w:p w14:paraId="0DDDC207">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0000FF"/>
                      <w:sz w:val="21"/>
                      <w:szCs w:val="21"/>
                      <w:highlight w:val="none"/>
                      <w:lang w:val="en-US" w:eastAsia="zh-CN"/>
                    </w:rPr>
                    <w:t>0.02</w:t>
                  </w:r>
                </w:p>
              </w:tc>
            </w:tr>
            <w:tr w14:paraId="4C11F27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1976" w:type="dxa"/>
                  <w:gridSpan w:val="2"/>
                  <w:vMerge w:val="continue"/>
                  <w:noWrap w:val="0"/>
                  <w:vAlign w:val="center"/>
                </w:tcPr>
                <w:p w14:paraId="2510B6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rPr>
                  </w:pPr>
                </w:p>
              </w:tc>
              <w:tc>
                <w:tcPr>
                  <w:tcW w:w="5434" w:type="dxa"/>
                  <w:gridSpan w:val="4"/>
                  <w:noWrap w:val="0"/>
                  <w:vAlign w:val="center"/>
                </w:tcPr>
                <w:p w14:paraId="21A7DB2A">
                  <w:pPr>
                    <w:spacing w:line="240" w:lineRule="auto"/>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4"/>
                      <w:lang w:val="en-US" w:eastAsia="zh-CN" w:bidi="ar-SA"/>
                    </w:rPr>
                    <w:t>硫化氢</w:t>
                  </w:r>
                </w:p>
              </w:tc>
              <w:tc>
                <w:tcPr>
                  <w:tcW w:w="1094" w:type="dxa"/>
                  <w:noWrap w:val="0"/>
                  <w:vAlign w:val="center"/>
                </w:tcPr>
                <w:p w14:paraId="0DC24CA6">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0000FF"/>
                      <w:kern w:val="0"/>
                      <w:sz w:val="21"/>
                      <w:szCs w:val="21"/>
                      <w:highlight w:val="none"/>
                      <w:u w:val="none"/>
                      <w:lang w:val="en-US" w:eastAsia="zh-CN" w:bidi="ar"/>
                    </w:rPr>
                    <w:t>0.0104</w:t>
                  </w:r>
                </w:p>
              </w:tc>
            </w:tr>
          </w:tbl>
          <w:p w14:paraId="1E243937">
            <w:pPr>
              <w:widowControl w:val="0"/>
              <w:overflowPunct w:val="0"/>
              <w:autoSpaceDE w:val="0"/>
              <w:autoSpaceDN w:val="0"/>
              <w:adjustRightInd w:val="0"/>
              <w:snapToGrid w:val="0"/>
              <w:spacing w:before="0" w:after="0" w:line="240" w:lineRule="auto"/>
              <w:ind w:left="0" w:right="0" w:firstLine="422" w:firstLineChars="200"/>
              <w:jc w:val="center"/>
              <w:rPr>
                <w:rFonts w:hint="default" w:ascii="Times New Roman" w:hAnsi="Times New Roman" w:eastAsia="宋体" w:cs="Times New Roman"/>
                <w:b/>
                <w:color w:val="0000FF"/>
                <w:kern w:val="2"/>
                <w:sz w:val="21"/>
                <w:szCs w:val="21"/>
                <w:highlight w:val="none"/>
                <w:lang w:val="en-US" w:eastAsia="zh-CN" w:bidi="ar-SA"/>
              </w:rPr>
            </w:pPr>
            <w:r>
              <w:rPr>
                <w:rFonts w:hint="default" w:ascii="Times New Roman" w:hAnsi="Times New Roman" w:eastAsia="宋体" w:cs="Times New Roman"/>
                <w:b/>
                <w:color w:val="0000FF"/>
                <w:kern w:val="2"/>
                <w:sz w:val="21"/>
                <w:szCs w:val="21"/>
                <w:highlight w:val="none"/>
                <w:lang w:val="en-US" w:eastAsia="zh-CN" w:bidi="ar-SA"/>
              </w:rPr>
              <w:t>表4.5-1</w:t>
            </w:r>
            <w:r>
              <w:rPr>
                <w:rFonts w:hint="eastAsia" w:cs="Times New Roman"/>
                <w:b/>
                <w:color w:val="0000FF"/>
                <w:kern w:val="2"/>
                <w:sz w:val="21"/>
                <w:szCs w:val="21"/>
                <w:highlight w:val="none"/>
                <w:lang w:val="en-US" w:eastAsia="zh-CN" w:bidi="ar-SA"/>
              </w:rPr>
              <w:t>1</w:t>
            </w:r>
            <w:r>
              <w:rPr>
                <w:rFonts w:hint="default" w:ascii="Times New Roman" w:hAnsi="Times New Roman" w:eastAsia="宋体" w:cs="Times New Roman"/>
                <w:b/>
                <w:color w:val="0000FF"/>
                <w:kern w:val="2"/>
                <w:sz w:val="21"/>
                <w:szCs w:val="21"/>
                <w:highlight w:val="none"/>
                <w:lang w:val="en-US" w:eastAsia="zh-CN" w:bidi="ar-SA"/>
              </w:rPr>
              <w:t>本项目无组织大气污染物年排放核算表</w:t>
            </w:r>
          </w:p>
          <w:tbl>
            <w:tblPr>
              <w:tblStyle w:val="22"/>
              <w:tblW w:w="8504"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2344"/>
              <w:gridCol w:w="3246"/>
              <w:gridCol w:w="2914"/>
            </w:tblGrid>
            <w:tr w14:paraId="5EC4DA4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tcBorders>
                    <w:left w:val="single" w:color="000000" w:sz="12" w:space="0"/>
                  </w:tcBorders>
                  <w:noWrap w:val="0"/>
                  <w:vAlign w:val="center"/>
                </w:tcPr>
                <w:p w14:paraId="37C008DC">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FF"/>
                      <w:kern w:val="2"/>
                      <w:sz w:val="21"/>
                      <w:szCs w:val="21"/>
                    </w:rPr>
                  </w:pPr>
                  <w:r>
                    <w:rPr>
                      <w:rFonts w:hint="default" w:ascii="Times New Roman" w:hAnsi="Times New Roman" w:eastAsia="宋体" w:cs="Times New Roman"/>
                      <w:color w:val="0000FF"/>
                      <w:kern w:val="2"/>
                      <w:sz w:val="21"/>
                      <w:szCs w:val="21"/>
                    </w:rPr>
                    <w:t>序号</w:t>
                  </w:r>
                </w:p>
              </w:tc>
              <w:tc>
                <w:tcPr>
                  <w:tcW w:w="3246" w:type="dxa"/>
                  <w:noWrap w:val="0"/>
                  <w:vAlign w:val="center"/>
                </w:tcPr>
                <w:p w14:paraId="572B821D">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FF"/>
                      <w:kern w:val="2"/>
                      <w:sz w:val="21"/>
                      <w:szCs w:val="21"/>
                    </w:rPr>
                  </w:pPr>
                  <w:r>
                    <w:rPr>
                      <w:rFonts w:hint="default" w:ascii="Times New Roman" w:hAnsi="Times New Roman" w:eastAsia="宋体" w:cs="Times New Roman"/>
                      <w:color w:val="0000FF"/>
                      <w:kern w:val="2"/>
                      <w:sz w:val="21"/>
                      <w:szCs w:val="21"/>
                    </w:rPr>
                    <w:t>污染物</w:t>
                  </w:r>
                </w:p>
              </w:tc>
              <w:tc>
                <w:tcPr>
                  <w:tcW w:w="2914" w:type="dxa"/>
                  <w:tcBorders>
                    <w:right w:val="single" w:color="000000" w:sz="12" w:space="0"/>
                  </w:tcBorders>
                  <w:noWrap w:val="0"/>
                  <w:vAlign w:val="center"/>
                </w:tcPr>
                <w:p w14:paraId="318EB4D9">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FF"/>
                      <w:kern w:val="2"/>
                      <w:sz w:val="21"/>
                      <w:szCs w:val="21"/>
                    </w:rPr>
                  </w:pPr>
                  <w:r>
                    <w:rPr>
                      <w:rFonts w:hint="default" w:ascii="Times New Roman" w:hAnsi="Times New Roman" w:eastAsia="宋体" w:cs="Times New Roman"/>
                      <w:color w:val="0000FF"/>
                      <w:kern w:val="2"/>
                      <w:sz w:val="21"/>
                      <w:szCs w:val="21"/>
                    </w:rPr>
                    <w:t>年排放量/(t/a)</w:t>
                  </w:r>
                </w:p>
              </w:tc>
            </w:tr>
            <w:tr w14:paraId="59B124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tcBorders>
                    <w:left w:val="single" w:color="000000" w:sz="12" w:space="0"/>
                  </w:tcBorders>
                  <w:noWrap w:val="0"/>
                  <w:vAlign w:val="center"/>
                </w:tcPr>
                <w:p w14:paraId="361F8BCD">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FF"/>
                      <w:kern w:val="2"/>
                      <w:sz w:val="21"/>
                      <w:szCs w:val="21"/>
                      <w:lang w:val="en-US" w:eastAsia="zh-CN"/>
                    </w:rPr>
                  </w:pPr>
                  <w:r>
                    <w:rPr>
                      <w:rFonts w:hint="default" w:ascii="Times New Roman" w:hAnsi="Times New Roman" w:eastAsia="宋体" w:cs="Times New Roman"/>
                      <w:color w:val="0000FF"/>
                      <w:kern w:val="2"/>
                      <w:sz w:val="21"/>
                      <w:szCs w:val="21"/>
                      <w:lang w:val="en-US" w:eastAsia="zh-CN"/>
                    </w:rPr>
                    <w:t>1</w:t>
                  </w:r>
                </w:p>
              </w:tc>
              <w:tc>
                <w:tcPr>
                  <w:tcW w:w="3246" w:type="dxa"/>
                  <w:noWrap w:val="0"/>
                  <w:vAlign w:val="center"/>
                </w:tcPr>
                <w:p w14:paraId="203602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0000FF"/>
                      <w:kern w:val="2"/>
                      <w:sz w:val="21"/>
                      <w:szCs w:val="21"/>
                      <w:highlight w:val="none"/>
                      <w:lang w:val="en-US" w:eastAsia="zh-CN" w:bidi="ar-SA"/>
                    </w:rPr>
                  </w:pPr>
                  <w:r>
                    <w:rPr>
                      <w:rFonts w:hint="default" w:ascii="Times New Roman" w:hAnsi="Times New Roman" w:eastAsia="宋体" w:cs="Times New Roman"/>
                      <w:color w:val="0000FF"/>
                      <w:kern w:val="2"/>
                      <w:sz w:val="21"/>
                      <w:szCs w:val="24"/>
                      <w:lang w:val="en-US" w:eastAsia="zh-CN"/>
                    </w:rPr>
                    <w:t>颗粒物</w:t>
                  </w:r>
                </w:p>
              </w:tc>
              <w:tc>
                <w:tcPr>
                  <w:tcW w:w="2914" w:type="dxa"/>
                  <w:tcBorders>
                    <w:right w:val="single" w:color="000000" w:sz="12" w:space="0"/>
                  </w:tcBorders>
                  <w:noWrap w:val="0"/>
                  <w:vAlign w:val="center"/>
                </w:tcPr>
                <w:p w14:paraId="644354A3">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kern w:val="2"/>
                      <w:sz w:val="21"/>
                      <w:szCs w:val="21"/>
                      <w:lang w:val="en-US" w:eastAsia="zh-CN" w:bidi="ar-SA"/>
                    </w:rPr>
                  </w:pPr>
                  <w:r>
                    <w:rPr>
                      <w:rFonts w:hint="eastAsia" w:ascii="Times New Roman" w:hAnsi="Times New Roman" w:eastAsia="宋体" w:cs="Times New Roman"/>
                      <w:color w:val="0000FF"/>
                      <w:kern w:val="2"/>
                      <w:sz w:val="21"/>
                      <w:szCs w:val="21"/>
                      <w:highlight w:val="none"/>
                      <w:lang w:val="en-US" w:eastAsia="zh-CN"/>
                    </w:rPr>
                    <w:t>0.2978</w:t>
                  </w:r>
                </w:p>
              </w:tc>
            </w:tr>
            <w:tr w14:paraId="141B7C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tcBorders>
                    <w:left w:val="single" w:color="000000" w:sz="12" w:space="0"/>
                  </w:tcBorders>
                  <w:noWrap w:val="0"/>
                  <w:vAlign w:val="center"/>
                </w:tcPr>
                <w:p w14:paraId="2BFF9260">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FF"/>
                      <w:kern w:val="2"/>
                      <w:sz w:val="21"/>
                      <w:szCs w:val="21"/>
                      <w:lang w:val="en-US" w:eastAsia="zh-CN"/>
                    </w:rPr>
                  </w:pPr>
                  <w:r>
                    <w:rPr>
                      <w:rFonts w:hint="default" w:ascii="Times New Roman" w:hAnsi="Times New Roman" w:eastAsia="宋体" w:cs="Times New Roman"/>
                      <w:color w:val="0000FF"/>
                      <w:kern w:val="2"/>
                      <w:sz w:val="21"/>
                      <w:szCs w:val="21"/>
                      <w:lang w:val="en-US" w:eastAsia="zh-CN"/>
                    </w:rPr>
                    <w:t>2</w:t>
                  </w:r>
                </w:p>
              </w:tc>
              <w:tc>
                <w:tcPr>
                  <w:tcW w:w="3246" w:type="dxa"/>
                  <w:noWrap w:val="0"/>
                  <w:vAlign w:val="center"/>
                </w:tcPr>
                <w:p w14:paraId="42F6E25D">
                  <w:pPr>
                    <w:keepNext w:val="0"/>
                    <w:keepLines w:val="0"/>
                    <w:pageBreakBefore w:val="0"/>
                    <w:widowControl/>
                    <w:kinsoku/>
                    <w:wordWrap/>
                    <w:overflowPunct/>
                    <w:topLinePunct w:val="0"/>
                    <w:autoSpaceDE/>
                    <w:autoSpaceDN/>
                    <w:bidi w:val="0"/>
                    <w:adjustRightInd/>
                    <w:snapToGrid/>
                    <w:spacing w:line="380" w:lineRule="exact"/>
                    <w:jc w:val="center"/>
                    <w:textAlignment w:val="center"/>
                    <w:rPr>
                      <w:rFonts w:hint="default" w:ascii="Times New Roman" w:hAnsi="Times New Roman" w:eastAsia="宋体" w:cs="Times New Roman"/>
                      <w:bCs/>
                      <w:color w:val="0000FF"/>
                      <w:kern w:val="2"/>
                      <w:sz w:val="21"/>
                      <w:szCs w:val="21"/>
                      <w:highlight w:val="none"/>
                      <w:lang w:val="en-US" w:eastAsia="zh-CN" w:bidi="ar-SA"/>
                    </w:rPr>
                  </w:pPr>
                  <w:r>
                    <w:rPr>
                      <w:rFonts w:hint="default" w:ascii="Times New Roman" w:hAnsi="Times New Roman" w:eastAsia="宋体" w:cs="Times New Roman"/>
                      <w:color w:val="0000FF"/>
                      <w:kern w:val="2"/>
                      <w:sz w:val="21"/>
                      <w:szCs w:val="21"/>
                      <w:lang w:val="en-US" w:eastAsia="zh-CN"/>
                    </w:rPr>
                    <w:t>氨</w:t>
                  </w:r>
                </w:p>
              </w:tc>
              <w:tc>
                <w:tcPr>
                  <w:tcW w:w="2914" w:type="dxa"/>
                  <w:tcBorders>
                    <w:right w:val="single" w:color="000000" w:sz="12" w:space="0"/>
                  </w:tcBorders>
                  <w:noWrap w:val="0"/>
                  <w:vAlign w:val="center"/>
                </w:tcPr>
                <w:p w14:paraId="172BE80B">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bCs/>
                      <w:color w:val="0000FF"/>
                      <w:kern w:val="2"/>
                      <w:sz w:val="21"/>
                      <w:szCs w:val="21"/>
                      <w:lang w:val="en-US" w:eastAsia="zh-CN"/>
                    </w:rPr>
                  </w:pPr>
                  <w:r>
                    <w:rPr>
                      <w:rFonts w:hint="default" w:ascii="Times New Roman" w:hAnsi="Times New Roman" w:eastAsia="宋体" w:cs="Times New Roman"/>
                      <w:color w:val="0000FF"/>
                      <w:sz w:val="21"/>
                      <w:szCs w:val="21"/>
                      <w:highlight w:val="none"/>
                      <w:lang w:val="en-US" w:eastAsia="zh-CN"/>
                    </w:rPr>
                    <w:t>0.02</w:t>
                  </w:r>
                </w:p>
              </w:tc>
            </w:tr>
            <w:tr w14:paraId="6B20F5A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tcBorders>
                    <w:left w:val="single" w:color="000000" w:sz="12" w:space="0"/>
                  </w:tcBorders>
                  <w:noWrap w:val="0"/>
                  <w:vAlign w:val="center"/>
                </w:tcPr>
                <w:p w14:paraId="578B4F8D">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0000FF"/>
                      <w:kern w:val="2"/>
                      <w:sz w:val="21"/>
                      <w:szCs w:val="21"/>
                      <w:lang w:val="en-US" w:eastAsia="zh-CN"/>
                    </w:rPr>
                  </w:pPr>
                  <w:r>
                    <w:rPr>
                      <w:rFonts w:hint="default" w:ascii="Times New Roman" w:hAnsi="Times New Roman" w:eastAsia="宋体" w:cs="Times New Roman"/>
                      <w:color w:val="0000FF"/>
                      <w:kern w:val="2"/>
                      <w:sz w:val="21"/>
                      <w:szCs w:val="21"/>
                      <w:lang w:val="en-US" w:eastAsia="zh-CN"/>
                    </w:rPr>
                    <w:t>3</w:t>
                  </w:r>
                </w:p>
              </w:tc>
              <w:tc>
                <w:tcPr>
                  <w:tcW w:w="3246" w:type="dxa"/>
                  <w:noWrap w:val="0"/>
                  <w:vAlign w:val="center"/>
                </w:tcPr>
                <w:p w14:paraId="7AE288F5">
                  <w:pPr>
                    <w:spacing w:line="240" w:lineRule="auto"/>
                    <w:jc w:val="center"/>
                    <w:rPr>
                      <w:rFonts w:hint="default" w:ascii="Times New Roman" w:hAnsi="Times New Roman" w:eastAsia="宋体" w:cs="Times New Roman"/>
                      <w:color w:val="0000FF"/>
                      <w:kern w:val="2"/>
                      <w:sz w:val="21"/>
                      <w:szCs w:val="21"/>
                      <w:lang w:val="en-US" w:eastAsia="zh-CN"/>
                    </w:rPr>
                  </w:pPr>
                  <w:r>
                    <w:rPr>
                      <w:rFonts w:hint="default" w:ascii="Times New Roman" w:hAnsi="Times New Roman" w:eastAsia="宋体" w:cs="Times New Roman"/>
                      <w:color w:val="0000FF"/>
                      <w:kern w:val="2"/>
                      <w:sz w:val="21"/>
                      <w:szCs w:val="24"/>
                      <w:lang w:val="en-US" w:eastAsia="zh-CN" w:bidi="ar-SA"/>
                    </w:rPr>
                    <w:t>硫化氢</w:t>
                  </w:r>
                </w:p>
              </w:tc>
              <w:tc>
                <w:tcPr>
                  <w:tcW w:w="2914" w:type="dxa"/>
                  <w:tcBorders>
                    <w:right w:val="single" w:color="000000" w:sz="12" w:space="0"/>
                  </w:tcBorders>
                  <w:noWrap w:val="0"/>
                  <w:vAlign w:val="center"/>
                </w:tcPr>
                <w:p w14:paraId="5A058ACD">
                  <w:pPr>
                    <w:keepNext w:val="0"/>
                    <w:keepLines w:val="0"/>
                    <w:pageBreakBefore w:val="0"/>
                    <w:widowControl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i w:val="0"/>
                      <w:iCs w:val="0"/>
                      <w:color w:val="0000FF"/>
                      <w:kern w:val="0"/>
                      <w:sz w:val="21"/>
                      <w:szCs w:val="21"/>
                      <w:highlight w:val="none"/>
                      <w:u w:val="none"/>
                      <w:lang w:val="en-US" w:eastAsia="zh-CN" w:bidi="ar"/>
                    </w:rPr>
                    <w:t>0.0104</w:t>
                  </w:r>
                </w:p>
              </w:tc>
            </w:tr>
          </w:tbl>
          <w:p w14:paraId="7AC0EE80">
            <w:pPr>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（3）污染防治措施可行分析</w:t>
            </w:r>
          </w:p>
          <w:p w14:paraId="2CD437E4">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①有组织污染防治措施</w:t>
            </w:r>
          </w:p>
          <w:p w14:paraId="47E2B2B8">
            <w:pPr>
              <w:overflowPunct w:val="0"/>
              <w:autoSpaceDE w:val="0"/>
              <w:autoSpaceDN w:val="0"/>
              <w:bidi w:val="0"/>
              <w:adjustRightInd w:val="0"/>
              <w:snapToGrid w:val="0"/>
              <w:spacing w:before="0" w:after="0" w:line="360" w:lineRule="auto"/>
              <w:ind w:left="0" w:right="0" w:firstLine="480" w:firstLineChars="200"/>
              <w:jc w:val="left"/>
              <w:rPr>
                <w:rFonts w:hint="default" w:ascii="Times New Roman" w:hAnsi="Times New Roman" w:eastAsia="宋体" w:cs="Times New Roman"/>
                <w:color w:val="auto"/>
                <w:lang w:val="en-US"/>
              </w:rPr>
            </w:pPr>
            <w:r>
              <w:rPr>
                <w:rFonts w:hint="default" w:ascii="Times New Roman" w:hAnsi="Times New Roman" w:eastAsia="宋体" w:cs="Times New Roman"/>
                <w:color w:val="auto"/>
                <w:lang w:val="en-US" w:eastAsia="zh-CN"/>
              </w:rPr>
              <w:t>根据《排污许可证申请与核发技术规范 磷肥、钾肥、复混肥料、有机肥料及微生物肥料工业》（HJ 864.2-2018）备料氨、硫化氢可行技术为生物除臭（滴滤法、过滤法），本项目发酵罐区采用生物除臭（滴滤法）进行控制后经15m排气筒（DA001）排放，满足《恶臭污染物排放标准》（GB14554-93）表2 恶臭污染物排放标准值</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有组织污染防治措施可行</w:t>
            </w:r>
            <w:r>
              <w:rPr>
                <w:rFonts w:hint="default" w:ascii="Times New Roman" w:hAnsi="Times New Roman" w:eastAsia="宋体" w:cs="Times New Roman"/>
                <w:color w:val="auto"/>
              </w:rPr>
              <w:t>。</w:t>
            </w:r>
          </w:p>
          <w:p w14:paraId="4447750F">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根据《排污许可证申请与核发技术规范 磷肥、钾肥、复混肥料、有机肥料及微生物肥料工业》（HJ 864.2-2018）有机肥料破碎、筛分颗粒物可行技术为袋式除尘；本项目车间</w:t>
            </w:r>
            <w:r>
              <w:rPr>
                <w:rFonts w:hint="default" w:ascii="Times New Roman" w:hAnsi="Times New Roman" w:eastAsia="宋体" w:cs="Times New Roman"/>
                <w:color w:val="auto"/>
                <w:sz w:val="24"/>
                <w:szCs w:val="24"/>
                <w:highlight w:val="none"/>
                <w:lang w:val="en-US" w:eastAsia="zh-CN"/>
              </w:rPr>
              <w:t>筛分</w:t>
            </w:r>
            <w:r>
              <w:rPr>
                <w:rFonts w:hint="default" w:ascii="Times New Roman" w:hAnsi="Times New Roman" w:eastAsia="宋体" w:cs="Times New Roman"/>
                <w:color w:val="auto"/>
                <w:lang w:val="en-US" w:eastAsia="zh-CN"/>
              </w:rPr>
              <w:t>和包装工段合并设置一套袋式除尘，筛分设置全封闭滚筒筛，粉尘经袋式除尘处理后满足</w:t>
            </w:r>
            <w:r>
              <w:rPr>
                <w:rFonts w:hint="default" w:ascii="Times New Roman" w:hAnsi="Times New Roman" w:eastAsia="宋体" w:cs="Times New Roman"/>
                <w:snapToGrid w:val="0"/>
                <w:color w:val="auto"/>
                <w:sz w:val="24"/>
                <w:szCs w:val="24"/>
                <w:highlight w:val="none"/>
                <w:lang w:val="en-US" w:eastAsia="zh-CN" w:bidi="ar-SA"/>
              </w:rPr>
              <w:t>《大气污染物综合排放标准》（GB16297-1996）</w:t>
            </w:r>
            <w:r>
              <w:rPr>
                <w:rFonts w:hint="default" w:ascii="Times New Roman" w:hAnsi="Times New Roman" w:eastAsia="宋体" w:cs="Times New Roman"/>
                <w:color w:val="auto"/>
                <w:sz w:val="24"/>
                <w:szCs w:val="24"/>
              </w:rPr>
              <w:t>表2 新污染源大气污染物排放限值</w:t>
            </w:r>
            <w:r>
              <w:rPr>
                <w:rFonts w:hint="default" w:ascii="Times New Roman" w:hAnsi="Times New Roman" w:eastAsia="宋体" w:cs="Times New Roman"/>
                <w:color w:val="auto"/>
                <w:lang w:val="en-US" w:eastAsia="zh-CN"/>
              </w:rPr>
              <w:t>后统一由一根15m排气筒（DA002）排放</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有组织污染防治措施可行</w:t>
            </w:r>
            <w:r>
              <w:rPr>
                <w:rFonts w:hint="default" w:ascii="Times New Roman" w:hAnsi="Times New Roman" w:eastAsia="宋体" w:cs="Times New Roman"/>
                <w:color w:val="auto"/>
              </w:rPr>
              <w:t>。</w:t>
            </w:r>
          </w:p>
          <w:p w14:paraId="0009E741">
            <w:pPr>
              <w:overflowPunct w:val="0"/>
              <w:autoSpaceDE w:val="0"/>
              <w:autoSpaceDN w:val="0"/>
              <w:bidi w:val="0"/>
              <w:adjustRightInd w:val="0"/>
              <w:snapToGrid w:val="0"/>
              <w:spacing w:before="0" w:after="0" w:line="360" w:lineRule="auto"/>
              <w:ind w:left="0" w:right="0" w:firstLine="480" w:firstLineChars="200"/>
              <w:jc w:val="left"/>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根据《排污许可证申请与核发技术规范 磷肥、钾肥、复混肥料、有机肥料及微生物肥料工业》（HJ 864.2-2018）有组织控制要求为：</w:t>
            </w:r>
          </w:p>
          <w:p w14:paraId="73BB7FCD">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有组织排放要求主要针对废气处理系统的安装、运行、维护等过程。 </w:t>
            </w:r>
          </w:p>
          <w:p w14:paraId="095F6CEA">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a）污染治理设施应与产生废气的生产工艺设备同步运行。由于事故或设备维修等原因造成治理设施停止运行时，应立即报告当地环境主管部门。 </w:t>
            </w:r>
          </w:p>
          <w:p w14:paraId="7E8122F8">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b）污染治理设施运行应在满足设计工况的条件下进行，并根据工艺要求，定期对设备、电气、自控仪表及构筑物进行检查维护，确保污染治理设施可靠运行。 </w:t>
            </w:r>
          </w:p>
          <w:p w14:paraId="1DCA8FAC">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highlight w:val="none"/>
                <w:lang w:val="en-US" w:eastAsia="zh-CN"/>
              </w:rPr>
              <w:t xml:space="preserve">c）污染防治设施检修期间，排污单位相应排污设施应停止运行，并向生态环境主管部门提交污染治理设施检维修计划，检修计划应至少包括检维修的起始时间、情形描述、预计结束时间、拟采取的应对措施等内容。   </w:t>
            </w:r>
            <w:r>
              <w:rPr>
                <w:rFonts w:hint="default" w:ascii="Times New Roman" w:hAnsi="Times New Roman" w:eastAsia="宋体" w:cs="Times New Roman"/>
                <w:color w:val="auto"/>
                <w:lang w:val="en-US" w:eastAsia="zh-CN"/>
              </w:rPr>
              <w:t xml:space="preserve">   </w:t>
            </w:r>
          </w:p>
          <w:p w14:paraId="5465046B">
            <w:pPr>
              <w:overflowPunct w:val="0"/>
              <w:autoSpaceDE w:val="0"/>
              <w:autoSpaceDN w:val="0"/>
              <w:bidi w:val="0"/>
              <w:adjustRightInd w:val="0"/>
              <w:snapToGrid w:val="0"/>
              <w:spacing w:before="0" w:after="0" w:line="360" w:lineRule="auto"/>
              <w:ind w:left="0" w:right="0" w:firstLine="480" w:firstLineChars="200"/>
              <w:jc w:val="left"/>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②无组织污染防治措施</w:t>
            </w:r>
          </w:p>
          <w:p w14:paraId="03EF8E6C">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 xml:space="preserve">根据《排污许可证申请与核发技术规范 磷肥、钾肥、复混肥料、有机肥料及微生物肥料工业》（HJ 864.2-2018）无组织排放控制要求： </w:t>
            </w:r>
          </w:p>
          <w:p w14:paraId="14E8F8C4">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 xml:space="preserve">无组织排放的运行管理要求按照GB14554、GB16297中的要求执行，待化肥工业的大气污染物排放标准发布后，从其规定。 </w:t>
            </w:r>
          </w:p>
          <w:p w14:paraId="6F0CC338">
            <w:pPr>
              <w:numPr>
                <w:ilvl w:val="0"/>
                <w:numId w:val="4"/>
              </w:num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露天堆放物料要实现封闭储存或建设防风抑尘措施。</w:t>
            </w:r>
          </w:p>
          <w:p w14:paraId="1CE6491B">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 xml:space="preserve">b）做好开停工及检维修期间的环境因素识别和环境影响评估，合理安排开停车和检维修的时间及次序，做好开停车及检维修期间的污染物控制措施，最大程度的回收、处理污染物，避免直接排入环境。 </w:t>
            </w:r>
          </w:p>
          <w:p w14:paraId="4C0F3E93">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本项目原料每日拉运至厂区内不进行储存，直接转入发酵罐；成品暂存于陈化成品库房内。生产环节保持封闭式作业，在生产车间</w:t>
            </w:r>
            <w:r>
              <w:rPr>
                <w:rFonts w:hint="default" w:ascii="Times New Roman" w:hAnsi="Times New Roman" w:eastAsia="宋体" w:cs="Times New Roman"/>
                <w:color w:val="auto"/>
                <w:sz w:val="24"/>
                <w:szCs w:val="24"/>
                <w:highlight w:val="none"/>
                <w:lang w:val="en-US" w:eastAsia="zh-CN"/>
              </w:rPr>
              <w:t>筛分</w:t>
            </w:r>
            <w:r>
              <w:rPr>
                <w:rFonts w:hint="default" w:ascii="Times New Roman" w:hAnsi="Times New Roman" w:eastAsia="宋体" w:cs="Times New Roman"/>
                <w:color w:val="auto"/>
                <w:lang w:val="en-US" w:eastAsia="zh-CN"/>
              </w:rPr>
              <w:t>、包装工段分别设置一套袋式除尘处理，处理后均满足</w:t>
            </w:r>
            <w:r>
              <w:rPr>
                <w:rFonts w:hint="default" w:ascii="Times New Roman" w:hAnsi="Times New Roman" w:eastAsia="宋体" w:cs="Times New Roman"/>
                <w:snapToGrid w:val="0"/>
                <w:color w:val="auto"/>
                <w:sz w:val="24"/>
                <w:szCs w:val="24"/>
                <w:highlight w:val="none"/>
                <w:lang w:val="en-US" w:eastAsia="zh-CN" w:bidi="ar-SA"/>
              </w:rPr>
              <w:t>《大气污染物综合排放标准》（GB16297-1996）</w:t>
            </w:r>
            <w:r>
              <w:rPr>
                <w:rFonts w:hint="default" w:ascii="Times New Roman" w:hAnsi="Times New Roman" w:eastAsia="宋体" w:cs="Times New Roman"/>
                <w:color w:val="auto"/>
                <w:sz w:val="24"/>
                <w:szCs w:val="24"/>
              </w:rPr>
              <w:t>表2 新污染源大气污染物排放限值</w:t>
            </w:r>
            <w:r>
              <w:rPr>
                <w:rFonts w:hint="default" w:ascii="Times New Roman" w:hAnsi="Times New Roman" w:eastAsia="宋体" w:cs="Times New Roman"/>
                <w:color w:val="auto"/>
                <w:lang w:val="en-US" w:eastAsia="zh-CN"/>
              </w:rPr>
              <w:t>后</w:t>
            </w:r>
            <w:r>
              <w:rPr>
                <w:rFonts w:hint="default" w:ascii="Times New Roman" w:hAnsi="Times New Roman" w:eastAsia="宋体" w:cs="Times New Roman"/>
                <w:color w:val="auto"/>
              </w:rPr>
              <w:t>排</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 xml:space="preserve">分别由15m排气筒排放。 </w:t>
            </w:r>
          </w:p>
          <w:p w14:paraId="44F5E607">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《畜禽粪便贮存设施设计要求》（GB/T27622-2011），贮存设施设计要求如下：</w:t>
            </w:r>
          </w:p>
          <w:p w14:paraId="0C7E9043">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highlight w:val="none"/>
                <w:lang w:val="en-US" w:eastAsia="zh-CN"/>
              </w:rPr>
              <w:t>a）</w:t>
            </w:r>
            <w:r>
              <w:rPr>
                <w:rFonts w:hint="default" w:ascii="Times New Roman" w:hAnsi="Times New Roman" w:eastAsia="宋体" w:cs="Times New Roman"/>
                <w:color w:val="auto"/>
                <w:lang w:val="en-US" w:eastAsia="zh-CN"/>
              </w:rPr>
              <w:t>选址要求：</w:t>
            </w:r>
          </w:p>
          <w:p w14:paraId="7C107B38">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设在畜禽场生产区及生活管理区常年主导风向的下风处或侧风向，与主要生产设施之间保持100m以上的距离。</w:t>
            </w:r>
          </w:p>
          <w:p w14:paraId="5796BA72">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 xml:space="preserve">关千选址其他要求按照NY/T 1168中相关规定执行。 </w:t>
            </w:r>
          </w:p>
          <w:p w14:paraId="184AA10F">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highlight w:val="none"/>
                <w:lang w:val="en-US" w:eastAsia="zh-CN"/>
              </w:rPr>
              <w:t>b）</w:t>
            </w:r>
            <w:r>
              <w:rPr>
                <w:rFonts w:hint="default" w:ascii="Times New Roman" w:hAnsi="Times New Roman" w:eastAsia="宋体" w:cs="Times New Roman"/>
                <w:color w:val="auto"/>
                <w:lang w:val="en-US" w:eastAsia="zh-CN"/>
              </w:rPr>
              <w:t>地面要求：</w:t>
            </w:r>
          </w:p>
          <w:p w14:paraId="47EB30E9">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地面为混凝土结构。</w:t>
            </w:r>
          </w:p>
          <w:p w14:paraId="7C5FC0AD">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地面向“n”型槽的开口方向倾斜，坡度为1%，坡底设排污沟；污水排人污水贮存设施。</w:t>
            </w:r>
          </w:p>
          <w:p w14:paraId="5C2C5773">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地面应能满足承受粪便运输车以及所存放粪便荷载的要求；地面应进行防水处理，干拌砂浆混凝土防水地面地面做法</w:t>
            </w:r>
          </w:p>
          <w:p w14:paraId="31DFC988">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素土穷实，压实系数0.90；60厚Cl5混凝土垫层；20厚DS干拌砂浆找平层，四周及管根部位抹小八字角；0. 7厚聚乙烯丙纶防水卷材，用1. 3厚胶粘剂粘贴或1. 5厚聚合物水泥基防水涂料；C20混凝土面层从门口处向地漏找1％泛水，最薄处不小千30厚，随打随抹平。</w:t>
            </w:r>
          </w:p>
          <w:p w14:paraId="1E6E3FA1">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地面防渗性能要求满足 GB 18598相关规定。</w:t>
            </w:r>
          </w:p>
          <w:p w14:paraId="6E8FF112">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c）墙体</w:t>
            </w:r>
            <w:r>
              <w:rPr>
                <w:rFonts w:hint="default" w:ascii="Times New Roman" w:hAnsi="Times New Roman" w:eastAsia="宋体" w:cs="Times New Roman"/>
                <w:color w:val="auto"/>
                <w:lang w:val="en-US" w:eastAsia="zh-CN"/>
              </w:rPr>
              <w:t>要求：</w:t>
            </w:r>
          </w:p>
          <w:p w14:paraId="13361BB7">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墙高不宜超1. 5 m。</w:t>
            </w:r>
          </w:p>
          <w:p w14:paraId="0E573285">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采用砖混或混凝土结构、水泥抹面；墙体厚度不少于240 mm。</w:t>
            </w:r>
          </w:p>
          <w:p w14:paraId="22FBFCB4">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墙体防渗按 GB 50069相关规定执行。</w:t>
            </w:r>
          </w:p>
          <w:p w14:paraId="7B9048BB">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d）顶部要求：</w:t>
            </w:r>
          </w:p>
          <w:p w14:paraId="6AB85E1D">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顶部设置雨棚。</w:t>
            </w:r>
          </w:p>
          <w:p w14:paraId="18067E33">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highlight w:val="none"/>
                <w:lang w:val="en-US" w:eastAsia="zh-CN"/>
              </w:rPr>
              <w:t>雨棚下玄与设施地面净高不低于3. 5 m。</w:t>
            </w:r>
          </w:p>
          <w:p w14:paraId="1DB3597E">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e）其他要求</w:t>
            </w:r>
          </w:p>
          <w:p w14:paraId="2E2CFF28">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设施周围应设置排雨水沟，防止雨水径流进入贮存设施内；排雨水沟不得与排污沟并流。</w:t>
            </w:r>
          </w:p>
          <w:p w14:paraId="460C9862">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设施周围应设置明显的标志以及围栏等防护设施。</w:t>
            </w:r>
          </w:p>
          <w:p w14:paraId="3F64E838">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宜设专门通道直接与外界相通，避免粪便运输经过生活及生产区。</w:t>
            </w:r>
          </w:p>
          <w:p w14:paraId="594A50AC">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设施在使用过程中不应产生二次污染，其恶臭及污染物排放应符合GB 18596规定。</w:t>
            </w:r>
          </w:p>
          <w:p w14:paraId="378D72A3">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设施周围进行适当绿化，按NY/T 1169中相关要求执行。</w:t>
            </w:r>
          </w:p>
          <w:p w14:paraId="00ED3304">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防火距离按GBJ 16相关规定执行。</w:t>
            </w:r>
          </w:p>
          <w:p w14:paraId="3C4C8702">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0000FF"/>
                <w:lang w:val="en-US" w:eastAsia="zh-CN"/>
              </w:rPr>
            </w:pPr>
            <w:r>
              <w:rPr>
                <w:rFonts w:hint="default" w:ascii="Times New Roman" w:hAnsi="Times New Roman" w:eastAsia="宋体" w:cs="Times New Roman"/>
                <w:color w:val="0000FF"/>
                <w:lang w:val="en-US" w:eastAsia="zh-CN"/>
              </w:rPr>
              <w:t>本项目不设置粪便原料堆场以及晾晒场，本项目原料入场直接转入发酵罐内，因此不会有渗出液产生。因此不设置排污沟以及污水贮存设施，其余地面、墙体、雨棚以及排雨沟等均按照《畜禽粪便贮存设施设计要求》（GB/T27622-2011）相关要求建设。</w:t>
            </w:r>
          </w:p>
          <w:p w14:paraId="372F9BDD">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lang w:val="en-US" w:eastAsia="zh-CN"/>
              </w:rPr>
              <w:t>《工业料堆场扬尘整治规范》（DB 65/T 4061-2017）根据工业料堆场所在地环境敏感程度、堆场规模、当地年平均风速、物料粒度将工业料堆场划分为Ⅰ、Ⅱ和Ⅲ三个类型，本项目位于重点控制区，</w:t>
            </w:r>
            <w:r>
              <w:rPr>
                <w:rFonts w:hint="default" w:ascii="Times New Roman" w:hAnsi="Times New Roman" w:eastAsia="宋体" w:cs="Times New Roman"/>
                <w:color w:val="auto"/>
                <w:highlight w:val="none"/>
                <w:lang w:val="en-US" w:eastAsia="zh-CN"/>
              </w:rPr>
              <w:t>成品堆场面积2800m</w:t>
            </w:r>
            <w:r>
              <w:rPr>
                <w:rFonts w:hint="default" w:ascii="Times New Roman" w:hAnsi="Times New Roman" w:eastAsia="宋体" w:cs="Times New Roman"/>
                <w:color w:val="auto"/>
                <w:highlight w:val="none"/>
                <w:vertAlign w:val="superscript"/>
                <w:lang w:val="en-US" w:eastAsia="zh-CN"/>
              </w:rPr>
              <w:t>2</w:t>
            </w:r>
            <w:r>
              <w:rPr>
                <w:rFonts w:hint="default" w:ascii="Times New Roman" w:hAnsi="Times New Roman" w:eastAsia="宋体" w:cs="Times New Roman"/>
                <w:color w:val="auto"/>
                <w:highlight w:val="none"/>
                <w:vertAlign w:val="baseline"/>
                <w:lang w:val="en-US" w:eastAsia="zh-CN"/>
              </w:rPr>
              <w:t>，规模</w:t>
            </w:r>
            <w:r>
              <w:rPr>
                <w:rFonts w:hint="default" w:ascii="Times New Roman" w:hAnsi="Times New Roman" w:eastAsia="宋体" w:cs="Times New Roman"/>
                <w:color w:val="auto"/>
                <w:highlight w:val="none"/>
                <w:lang w:val="en-US" w:eastAsia="zh-CN"/>
              </w:rPr>
              <w:t>300-5000m</w:t>
            </w:r>
            <w:r>
              <w:rPr>
                <w:rFonts w:hint="default" w:ascii="Times New Roman" w:hAnsi="Times New Roman" w:eastAsia="宋体" w:cs="Times New Roman"/>
                <w:color w:val="auto"/>
                <w:highlight w:val="none"/>
                <w:vertAlign w:val="superscript"/>
                <w:lang w:val="en-US" w:eastAsia="zh-CN"/>
              </w:rPr>
              <w:t>3</w:t>
            </w:r>
            <w:r>
              <w:rPr>
                <w:rFonts w:hint="default" w:ascii="Times New Roman" w:hAnsi="Times New Roman" w:eastAsia="宋体" w:cs="Times New Roman"/>
                <w:color w:val="auto"/>
                <w:highlight w:val="none"/>
                <w:vertAlign w:val="baseline"/>
                <w:lang w:val="en-US" w:eastAsia="zh-CN"/>
              </w:rPr>
              <w:t>，</w:t>
            </w:r>
            <w:r>
              <w:rPr>
                <w:rFonts w:hint="default" w:ascii="Times New Roman" w:hAnsi="Times New Roman" w:eastAsia="宋体" w:cs="Times New Roman"/>
                <w:color w:val="auto"/>
                <w:vertAlign w:val="baseline"/>
                <w:lang w:val="en-US" w:eastAsia="zh-CN"/>
              </w:rPr>
              <w:t>发酵后有机肥为小块状物料，年平均风速为1.8m/s，因此本项目堆场为</w:t>
            </w:r>
            <w:r>
              <w:rPr>
                <w:rFonts w:hint="default" w:ascii="Times New Roman" w:hAnsi="Times New Roman" w:eastAsia="宋体" w:cs="Times New Roman"/>
                <w:color w:val="auto"/>
                <w:lang w:val="en-US" w:eastAsia="zh-CN"/>
              </w:rPr>
              <w:t>II工业料堆场。根据《工业料堆场扬尘整治规范》（DB 65/T 4061-2017）对于Ⅱ类料堆场，除选取（5）和（6）两种措施之一外，根据物料特性还应至少选取a、b、c和d四种防治措施之一。由于本项目500m范围内无大气环境敏感目标，本项目现有成品仓库为全封闭仓库，因此符合《工业料堆场扬尘整治规范》（DB 65/T 4061-2017）要求，</w:t>
            </w:r>
            <w:r>
              <w:rPr>
                <w:rFonts w:hint="default" w:ascii="Times New Roman" w:hAnsi="Times New Roman" w:eastAsia="宋体" w:cs="Times New Roman"/>
                <w:color w:val="auto"/>
                <w:kern w:val="0"/>
                <w:sz w:val="24"/>
                <w:szCs w:val="24"/>
                <w:highlight w:val="none"/>
                <w:lang w:val="en-US" w:eastAsia="zh-CN" w:bidi="ar"/>
              </w:rPr>
              <w:t>污染防治措施可行。工业料堆场类型划分表以及工业料堆场扬尘防治方案选择参考表见表</w:t>
            </w:r>
            <w:r>
              <w:rPr>
                <w:rFonts w:hint="default" w:ascii="Times New Roman" w:hAnsi="Times New Roman" w:eastAsia="宋体" w:cs="Times New Roman"/>
                <w:color w:val="auto"/>
                <w:kern w:val="2"/>
                <w:sz w:val="24"/>
                <w:szCs w:val="24"/>
                <w:highlight w:val="none"/>
                <w:lang w:val="en-US" w:eastAsia="zh-CN" w:bidi="ar-SA"/>
              </w:rPr>
              <w:t>表4.5-1</w:t>
            </w:r>
            <w:r>
              <w:rPr>
                <w:rFonts w:hint="eastAsia" w:cs="Times New Roman"/>
                <w:color w:val="auto"/>
                <w:kern w:val="2"/>
                <w:sz w:val="24"/>
                <w:szCs w:val="24"/>
                <w:highlight w:val="none"/>
                <w:lang w:val="en-US" w:eastAsia="zh-CN" w:bidi="ar-SA"/>
              </w:rPr>
              <w:t>2</w:t>
            </w:r>
            <w:r>
              <w:rPr>
                <w:rFonts w:hint="default" w:ascii="Times New Roman" w:hAnsi="Times New Roman" w:eastAsia="宋体" w:cs="Times New Roman"/>
                <w:color w:val="auto"/>
                <w:kern w:val="2"/>
                <w:sz w:val="24"/>
                <w:szCs w:val="24"/>
                <w:highlight w:val="none"/>
                <w:lang w:val="en-US" w:eastAsia="zh-CN" w:bidi="ar-SA"/>
              </w:rPr>
              <w:t>和4.5-1</w:t>
            </w:r>
            <w:r>
              <w:rPr>
                <w:rFonts w:hint="eastAsia" w:cs="Times New Roman"/>
                <w:color w:val="auto"/>
                <w:kern w:val="2"/>
                <w:sz w:val="24"/>
                <w:szCs w:val="24"/>
                <w:highlight w:val="none"/>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w:t>
            </w:r>
          </w:p>
          <w:p w14:paraId="3EBC4371">
            <w:pPr>
              <w:widowControl w:val="0"/>
              <w:overflowPunct w:val="0"/>
              <w:autoSpaceDE w:val="0"/>
              <w:autoSpaceDN w:val="0"/>
              <w:adjustRightInd w:val="0"/>
              <w:snapToGrid w:val="0"/>
              <w:spacing w:before="0" w:after="0" w:line="240" w:lineRule="auto"/>
              <w:ind w:left="0" w:right="0" w:firstLine="422" w:firstLineChars="200"/>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eastAsia="宋体" w:cs="Times New Roman"/>
                <w:b/>
                <w:color w:val="auto"/>
                <w:kern w:val="2"/>
                <w:sz w:val="21"/>
                <w:szCs w:val="21"/>
                <w:highlight w:val="none"/>
                <w:lang w:val="en-US" w:eastAsia="zh-CN" w:bidi="ar-SA"/>
              </w:rPr>
              <w:t>表4.5-1</w:t>
            </w:r>
            <w:r>
              <w:rPr>
                <w:rFonts w:hint="eastAsia" w:cs="Times New Roman"/>
                <w:b/>
                <w:color w:val="auto"/>
                <w:kern w:val="2"/>
                <w:sz w:val="21"/>
                <w:szCs w:val="21"/>
                <w:highlight w:val="none"/>
                <w:lang w:val="en-US" w:eastAsia="zh-CN" w:bidi="ar-SA"/>
              </w:rPr>
              <w:t>2</w:t>
            </w:r>
            <w:r>
              <w:rPr>
                <w:rFonts w:hint="default" w:ascii="Times New Roman" w:hAnsi="Times New Roman" w:eastAsia="宋体" w:cs="Times New Roman"/>
                <w:b/>
                <w:color w:val="auto"/>
                <w:kern w:val="2"/>
                <w:sz w:val="21"/>
                <w:szCs w:val="21"/>
                <w:highlight w:val="none"/>
                <w:lang w:val="en-US" w:eastAsia="zh-CN" w:bidi="ar-SA"/>
              </w:rPr>
              <w:t>工业料堆场类型划分表</w:t>
            </w:r>
          </w:p>
          <w:tbl>
            <w:tblPr>
              <w:tblStyle w:val="22"/>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778"/>
              <w:gridCol w:w="1489"/>
              <w:gridCol w:w="1346"/>
              <w:gridCol w:w="1056"/>
              <w:gridCol w:w="1057"/>
            </w:tblGrid>
            <w:tr w14:paraId="558ED6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8" w:type="dxa"/>
                  <w:vMerge w:val="restart"/>
                  <w:tcBorders>
                    <w:tl2br w:val="nil"/>
                    <w:tr2bl w:val="nil"/>
                  </w:tcBorders>
                  <w:noWrap w:val="0"/>
                  <w:vAlign w:val="center"/>
                </w:tcPr>
                <w:p w14:paraId="5F441178">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val="en-US" w:eastAsia="zh-CN"/>
                    </w:rPr>
                    <w:t>环境控制区</w:t>
                  </w:r>
                </w:p>
              </w:tc>
              <w:tc>
                <w:tcPr>
                  <w:tcW w:w="1778" w:type="dxa"/>
                  <w:vMerge w:val="restart"/>
                  <w:tcBorders>
                    <w:tl2br w:val="nil"/>
                    <w:tr2bl w:val="nil"/>
                  </w:tcBorders>
                  <w:noWrap w:val="0"/>
                  <w:vAlign w:val="center"/>
                </w:tcPr>
                <w:p w14:paraId="362E5A5B">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规模m</w:t>
                  </w:r>
                  <w:r>
                    <w:rPr>
                      <w:rFonts w:hint="default" w:ascii="Times New Roman" w:hAnsi="Times New Roman" w:eastAsia="宋体" w:cs="Times New Roman"/>
                      <w:color w:val="auto"/>
                      <w:kern w:val="2"/>
                      <w:sz w:val="21"/>
                      <w:szCs w:val="21"/>
                      <w:vertAlign w:val="superscript"/>
                      <w:lang w:val="en-US" w:eastAsia="zh-CN"/>
                    </w:rPr>
                    <w:t>3</w:t>
                  </w:r>
                </w:p>
              </w:tc>
              <w:tc>
                <w:tcPr>
                  <w:tcW w:w="1489" w:type="dxa"/>
                  <w:vMerge w:val="restart"/>
                  <w:tcBorders>
                    <w:tl2br w:val="nil"/>
                    <w:tr2bl w:val="nil"/>
                  </w:tcBorders>
                  <w:noWrap w:val="0"/>
                  <w:vAlign w:val="center"/>
                </w:tcPr>
                <w:p w14:paraId="760E3DF2">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风速m/s</w:t>
                  </w:r>
                </w:p>
              </w:tc>
              <w:tc>
                <w:tcPr>
                  <w:tcW w:w="3459" w:type="dxa"/>
                  <w:gridSpan w:val="3"/>
                  <w:tcBorders>
                    <w:tl2br w:val="nil"/>
                    <w:tr2bl w:val="nil"/>
                  </w:tcBorders>
                  <w:noWrap w:val="0"/>
                  <w:vAlign w:val="center"/>
                </w:tcPr>
                <w:p w14:paraId="17519603">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粒度mm</w:t>
                  </w:r>
                </w:p>
              </w:tc>
            </w:tr>
            <w:tr w14:paraId="0FB1D5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8" w:type="dxa"/>
                  <w:vMerge w:val="continue"/>
                  <w:tcBorders>
                    <w:tl2br w:val="nil"/>
                    <w:tr2bl w:val="nil"/>
                  </w:tcBorders>
                  <w:noWrap w:val="0"/>
                  <w:vAlign w:val="center"/>
                </w:tcPr>
                <w:p w14:paraId="0AC98490">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rPr>
                  </w:pPr>
                </w:p>
              </w:tc>
              <w:tc>
                <w:tcPr>
                  <w:tcW w:w="1778" w:type="dxa"/>
                  <w:vMerge w:val="continue"/>
                  <w:tcBorders>
                    <w:tl2br w:val="nil"/>
                    <w:tr2bl w:val="nil"/>
                  </w:tcBorders>
                  <w:noWrap w:val="0"/>
                  <w:vAlign w:val="center"/>
                </w:tcPr>
                <w:p w14:paraId="6F625275">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rPr>
                  </w:pPr>
                </w:p>
              </w:tc>
              <w:tc>
                <w:tcPr>
                  <w:tcW w:w="1489" w:type="dxa"/>
                  <w:vMerge w:val="continue"/>
                  <w:tcBorders>
                    <w:tl2br w:val="nil"/>
                    <w:tr2bl w:val="nil"/>
                  </w:tcBorders>
                  <w:noWrap w:val="0"/>
                  <w:vAlign w:val="center"/>
                </w:tcPr>
                <w:p w14:paraId="07119C7F">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rPr>
                  </w:pPr>
                </w:p>
              </w:tc>
              <w:tc>
                <w:tcPr>
                  <w:tcW w:w="1346" w:type="dxa"/>
                  <w:tcBorders>
                    <w:tl2br w:val="nil"/>
                    <w:tr2bl w:val="nil"/>
                  </w:tcBorders>
                  <w:noWrap w:val="0"/>
                  <w:vAlign w:val="center"/>
                </w:tcPr>
                <w:p w14:paraId="5C35B5B8">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粉体：≤0.5</w:t>
                  </w:r>
                </w:p>
              </w:tc>
              <w:tc>
                <w:tcPr>
                  <w:tcW w:w="1056" w:type="dxa"/>
                  <w:tcBorders>
                    <w:tl2br w:val="nil"/>
                    <w:tr2bl w:val="nil"/>
                  </w:tcBorders>
                  <w:noWrap w:val="0"/>
                  <w:vAlign w:val="center"/>
                </w:tcPr>
                <w:p w14:paraId="2B9AA4D9">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颗粒0.5-1.3</w:t>
                  </w:r>
                </w:p>
              </w:tc>
              <w:tc>
                <w:tcPr>
                  <w:tcW w:w="1057" w:type="dxa"/>
                  <w:tcBorders>
                    <w:tl2br w:val="nil"/>
                    <w:tr2bl w:val="nil"/>
                  </w:tcBorders>
                  <w:noWrap w:val="0"/>
                  <w:vAlign w:val="center"/>
                </w:tcPr>
                <w:p w14:paraId="7F995A2A">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块体：≥1.3</w:t>
                  </w:r>
                </w:p>
              </w:tc>
            </w:tr>
            <w:tr w14:paraId="48218B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restart"/>
                  <w:tcBorders>
                    <w:tl2br w:val="nil"/>
                    <w:tr2bl w:val="nil"/>
                  </w:tcBorders>
                  <w:noWrap w:val="0"/>
                  <w:vAlign w:val="center"/>
                </w:tcPr>
                <w:p w14:paraId="02F1DFA1">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重点控制区</w:t>
                  </w:r>
                </w:p>
              </w:tc>
              <w:tc>
                <w:tcPr>
                  <w:tcW w:w="1778" w:type="dxa"/>
                  <w:vMerge w:val="restart"/>
                  <w:tcBorders>
                    <w:tl2br w:val="nil"/>
                    <w:tr2bl w:val="nil"/>
                  </w:tcBorders>
                  <w:noWrap w:val="0"/>
                  <w:vAlign w:val="center"/>
                </w:tcPr>
                <w:p w14:paraId="74C63BA6">
                  <w:pPr>
                    <w:keepNext w:val="0"/>
                    <w:keepLines w:val="0"/>
                    <w:pageBreakBefore w:val="0"/>
                    <w:widowControl/>
                    <w:suppressLineNumbers w:val="0"/>
                    <w:kinsoku/>
                    <w:wordWrap/>
                    <w:overflowPunct/>
                    <w:topLinePunct w:val="0"/>
                    <w:autoSpaceDE/>
                    <w:autoSpaceDN/>
                    <w:bidi w:val="0"/>
                    <w:adjustRightInd/>
                    <w:snapToGrid/>
                    <w:spacing w:before="0" w:after="0" w:line="480" w:lineRule="exact"/>
                    <w:ind w:left="0" w:right="0" w:firstLine="0" w:firstLineChars="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lang w:val="en-US" w:eastAsia="zh-CN"/>
                    </w:rPr>
                    <w:t>≥10000</w:t>
                  </w:r>
                </w:p>
              </w:tc>
              <w:tc>
                <w:tcPr>
                  <w:tcW w:w="1489" w:type="dxa"/>
                  <w:tcBorders>
                    <w:tl2br w:val="nil"/>
                    <w:tr2bl w:val="nil"/>
                  </w:tcBorders>
                  <w:noWrap w:val="0"/>
                  <w:vAlign w:val="center"/>
                </w:tcPr>
                <w:p w14:paraId="1B5834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≥4</w:t>
                  </w:r>
                </w:p>
              </w:tc>
              <w:tc>
                <w:tcPr>
                  <w:tcW w:w="1346" w:type="dxa"/>
                  <w:tcBorders>
                    <w:tl2br w:val="nil"/>
                    <w:tr2bl w:val="nil"/>
                  </w:tcBorders>
                  <w:noWrap w:val="0"/>
                  <w:vAlign w:val="center"/>
                </w:tcPr>
                <w:p w14:paraId="262B9B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Ⅰ</w:t>
                  </w:r>
                </w:p>
              </w:tc>
              <w:tc>
                <w:tcPr>
                  <w:tcW w:w="1056" w:type="dxa"/>
                  <w:tcBorders>
                    <w:tl2br w:val="nil"/>
                    <w:tr2bl w:val="nil"/>
                  </w:tcBorders>
                  <w:noWrap w:val="0"/>
                  <w:vAlign w:val="center"/>
                </w:tcPr>
                <w:p w14:paraId="6CB68A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7" w:type="dxa"/>
                  <w:tcBorders>
                    <w:tl2br w:val="nil"/>
                    <w:tr2bl w:val="nil"/>
                  </w:tcBorders>
                  <w:noWrap w:val="0"/>
                  <w:vAlign w:val="center"/>
                </w:tcPr>
                <w:p w14:paraId="794AD6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Ⅱ</w:t>
                  </w:r>
                </w:p>
              </w:tc>
            </w:tr>
            <w:tr w14:paraId="331E6E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04F629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rPr>
                  </w:pPr>
                </w:p>
              </w:tc>
              <w:tc>
                <w:tcPr>
                  <w:tcW w:w="1778" w:type="dxa"/>
                  <w:vMerge w:val="continue"/>
                  <w:tcBorders>
                    <w:tl2br w:val="nil"/>
                    <w:tr2bl w:val="nil"/>
                  </w:tcBorders>
                  <w:noWrap w:val="0"/>
                  <w:vAlign w:val="center"/>
                </w:tcPr>
                <w:p w14:paraId="4D1C37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rPr>
                  </w:pPr>
                </w:p>
              </w:tc>
              <w:tc>
                <w:tcPr>
                  <w:tcW w:w="1489" w:type="dxa"/>
                  <w:tcBorders>
                    <w:tl2br w:val="nil"/>
                    <w:tr2bl w:val="nil"/>
                  </w:tcBorders>
                  <w:noWrap w:val="0"/>
                  <w:vAlign w:val="center"/>
                </w:tcPr>
                <w:p w14:paraId="7D7E1A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bCs/>
                      <w:color w:val="auto"/>
                      <w:kern w:val="2"/>
                      <w:sz w:val="21"/>
                      <w:szCs w:val="21"/>
                      <w:lang w:val="en-US" w:eastAsia="zh-CN"/>
                    </w:rPr>
                    <w:t>2-4</w:t>
                  </w:r>
                </w:p>
              </w:tc>
              <w:tc>
                <w:tcPr>
                  <w:tcW w:w="1346" w:type="dxa"/>
                  <w:tcBorders>
                    <w:tl2br w:val="nil"/>
                    <w:tr2bl w:val="nil"/>
                  </w:tcBorders>
                  <w:noWrap w:val="0"/>
                  <w:vAlign w:val="center"/>
                </w:tcPr>
                <w:p w14:paraId="56DDEA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6" w:type="dxa"/>
                  <w:tcBorders>
                    <w:tl2br w:val="nil"/>
                    <w:tr2bl w:val="nil"/>
                  </w:tcBorders>
                  <w:noWrap w:val="0"/>
                  <w:vAlign w:val="center"/>
                </w:tcPr>
                <w:p w14:paraId="24FDFF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7" w:type="dxa"/>
                  <w:tcBorders>
                    <w:tl2br w:val="nil"/>
                    <w:tr2bl w:val="nil"/>
                  </w:tcBorders>
                  <w:noWrap w:val="0"/>
                  <w:vAlign w:val="center"/>
                </w:tcPr>
                <w:p w14:paraId="7A6450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Ⅱ</w:t>
                  </w:r>
                </w:p>
              </w:tc>
            </w:tr>
            <w:tr w14:paraId="7EE9AC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273184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p>
              </w:tc>
              <w:tc>
                <w:tcPr>
                  <w:tcW w:w="1778" w:type="dxa"/>
                  <w:vMerge w:val="continue"/>
                  <w:tcBorders>
                    <w:tl2br w:val="nil"/>
                    <w:tr2bl w:val="nil"/>
                  </w:tcBorders>
                  <w:noWrap w:val="0"/>
                  <w:vAlign w:val="center"/>
                </w:tcPr>
                <w:p w14:paraId="2E7AD6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p>
              </w:tc>
              <w:tc>
                <w:tcPr>
                  <w:tcW w:w="1489" w:type="dxa"/>
                  <w:tcBorders>
                    <w:tl2br w:val="nil"/>
                    <w:tr2bl w:val="nil"/>
                  </w:tcBorders>
                  <w:noWrap w:val="0"/>
                  <w:vAlign w:val="center"/>
                </w:tcPr>
                <w:p w14:paraId="7D2136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≤2</w:t>
                  </w:r>
                </w:p>
              </w:tc>
              <w:tc>
                <w:tcPr>
                  <w:tcW w:w="1346" w:type="dxa"/>
                  <w:tcBorders>
                    <w:tl2br w:val="nil"/>
                    <w:tr2bl w:val="nil"/>
                  </w:tcBorders>
                  <w:noWrap w:val="0"/>
                  <w:vAlign w:val="center"/>
                </w:tcPr>
                <w:p w14:paraId="5805DB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6" w:type="dxa"/>
                  <w:tcBorders>
                    <w:tl2br w:val="nil"/>
                    <w:tr2bl w:val="nil"/>
                  </w:tcBorders>
                  <w:noWrap w:val="0"/>
                  <w:vAlign w:val="center"/>
                </w:tcPr>
                <w:p w14:paraId="032E55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7" w:type="dxa"/>
                  <w:tcBorders>
                    <w:tl2br w:val="nil"/>
                    <w:tr2bl w:val="nil"/>
                  </w:tcBorders>
                  <w:noWrap w:val="0"/>
                  <w:vAlign w:val="center"/>
                </w:tcPr>
                <w:p w14:paraId="62181D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Ⅱ</w:t>
                  </w:r>
                </w:p>
              </w:tc>
            </w:tr>
            <w:tr w14:paraId="690EE7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0DB4824C">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lang w:val="en-US" w:eastAsia="zh-CN"/>
                    </w:rPr>
                  </w:pPr>
                </w:p>
              </w:tc>
              <w:tc>
                <w:tcPr>
                  <w:tcW w:w="1778" w:type="dxa"/>
                  <w:vMerge w:val="restart"/>
                  <w:tcBorders>
                    <w:tl2br w:val="nil"/>
                    <w:tr2bl w:val="nil"/>
                  </w:tcBorders>
                  <w:noWrap w:val="0"/>
                  <w:vAlign w:val="center"/>
                </w:tcPr>
                <w:p w14:paraId="2B74BA74">
                  <w:pPr>
                    <w:keepNext w:val="0"/>
                    <w:keepLines w:val="0"/>
                    <w:pageBreakBefore w:val="0"/>
                    <w:widowControl/>
                    <w:suppressLineNumbers w:val="0"/>
                    <w:kinsoku/>
                    <w:wordWrap/>
                    <w:overflowPunct/>
                    <w:topLinePunct w:val="0"/>
                    <w:autoSpaceDE/>
                    <w:autoSpaceDN/>
                    <w:bidi w:val="0"/>
                    <w:adjustRightInd/>
                    <w:snapToGrid/>
                    <w:spacing w:before="0" w:after="0" w:line="480" w:lineRule="exact"/>
                    <w:ind w:left="0" w:leftChars="0" w:right="0" w:rightChars="0" w:firstLine="0" w:firstLineChars="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val="0"/>
                      <w:color w:val="auto"/>
                      <w:spacing w:val="0"/>
                      <w:kern w:val="2"/>
                      <w:sz w:val="21"/>
                      <w:szCs w:val="21"/>
                      <w:lang w:val="en-US" w:eastAsia="zh-CN"/>
                    </w:rPr>
                    <w:t>300-10000</w:t>
                  </w:r>
                </w:p>
              </w:tc>
              <w:tc>
                <w:tcPr>
                  <w:tcW w:w="1489" w:type="dxa"/>
                  <w:tcBorders>
                    <w:tl2br w:val="nil"/>
                    <w:tr2bl w:val="nil"/>
                  </w:tcBorders>
                  <w:noWrap w:val="0"/>
                  <w:vAlign w:val="center"/>
                </w:tcPr>
                <w:p w14:paraId="17EF5E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≥4</w:t>
                  </w:r>
                </w:p>
              </w:tc>
              <w:tc>
                <w:tcPr>
                  <w:tcW w:w="1346" w:type="dxa"/>
                  <w:tcBorders>
                    <w:tl2br w:val="nil"/>
                    <w:tr2bl w:val="nil"/>
                  </w:tcBorders>
                  <w:noWrap w:val="0"/>
                  <w:vAlign w:val="center"/>
                </w:tcPr>
                <w:p w14:paraId="309B600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Ⅰ</w:t>
                  </w:r>
                </w:p>
              </w:tc>
              <w:tc>
                <w:tcPr>
                  <w:tcW w:w="1056" w:type="dxa"/>
                  <w:tcBorders>
                    <w:tl2br w:val="nil"/>
                    <w:tr2bl w:val="nil"/>
                  </w:tcBorders>
                  <w:noWrap w:val="0"/>
                  <w:vAlign w:val="center"/>
                </w:tcPr>
                <w:p w14:paraId="638DB7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7" w:type="dxa"/>
                  <w:tcBorders>
                    <w:tl2br w:val="nil"/>
                    <w:tr2bl w:val="nil"/>
                  </w:tcBorders>
                  <w:noWrap w:val="0"/>
                  <w:vAlign w:val="center"/>
                </w:tcPr>
                <w:p w14:paraId="1E560D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Ⅱ</w:t>
                  </w:r>
                </w:p>
              </w:tc>
            </w:tr>
            <w:tr w14:paraId="411B0A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38105F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rPr>
                  </w:pPr>
                </w:p>
              </w:tc>
              <w:tc>
                <w:tcPr>
                  <w:tcW w:w="1778" w:type="dxa"/>
                  <w:vMerge w:val="continue"/>
                  <w:tcBorders>
                    <w:tl2br w:val="nil"/>
                    <w:tr2bl w:val="nil"/>
                  </w:tcBorders>
                  <w:noWrap w:val="0"/>
                  <w:vAlign w:val="center"/>
                </w:tcPr>
                <w:p w14:paraId="2E67E4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rPr>
                  </w:pPr>
                </w:p>
              </w:tc>
              <w:tc>
                <w:tcPr>
                  <w:tcW w:w="1489" w:type="dxa"/>
                  <w:tcBorders>
                    <w:tl2br w:val="nil"/>
                    <w:tr2bl w:val="nil"/>
                  </w:tcBorders>
                  <w:noWrap w:val="0"/>
                  <w:vAlign w:val="center"/>
                </w:tcPr>
                <w:p w14:paraId="7CF03B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bCs/>
                      <w:color w:val="auto"/>
                      <w:kern w:val="2"/>
                      <w:sz w:val="21"/>
                      <w:szCs w:val="21"/>
                      <w:lang w:val="en-US" w:eastAsia="zh-CN"/>
                    </w:rPr>
                    <w:t>2-4</w:t>
                  </w:r>
                </w:p>
              </w:tc>
              <w:tc>
                <w:tcPr>
                  <w:tcW w:w="1346" w:type="dxa"/>
                  <w:tcBorders>
                    <w:tl2br w:val="nil"/>
                    <w:tr2bl w:val="nil"/>
                  </w:tcBorders>
                  <w:noWrap w:val="0"/>
                  <w:vAlign w:val="center"/>
                </w:tcPr>
                <w:p w14:paraId="69B4A1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6" w:type="dxa"/>
                  <w:tcBorders>
                    <w:tl2br w:val="nil"/>
                    <w:tr2bl w:val="nil"/>
                  </w:tcBorders>
                  <w:noWrap w:val="0"/>
                  <w:vAlign w:val="center"/>
                </w:tcPr>
                <w:p w14:paraId="4E629E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7" w:type="dxa"/>
                  <w:tcBorders>
                    <w:tl2br w:val="nil"/>
                    <w:tr2bl w:val="nil"/>
                  </w:tcBorders>
                  <w:noWrap w:val="0"/>
                  <w:vAlign w:val="center"/>
                </w:tcPr>
                <w:p w14:paraId="078F44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Ⅱ</w:t>
                  </w:r>
                </w:p>
              </w:tc>
            </w:tr>
            <w:tr w14:paraId="2BF9F1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286769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p>
              </w:tc>
              <w:tc>
                <w:tcPr>
                  <w:tcW w:w="1778" w:type="dxa"/>
                  <w:vMerge w:val="continue"/>
                  <w:tcBorders>
                    <w:tl2br w:val="nil"/>
                    <w:tr2bl w:val="nil"/>
                  </w:tcBorders>
                  <w:noWrap w:val="0"/>
                  <w:vAlign w:val="center"/>
                </w:tcPr>
                <w:p w14:paraId="1FC1CC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p>
              </w:tc>
              <w:tc>
                <w:tcPr>
                  <w:tcW w:w="1489" w:type="dxa"/>
                  <w:tcBorders>
                    <w:tl2br w:val="nil"/>
                    <w:tr2bl w:val="nil"/>
                  </w:tcBorders>
                  <w:noWrap w:val="0"/>
                  <w:vAlign w:val="center"/>
                </w:tcPr>
                <w:p w14:paraId="56D999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≤2</w:t>
                  </w:r>
                </w:p>
              </w:tc>
              <w:tc>
                <w:tcPr>
                  <w:tcW w:w="1346" w:type="dxa"/>
                  <w:tcBorders>
                    <w:tl2br w:val="nil"/>
                    <w:tr2bl w:val="nil"/>
                  </w:tcBorders>
                  <w:noWrap w:val="0"/>
                  <w:vAlign w:val="center"/>
                </w:tcPr>
                <w:p w14:paraId="4CB887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6" w:type="dxa"/>
                  <w:tcBorders>
                    <w:tl2br w:val="nil"/>
                    <w:tr2bl w:val="nil"/>
                  </w:tcBorders>
                  <w:noWrap w:val="0"/>
                  <w:vAlign w:val="center"/>
                </w:tcPr>
                <w:p w14:paraId="78C41A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7" w:type="dxa"/>
                  <w:tcBorders>
                    <w:tl2br w:val="nil"/>
                    <w:tr2bl w:val="nil"/>
                  </w:tcBorders>
                  <w:noWrap w:val="0"/>
                  <w:vAlign w:val="center"/>
                </w:tcPr>
                <w:p w14:paraId="2A423A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Ⅱ</w:t>
                  </w:r>
                </w:p>
              </w:tc>
            </w:tr>
            <w:tr w14:paraId="04E63A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16E32040">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lang w:val="en-US" w:eastAsia="zh-CN"/>
                    </w:rPr>
                  </w:pPr>
                </w:p>
              </w:tc>
              <w:tc>
                <w:tcPr>
                  <w:tcW w:w="1778" w:type="dxa"/>
                  <w:vMerge w:val="restart"/>
                  <w:tcBorders>
                    <w:tl2br w:val="nil"/>
                    <w:tr2bl w:val="nil"/>
                  </w:tcBorders>
                  <w:noWrap w:val="0"/>
                  <w:vAlign w:val="center"/>
                </w:tcPr>
                <w:p w14:paraId="09950329">
                  <w:pPr>
                    <w:keepNext w:val="0"/>
                    <w:keepLines w:val="0"/>
                    <w:pageBreakBefore w:val="0"/>
                    <w:widowControl/>
                    <w:suppressLineNumbers w:val="0"/>
                    <w:kinsoku/>
                    <w:wordWrap/>
                    <w:overflowPunct/>
                    <w:topLinePunct w:val="0"/>
                    <w:autoSpaceDE/>
                    <w:autoSpaceDN/>
                    <w:bidi w:val="0"/>
                    <w:adjustRightInd/>
                    <w:snapToGrid/>
                    <w:spacing w:before="0" w:after="0" w:line="480" w:lineRule="exact"/>
                    <w:ind w:left="0" w:leftChars="0" w:right="0" w:rightChars="0" w:firstLine="0" w:firstLineChars="0"/>
                    <w:jc w:val="center"/>
                    <w:textAlignment w:val="center"/>
                    <w:rPr>
                      <w:rFonts w:hint="default" w:ascii="Times New Roman" w:hAnsi="Times New Roman" w:eastAsia="宋体" w:cs="Times New Roman"/>
                      <w:bCs w:val="0"/>
                      <w:color w:val="auto"/>
                      <w:spacing w:val="0"/>
                      <w:kern w:val="2"/>
                      <w:sz w:val="21"/>
                      <w:szCs w:val="21"/>
                      <w:lang w:val="en-US" w:eastAsia="zh-CN"/>
                    </w:rPr>
                  </w:pPr>
                  <w:r>
                    <w:rPr>
                      <w:rFonts w:hint="default" w:ascii="Times New Roman" w:hAnsi="Times New Roman" w:eastAsia="宋体" w:cs="Times New Roman"/>
                      <w:color w:val="auto"/>
                      <w:kern w:val="2"/>
                      <w:sz w:val="21"/>
                      <w:szCs w:val="21"/>
                      <w:lang w:val="en-US" w:eastAsia="zh-CN"/>
                    </w:rPr>
                    <w:t>≤300</w:t>
                  </w:r>
                </w:p>
              </w:tc>
              <w:tc>
                <w:tcPr>
                  <w:tcW w:w="1489" w:type="dxa"/>
                  <w:tcBorders>
                    <w:tl2br w:val="nil"/>
                    <w:tr2bl w:val="nil"/>
                  </w:tcBorders>
                  <w:noWrap w:val="0"/>
                  <w:vAlign w:val="center"/>
                </w:tcPr>
                <w:p w14:paraId="09BE3B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≥4</w:t>
                  </w:r>
                </w:p>
              </w:tc>
              <w:tc>
                <w:tcPr>
                  <w:tcW w:w="1346" w:type="dxa"/>
                  <w:tcBorders>
                    <w:tl2br w:val="nil"/>
                    <w:tr2bl w:val="nil"/>
                  </w:tcBorders>
                  <w:noWrap w:val="0"/>
                  <w:vAlign w:val="center"/>
                </w:tcPr>
                <w:p w14:paraId="528E61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6" w:type="dxa"/>
                  <w:tcBorders>
                    <w:tl2br w:val="nil"/>
                    <w:tr2bl w:val="nil"/>
                  </w:tcBorders>
                  <w:noWrap w:val="0"/>
                  <w:vAlign w:val="center"/>
                </w:tcPr>
                <w:p w14:paraId="257061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7" w:type="dxa"/>
                  <w:tcBorders>
                    <w:tl2br w:val="nil"/>
                    <w:tr2bl w:val="nil"/>
                  </w:tcBorders>
                  <w:noWrap w:val="0"/>
                  <w:vAlign w:val="center"/>
                </w:tcPr>
                <w:p w14:paraId="274E96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Ⅱ</w:t>
                  </w:r>
                </w:p>
              </w:tc>
            </w:tr>
            <w:tr w14:paraId="44E233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166D05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rPr>
                  </w:pPr>
                </w:p>
              </w:tc>
              <w:tc>
                <w:tcPr>
                  <w:tcW w:w="1778" w:type="dxa"/>
                  <w:vMerge w:val="continue"/>
                  <w:tcBorders>
                    <w:tl2br w:val="nil"/>
                    <w:tr2bl w:val="nil"/>
                  </w:tcBorders>
                  <w:noWrap w:val="0"/>
                  <w:vAlign w:val="center"/>
                </w:tcPr>
                <w:p w14:paraId="1E6184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rPr>
                  </w:pPr>
                </w:p>
              </w:tc>
              <w:tc>
                <w:tcPr>
                  <w:tcW w:w="1489" w:type="dxa"/>
                  <w:tcBorders>
                    <w:tl2br w:val="nil"/>
                    <w:tr2bl w:val="nil"/>
                  </w:tcBorders>
                  <w:noWrap w:val="0"/>
                  <w:vAlign w:val="center"/>
                </w:tcPr>
                <w:p w14:paraId="3C7159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bCs/>
                      <w:color w:val="auto"/>
                      <w:kern w:val="2"/>
                      <w:sz w:val="21"/>
                      <w:szCs w:val="21"/>
                      <w:lang w:val="en-US" w:eastAsia="zh-CN"/>
                    </w:rPr>
                    <w:t>2-4</w:t>
                  </w:r>
                </w:p>
              </w:tc>
              <w:tc>
                <w:tcPr>
                  <w:tcW w:w="1346" w:type="dxa"/>
                  <w:tcBorders>
                    <w:tl2br w:val="nil"/>
                    <w:tr2bl w:val="nil"/>
                  </w:tcBorders>
                  <w:noWrap w:val="0"/>
                  <w:vAlign w:val="center"/>
                </w:tcPr>
                <w:p w14:paraId="1A46EC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6" w:type="dxa"/>
                  <w:tcBorders>
                    <w:tl2br w:val="nil"/>
                    <w:tr2bl w:val="nil"/>
                  </w:tcBorders>
                  <w:noWrap w:val="0"/>
                  <w:vAlign w:val="center"/>
                </w:tcPr>
                <w:p w14:paraId="4BA883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Ⅱ</w:t>
                  </w:r>
                </w:p>
              </w:tc>
              <w:tc>
                <w:tcPr>
                  <w:tcW w:w="1057" w:type="dxa"/>
                  <w:tcBorders>
                    <w:tl2br w:val="nil"/>
                    <w:tr2bl w:val="nil"/>
                  </w:tcBorders>
                  <w:noWrap w:val="0"/>
                  <w:vAlign w:val="center"/>
                </w:tcPr>
                <w:p w14:paraId="3A75B8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Ⅱ</w:t>
                  </w:r>
                </w:p>
              </w:tc>
            </w:tr>
            <w:tr w14:paraId="44892B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7E4C194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p>
              </w:tc>
              <w:tc>
                <w:tcPr>
                  <w:tcW w:w="1778" w:type="dxa"/>
                  <w:vMerge w:val="continue"/>
                  <w:tcBorders>
                    <w:tl2br w:val="nil"/>
                    <w:tr2bl w:val="nil"/>
                  </w:tcBorders>
                  <w:noWrap w:val="0"/>
                  <w:vAlign w:val="center"/>
                </w:tcPr>
                <w:p w14:paraId="69F402C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p>
              </w:tc>
              <w:tc>
                <w:tcPr>
                  <w:tcW w:w="1489" w:type="dxa"/>
                  <w:tcBorders>
                    <w:tl2br w:val="nil"/>
                    <w:tr2bl w:val="nil"/>
                  </w:tcBorders>
                  <w:noWrap w:val="0"/>
                  <w:vAlign w:val="center"/>
                </w:tcPr>
                <w:p w14:paraId="317F58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≤2</w:t>
                  </w:r>
                </w:p>
              </w:tc>
              <w:tc>
                <w:tcPr>
                  <w:tcW w:w="1346" w:type="dxa"/>
                  <w:tcBorders>
                    <w:tl2br w:val="nil"/>
                    <w:tr2bl w:val="nil"/>
                  </w:tcBorders>
                  <w:noWrap w:val="0"/>
                  <w:vAlign w:val="center"/>
                </w:tcPr>
                <w:p w14:paraId="78ED28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6" w:type="dxa"/>
                  <w:tcBorders>
                    <w:tl2br w:val="nil"/>
                    <w:tr2bl w:val="nil"/>
                  </w:tcBorders>
                  <w:noWrap w:val="0"/>
                  <w:vAlign w:val="center"/>
                </w:tcPr>
                <w:p w14:paraId="5E60D8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Ⅱ</w:t>
                  </w:r>
                </w:p>
              </w:tc>
              <w:tc>
                <w:tcPr>
                  <w:tcW w:w="1057" w:type="dxa"/>
                  <w:tcBorders>
                    <w:tl2br w:val="nil"/>
                    <w:tr2bl w:val="nil"/>
                  </w:tcBorders>
                  <w:noWrap w:val="0"/>
                  <w:vAlign w:val="center"/>
                </w:tcPr>
                <w:p w14:paraId="127D3D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Ⅱ</w:t>
                  </w:r>
                </w:p>
              </w:tc>
            </w:tr>
            <w:tr w14:paraId="591DF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restart"/>
                  <w:tcBorders>
                    <w:tl2br w:val="nil"/>
                    <w:tr2bl w:val="nil"/>
                  </w:tcBorders>
                  <w:noWrap w:val="0"/>
                  <w:vAlign w:val="center"/>
                </w:tcPr>
                <w:p w14:paraId="3E6F0315">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一般控制区</w:t>
                  </w:r>
                </w:p>
              </w:tc>
              <w:tc>
                <w:tcPr>
                  <w:tcW w:w="1778" w:type="dxa"/>
                  <w:vMerge w:val="restart"/>
                  <w:tcBorders>
                    <w:tl2br w:val="nil"/>
                    <w:tr2bl w:val="nil"/>
                  </w:tcBorders>
                  <w:noWrap w:val="0"/>
                  <w:vAlign w:val="center"/>
                </w:tcPr>
                <w:p w14:paraId="7D04052A">
                  <w:pPr>
                    <w:keepNext w:val="0"/>
                    <w:keepLines w:val="0"/>
                    <w:pageBreakBefore w:val="0"/>
                    <w:widowControl/>
                    <w:suppressLineNumbers w:val="0"/>
                    <w:kinsoku/>
                    <w:wordWrap/>
                    <w:overflowPunct/>
                    <w:topLinePunct w:val="0"/>
                    <w:autoSpaceDE/>
                    <w:autoSpaceDN/>
                    <w:bidi w:val="0"/>
                    <w:adjustRightInd/>
                    <w:snapToGrid/>
                    <w:spacing w:before="0" w:after="0" w:line="480" w:lineRule="exact"/>
                    <w:ind w:left="0" w:leftChars="0" w:right="0" w:rightChars="0" w:firstLine="0" w:firstLineChars="0"/>
                    <w:jc w:val="center"/>
                    <w:textAlignment w:val="center"/>
                    <w:rPr>
                      <w:rFonts w:hint="default" w:ascii="Times New Roman" w:hAnsi="Times New Roman" w:eastAsia="宋体" w:cs="Times New Roman"/>
                      <w:bCs w:val="0"/>
                      <w:color w:val="auto"/>
                      <w:spacing w:val="0"/>
                      <w:kern w:val="2"/>
                      <w:sz w:val="21"/>
                      <w:szCs w:val="21"/>
                      <w:lang w:val="en-US" w:eastAsia="zh-CN"/>
                    </w:rPr>
                  </w:pPr>
                  <w:r>
                    <w:rPr>
                      <w:rFonts w:hint="default" w:ascii="Times New Roman" w:hAnsi="Times New Roman" w:eastAsia="宋体" w:cs="Times New Roman"/>
                      <w:color w:val="auto"/>
                      <w:kern w:val="2"/>
                      <w:sz w:val="21"/>
                      <w:szCs w:val="21"/>
                      <w:lang w:val="en-US" w:eastAsia="zh-CN"/>
                    </w:rPr>
                    <w:t>≥10000</w:t>
                  </w:r>
                </w:p>
              </w:tc>
              <w:tc>
                <w:tcPr>
                  <w:tcW w:w="1489" w:type="dxa"/>
                  <w:tcBorders>
                    <w:tl2br w:val="nil"/>
                    <w:tr2bl w:val="nil"/>
                  </w:tcBorders>
                  <w:noWrap w:val="0"/>
                  <w:vAlign w:val="center"/>
                </w:tcPr>
                <w:p w14:paraId="316292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≥4</w:t>
                  </w:r>
                </w:p>
              </w:tc>
              <w:tc>
                <w:tcPr>
                  <w:tcW w:w="1346" w:type="dxa"/>
                  <w:tcBorders>
                    <w:tl2br w:val="nil"/>
                    <w:tr2bl w:val="nil"/>
                  </w:tcBorders>
                  <w:noWrap w:val="0"/>
                  <w:vAlign w:val="center"/>
                </w:tcPr>
                <w:p w14:paraId="02B8B1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6" w:type="dxa"/>
                  <w:tcBorders>
                    <w:tl2br w:val="nil"/>
                    <w:tr2bl w:val="nil"/>
                  </w:tcBorders>
                  <w:noWrap w:val="0"/>
                  <w:vAlign w:val="center"/>
                </w:tcPr>
                <w:p w14:paraId="7F361A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7" w:type="dxa"/>
                  <w:tcBorders>
                    <w:tl2br w:val="nil"/>
                    <w:tr2bl w:val="nil"/>
                  </w:tcBorders>
                  <w:noWrap w:val="0"/>
                  <w:vAlign w:val="center"/>
                </w:tcPr>
                <w:p w14:paraId="252997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Ⅱ</w:t>
                  </w:r>
                </w:p>
              </w:tc>
            </w:tr>
            <w:tr w14:paraId="230B8C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2F0333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rPr>
                  </w:pPr>
                </w:p>
              </w:tc>
              <w:tc>
                <w:tcPr>
                  <w:tcW w:w="1778" w:type="dxa"/>
                  <w:vMerge w:val="continue"/>
                  <w:tcBorders>
                    <w:tl2br w:val="nil"/>
                    <w:tr2bl w:val="nil"/>
                  </w:tcBorders>
                  <w:noWrap w:val="0"/>
                  <w:vAlign w:val="center"/>
                </w:tcPr>
                <w:p w14:paraId="4B365BC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rPr>
                  </w:pPr>
                </w:p>
              </w:tc>
              <w:tc>
                <w:tcPr>
                  <w:tcW w:w="1489" w:type="dxa"/>
                  <w:tcBorders>
                    <w:tl2br w:val="nil"/>
                    <w:tr2bl w:val="nil"/>
                  </w:tcBorders>
                  <w:noWrap w:val="0"/>
                  <w:vAlign w:val="center"/>
                </w:tcPr>
                <w:p w14:paraId="7A38CE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bCs/>
                      <w:color w:val="auto"/>
                      <w:kern w:val="2"/>
                      <w:sz w:val="21"/>
                      <w:szCs w:val="21"/>
                      <w:lang w:val="en-US" w:eastAsia="zh-CN"/>
                    </w:rPr>
                    <w:t>2-4</w:t>
                  </w:r>
                </w:p>
              </w:tc>
              <w:tc>
                <w:tcPr>
                  <w:tcW w:w="1346" w:type="dxa"/>
                  <w:tcBorders>
                    <w:tl2br w:val="nil"/>
                    <w:tr2bl w:val="nil"/>
                  </w:tcBorders>
                  <w:noWrap w:val="0"/>
                  <w:vAlign w:val="center"/>
                </w:tcPr>
                <w:p w14:paraId="0AAE68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6" w:type="dxa"/>
                  <w:tcBorders>
                    <w:tl2br w:val="nil"/>
                    <w:tr2bl w:val="nil"/>
                  </w:tcBorders>
                  <w:noWrap w:val="0"/>
                  <w:vAlign w:val="center"/>
                </w:tcPr>
                <w:p w14:paraId="308A1C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7" w:type="dxa"/>
                  <w:tcBorders>
                    <w:tl2br w:val="nil"/>
                    <w:tr2bl w:val="nil"/>
                  </w:tcBorders>
                  <w:noWrap w:val="0"/>
                  <w:vAlign w:val="center"/>
                </w:tcPr>
                <w:p w14:paraId="3AB6C9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Ⅱ</w:t>
                  </w:r>
                </w:p>
              </w:tc>
            </w:tr>
            <w:tr w14:paraId="2C6AC2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269275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p>
              </w:tc>
              <w:tc>
                <w:tcPr>
                  <w:tcW w:w="1778" w:type="dxa"/>
                  <w:vMerge w:val="continue"/>
                  <w:tcBorders>
                    <w:tl2br w:val="nil"/>
                    <w:tr2bl w:val="nil"/>
                  </w:tcBorders>
                  <w:noWrap w:val="0"/>
                  <w:vAlign w:val="center"/>
                </w:tcPr>
                <w:p w14:paraId="3407BC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p>
              </w:tc>
              <w:tc>
                <w:tcPr>
                  <w:tcW w:w="1489" w:type="dxa"/>
                  <w:tcBorders>
                    <w:tl2br w:val="nil"/>
                    <w:tr2bl w:val="nil"/>
                  </w:tcBorders>
                  <w:noWrap w:val="0"/>
                  <w:vAlign w:val="center"/>
                </w:tcPr>
                <w:p w14:paraId="058A79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≤2</w:t>
                  </w:r>
                </w:p>
              </w:tc>
              <w:tc>
                <w:tcPr>
                  <w:tcW w:w="1346" w:type="dxa"/>
                  <w:tcBorders>
                    <w:tl2br w:val="nil"/>
                    <w:tr2bl w:val="nil"/>
                  </w:tcBorders>
                  <w:noWrap w:val="0"/>
                  <w:vAlign w:val="center"/>
                </w:tcPr>
                <w:p w14:paraId="624C2F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6" w:type="dxa"/>
                  <w:tcBorders>
                    <w:tl2br w:val="nil"/>
                    <w:tr2bl w:val="nil"/>
                  </w:tcBorders>
                  <w:noWrap w:val="0"/>
                  <w:vAlign w:val="center"/>
                </w:tcPr>
                <w:p w14:paraId="2B882A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7" w:type="dxa"/>
                  <w:tcBorders>
                    <w:tl2br w:val="nil"/>
                    <w:tr2bl w:val="nil"/>
                  </w:tcBorders>
                  <w:noWrap w:val="0"/>
                  <w:vAlign w:val="center"/>
                </w:tcPr>
                <w:p w14:paraId="46C1BD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Ⅱ</w:t>
                  </w:r>
                </w:p>
              </w:tc>
            </w:tr>
            <w:tr w14:paraId="184AFA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612E015F">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lang w:val="en-US" w:eastAsia="zh-CN"/>
                    </w:rPr>
                  </w:pPr>
                </w:p>
              </w:tc>
              <w:tc>
                <w:tcPr>
                  <w:tcW w:w="1778" w:type="dxa"/>
                  <w:vMerge w:val="restart"/>
                  <w:tcBorders>
                    <w:tl2br w:val="nil"/>
                    <w:tr2bl w:val="nil"/>
                  </w:tcBorders>
                  <w:noWrap w:val="0"/>
                  <w:vAlign w:val="center"/>
                </w:tcPr>
                <w:p w14:paraId="17046A36">
                  <w:pPr>
                    <w:keepNext w:val="0"/>
                    <w:keepLines w:val="0"/>
                    <w:pageBreakBefore w:val="0"/>
                    <w:widowControl/>
                    <w:suppressLineNumbers w:val="0"/>
                    <w:kinsoku/>
                    <w:wordWrap/>
                    <w:overflowPunct/>
                    <w:topLinePunct w:val="0"/>
                    <w:autoSpaceDE/>
                    <w:autoSpaceDN/>
                    <w:bidi w:val="0"/>
                    <w:adjustRightInd/>
                    <w:snapToGrid/>
                    <w:spacing w:before="0" w:after="0" w:line="480" w:lineRule="exact"/>
                    <w:ind w:left="0" w:leftChars="0" w:right="0" w:rightChars="0" w:firstLine="0" w:firstLineChars="0"/>
                    <w:jc w:val="center"/>
                    <w:textAlignment w:val="center"/>
                    <w:rPr>
                      <w:rFonts w:hint="default" w:ascii="Times New Roman" w:hAnsi="Times New Roman" w:eastAsia="宋体" w:cs="Times New Roman"/>
                      <w:bCs w:val="0"/>
                      <w:color w:val="auto"/>
                      <w:spacing w:val="0"/>
                      <w:kern w:val="2"/>
                      <w:sz w:val="21"/>
                      <w:szCs w:val="21"/>
                      <w:lang w:val="en-US" w:eastAsia="zh-CN"/>
                    </w:rPr>
                  </w:pPr>
                  <w:r>
                    <w:rPr>
                      <w:rFonts w:hint="default" w:ascii="Times New Roman" w:hAnsi="Times New Roman" w:eastAsia="宋体" w:cs="Times New Roman"/>
                      <w:bCs w:val="0"/>
                      <w:color w:val="auto"/>
                      <w:spacing w:val="0"/>
                      <w:kern w:val="2"/>
                      <w:sz w:val="21"/>
                      <w:szCs w:val="21"/>
                      <w:lang w:val="en-US" w:eastAsia="zh-CN"/>
                    </w:rPr>
                    <w:t>300-10000</w:t>
                  </w:r>
                </w:p>
              </w:tc>
              <w:tc>
                <w:tcPr>
                  <w:tcW w:w="1489" w:type="dxa"/>
                  <w:tcBorders>
                    <w:tl2br w:val="nil"/>
                    <w:tr2bl w:val="nil"/>
                  </w:tcBorders>
                  <w:noWrap w:val="0"/>
                  <w:vAlign w:val="center"/>
                </w:tcPr>
                <w:p w14:paraId="40BBEC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≥4</w:t>
                  </w:r>
                </w:p>
              </w:tc>
              <w:tc>
                <w:tcPr>
                  <w:tcW w:w="1346" w:type="dxa"/>
                  <w:tcBorders>
                    <w:tl2br w:val="nil"/>
                    <w:tr2bl w:val="nil"/>
                  </w:tcBorders>
                  <w:noWrap w:val="0"/>
                  <w:vAlign w:val="center"/>
                </w:tcPr>
                <w:p w14:paraId="6C2D70C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6" w:type="dxa"/>
                  <w:tcBorders>
                    <w:tl2br w:val="nil"/>
                    <w:tr2bl w:val="nil"/>
                  </w:tcBorders>
                  <w:noWrap w:val="0"/>
                  <w:vAlign w:val="center"/>
                </w:tcPr>
                <w:p w14:paraId="0900CE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7" w:type="dxa"/>
                  <w:tcBorders>
                    <w:tl2br w:val="nil"/>
                    <w:tr2bl w:val="nil"/>
                  </w:tcBorders>
                  <w:noWrap w:val="0"/>
                  <w:vAlign w:val="center"/>
                </w:tcPr>
                <w:p w14:paraId="063BB1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Ⅱ</w:t>
                  </w:r>
                </w:p>
              </w:tc>
            </w:tr>
            <w:tr w14:paraId="036B69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49E1D42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rPr>
                  </w:pPr>
                </w:p>
              </w:tc>
              <w:tc>
                <w:tcPr>
                  <w:tcW w:w="1778" w:type="dxa"/>
                  <w:vMerge w:val="continue"/>
                  <w:tcBorders>
                    <w:tl2br w:val="nil"/>
                    <w:tr2bl w:val="nil"/>
                  </w:tcBorders>
                  <w:noWrap w:val="0"/>
                  <w:vAlign w:val="center"/>
                </w:tcPr>
                <w:p w14:paraId="44AA5A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rPr>
                  </w:pPr>
                </w:p>
              </w:tc>
              <w:tc>
                <w:tcPr>
                  <w:tcW w:w="1489" w:type="dxa"/>
                  <w:tcBorders>
                    <w:tl2br w:val="nil"/>
                    <w:tr2bl w:val="nil"/>
                  </w:tcBorders>
                  <w:noWrap w:val="0"/>
                  <w:vAlign w:val="center"/>
                </w:tcPr>
                <w:p w14:paraId="71FD24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bCs/>
                      <w:color w:val="auto"/>
                      <w:kern w:val="2"/>
                      <w:sz w:val="21"/>
                      <w:szCs w:val="21"/>
                      <w:lang w:val="en-US" w:eastAsia="zh-CN"/>
                    </w:rPr>
                    <w:t>2-4</w:t>
                  </w:r>
                </w:p>
              </w:tc>
              <w:tc>
                <w:tcPr>
                  <w:tcW w:w="1346" w:type="dxa"/>
                  <w:tcBorders>
                    <w:tl2br w:val="nil"/>
                    <w:tr2bl w:val="nil"/>
                  </w:tcBorders>
                  <w:noWrap w:val="0"/>
                  <w:vAlign w:val="center"/>
                </w:tcPr>
                <w:p w14:paraId="5D9453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6" w:type="dxa"/>
                  <w:tcBorders>
                    <w:tl2br w:val="nil"/>
                    <w:tr2bl w:val="nil"/>
                  </w:tcBorders>
                  <w:noWrap w:val="0"/>
                  <w:vAlign w:val="center"/>
                </w:tcPr>
                <w:p w14:paraId="11A01D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Ⅱ</w:t>
                  </w:r>
                </w:p>
              </w:tc>
              <w:tc>
                <w:tcPr>
                  <w:tcW w:w="1057" w:type="dxa"/>
                  <w:tcBorders>
                    <w:tl2br w:val="nil"/>
                    <w:tr2bl w:val="nil"/>
                  </w:tcBorders>
                  <w:noWrap w:val="0"/>
                  <w:vAlign w:val="center"/>
                </w:tcPr>
                <w:p w14:paraId="53767B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Ⅱ</w:t>
                  </w:r>
                </w:p>
              </w:tc>
            </w:tr>
            <w:tr w14:paraId="45188F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1778" w:type="dxa"/>
                  <w:vMerge w:val="continue"/>
                  <w:tcBorders>
                    <w:tl2br w:val="nil"/>
                    <w:tr2bl w:val="nil"/>
                  </w:tcBorders>
                  <w:noWrap w:val="0"/>
                  <w:vAlign w:val="center"/>
                </w:tcPr>
                <w:p w14:paraId="4B7C1A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p>
              </w:tc>
              <w:tc>
                <w:tcPr>
                  <w:tcW w:w="1778" w:type="dxa"/>
                  <w:vMerge w:val="continue"/>
                  <w:tcBorders>
                    <w:tl2br w:val="nil"/>
                    <w:tr2bl w:val="nil"/>
                  </w:tcBorders>
                  <w:noWrap w:val="0"/>
                  <w:vAlign w:val="center"/>
                </w:tcPr>
                <w:p w14:paraId="18467FD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p>
              </w:tc>
              <w:tc>
                <w:tcPr>
                  <w:tcW w:w="1489" w:type="dxa"/>
                  <w:tcBorders>
                    <w:tl2br w:val="nil"/>
                    <w:tr2bl w:val="nil"/>
                  </w:tcBorders>
                  <w:noWrap w:val="0"/>
                  <w:vAlign w:val="center"/>
                </w:tcPr>
                <w:p w14:paraId="2C9C99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≤2</w:t>
                  </w:r>
                </w:p>
              </w:tc>
              <w:tc>
                <w:tcPr>
                  <w:tcW w:w="1346" w:type="dxa"/>
                  <w:tcBorders>
                    <w:tl2br w:val="nil"/>
                    <w:tr2bl w:val="nil"/>
                  </w:tcBorders>
                  <w:noWrap w:val="0"/>
                  <w:vAlign w:val="center"/>
                </w:tcPr>
                <w:p w14:paraId="49D358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6" w:type="dxa"/>
                  <w:tcBorders>
                    <w:tl2br w:val="nil"/>
                    <w:tr2bl w:val="nil"/>
                  </w:tcBorders>
                  <w:noWrap w:val="0"/>
                  <w:vAlign w:val="center"/>
                </w:tcPr>
                <w:p w14:paraId="390FF7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Ⅱ</w:t>
                  </w:r>
                </w:p>
              </w:tc>
              <w:tc>
                <w:tcPr>
                  <w:tcW w:w="1057" w:type="dxa"/>
                  <w:tcBorders>
                    <w:tl2br w:val="nil"/>
                    <w:tr2bl w:val="nil"/>
                  </w:tcBorders>
                  <w:noWrap w:val="0"/>
                  <w:vAlign w:val="center"/>
                </w:tcPr>
                <w:p w14:paraId="42B35D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Ⅲ</w:t>
                  </w:r>
                </w:p>
              </w:tc>
            </w:tr>
            <w:tr w14:paraId="57A4BF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1778" w:type="dxa"/>
                  <w:vMerge w:val="continue"/>
                  <w:tcBorders>
                    <w:tl2br w:val="nil"/>
                    <w:tr2bl w:val="nil"/>
                  </w:tcBorders>
                  <w:noWrap w:val="0"/>
                  <w:vAlign w:val="center"/>
                </w:tcPr>
                <w:p w14:paraId="11D66F28">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lang w:val="en-US" w:eastAsia="zh-CN"/>
                    </w:rPr>
                  </w:pPr>
                </w:p>
              </w:tc>
              <w:tc>
                <w:tcPr>
                  <w:tcW w:w="1778" w:type="dxa"/>
                  <w:vMerge w:val="restart"/>
                  <w:tcBorders>
                    <w:tl2br w:val="nil"/>
                    <w:tr2bl w:val="nil"/>
                  </w:tcBorders>
                  <w:noWrap w:val="0"/>
                  <w:vAlign w:val="center"/>
                </w:tcPr>
                <w:p w14:paraId="77839F90">
                  <w:pPr>
                    <w:keepNext w:val="0"/>
                    <w:keepLines w:val="0"/>
                    <w:pageBreakBefore w:val="0"/>
                    <w:widowControl/>
                    <w:suppressLineNumbers w:val="0"/>
                    <w:kinsoku/>
                    <w:wordWrap/>
                    <w:overflowPunct/>
                    <w:topLinePunct w:val="0"/>
                    <w:autoSpaceDE/>
                    <w:autoSpaceDN/>
                    <w:bidi w:val="0"/>
                    <w:adjustRightInd/>
                    <w:snapToGrid/>
                    <w:spacing w:before="0" w:after="0" w:line="480" w:lineRule="exact"/>
                    <w:ind w:left="0" w:leftChars="0" w:right="0" w:rightChars="0" w:firstLine="0" w:firstLineChars="0"/>
                    <w:jc w:val="center"/>
                    <w:textAlignment w:val="center"/>
                    <w:rPr>
                      <w:rFonts w:hint="default" w:ascii="Times New Roman" w:hAnsi="Times New Roman" w:eastAsia="宋体" w:cs="Times New Roman"/>
                      <w:bCs w:val="0"/>
                      <w:color w:val="auto"/>
                      <w:spacing w:val="0"/>
                      <w:kern w:val="2"/>
                      <w:sz w:val="21"/>
                      <w:szCs w:val="21"/>
                      <w:lang w:val="en-US" w:eastAsia="zh-CN"/>
                    </w:rPr>
                  </w:pPr>
                  <w:r>
                    <w:rPr>
                      <w:rFonts w:hint="default" w:ascii="Times New Roman" w:hAnsi="Times New Roman" w:eastAsia="宋体" w:cs="Times New Roman"/>
                      <w:color w:val="auto"/>
                      <w:kern w:val="2"/>
                      <w:sz w:val="21"/>
                      <w:szCs w:val="21"/>
                      <w:lang w:val="en-US" w:eastAsia="zh-CN"/>
                    </w:rPr>
                    <w:t>≤300</w:t>
                  </w:r>
                </w:p>
              </w:tc>
              <w:tc>
                <w:tcPr>
                  <w:tcW w:w="1489" w:type="dxa"/>
                  <w:tcBorders>
                    <w:tl2br w:val="nil"/>
                    <w:tr2bl w:val="nil"/>
                  </w:tcBorders>
                  <w:noWrap w:val="0"/>
                  <w:vAlign w:val="center"/>
                </w:tcPr>
                <w:p w14:paraId="457A6C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≥4</w:t>
                  </w:r>
                </w:p>
              </w:tc>
              <w:tc>
                <w:tcPr>
                  <w:tcW w:w="1346" w:type="dxa"/>
                  <w:tcBorders>
                    <w:tl2br w:val="nil"/>
                    <w:tr2bl w:val="nil"/>
                  </w:tcBorders>
                  <w:noWrap w:val="0"/>
                  <w:vAlign w:val="center"/>
                </w:tcPr>
                <w:p w14:paraId="1D0A16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6" w:type="dxa"/>
                  <w:tcBorders>
                    <w:tl2br w:val="nil"/>
                    <w:tr2bl w:val="nil"/>
                  </w:tcBorders>
                  <w:noWrap w:val="0"/>
                  <w:vAlign w:val="center"/>
                </w:tcPr>
                <w:p w14:paraId="770029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Ⅱ</w:t>
                  </w:r>
                </w:p>
              </w:tc>
              <w:tc>
                <w:tcPr>
                  <w:tcW w:w="1057" w:type="dxa"/>
                  <w:tcBorders>
                    <w:tl2br w:val="nil"/>
                    <w:tr2bl w:val="nil"/>
                  </w:tcBorders>
                  <w:noWrap w:val="0"/>
                  <w:vAlign w:val="center"/>
                </w:tcPr>
                <w:p w14:paraId="4D3296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Ⅲ</w:t>
                  </w:r>
                </w:p>
              </w:tc>
            </w:tr>
            <w:tr w14:paraId="64D214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1778" w:type="dxa"/>
                  <w:vMerge w:val="continue"/>
                  <w:tcBorders>
                    <w:tl2br w:val="nil"/>
                    <w:tr2bl w:val="nil"/>
                  </w:tcBorders>
                  <w:noWrap w:val="0"/>
                  <w:vAlign w:val="center"/>
                </w:tcPr>
                <w:p w14:paraId="283C0D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rPr>
                  </w:pPr>
                </w:p>
              </w:tc>
              <w:tc>
                <w:tcPr>
                  <w:tcW w:w="1778" w:type="dxa"/>
                  <w:vMerge w:val="continue"/>
                  <w:tcBorders>
                    <w:tl2br w:val="nil"/>
                    <w:tr2bl w:val="nil"/>
                  </w:tcBorders>
                  <w:noWrap w:val="0"/>
                  <w:vAlign w:val="center"/>
                </w:tcPr>
                <w:p w14:paraId="3B009A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rPr>
                  </w:pPr>
                </w:p>
              </w:tc>
              <w:tc>
                <w:tcPr>
                  <w:tcW w:w="1489" w:type="dxa"/>
                  <w:tcBorders>
                    <w:tl2br w:val="nil"/>
                    <w:tr2bl w:val="nil"/>
                  </w:tcBorders>
                  <w:noWrap w:val="0"/>
                  <w:vAlign w:val="center"/>
                </w:tcPr>
                <w:p w14:paraId="763B15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bCs/>
                      <w:color w:val="auto"/>
                      <w:kern w:val="2"/>
                      <w:sz w:val="21"/>
                      <w:szCs w:val="21"/>
                      <w:lang w:val="en-US" w:eastAsia="zh-CN"/>
                    </w:rPr>
                    <w:t>2-4</w:t>
                  </w:r>
                </w:p>
              </w:tc>
              <w:tc>
                <w:tcPr>
                  <w:tcW w:w="1346" w:type="dxa"/>
                  <w:tcBorders>
                    <w:tl2br w:val="nil"/>
                    <w:tr2bl w:val="nil"/>
                  </w:tcBorders>
                  <w:noWrap w:val="0"/>
                  <w:vAlign w:val="center"/>
                </w:tcPr>
                <w:p w14:paraId="1CA4F2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6" w:type="dxa"/>
                  <w:tcBorders>
                    <w:tl2br w:val="nil"/>
                    <w:tr2bl w:val="nil"/>
                  </w:tcBorders>
                  <w:noWrap w:val="0"/>
                  <w:vAlign w:val="center"/>
                </w:tcPr>
                <w:p w14:paraId="38A3D5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Ⅱ</w:t>
                  </w:r>
                </w:p>
              </w:tc>
              <w:tc>
                <w:tcPr>
                  <w:tcW w:w="1057" w:type="dxa"/>
                  <w:tcBorders>
                    <w:tl2br w:val="nil"/>
                    <w:tr2bl w:val="nil"/>
                  </w:tcBorders>
                  <w:noWrap w:val="0"/>
                  <w:vAlign w:val="center"/>
                </w:tcPr>
                <w:p w14:paraId="1AEAAC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Ⅲ</w:t>
                  </w:r>
                </w:p>
              </w:tc>
            </w:tr>
            <w:tr w14:paraId="36B337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1778" w:type="dxa"/>
                  <w:vMerge w:val="continue"/>
                  <w:tcBorders>
                    <w:tl2br w:val="nil"/>
                    <w:tr2bl w:val="nil"/>
                  </w:tcBorders>
                  <w:noWrap w:val="0"/>
                  <w:vAlign w:val="center"/>
                </w:tcPr>
                <w:p w14:paraId="4A02AC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p>
              </w:tc>
              <w:tc>
                <w:tcPr>
                  <w:tcW w:w="1778" w:type="dxa"/>
                  <w:vMerge w:val="continue"/>
                  <w:tcBorders>
                    <w:tl2br w:val="nil"/>
                    <w:tr2bl w:val="nil"/>
                  </w:tcBorders>
                  <w:noWrap w:val="0"/>
                  <w:vAlign w:val="center"/>
                </w:tcPr>
                <w:p w14:paraId="5AE5F3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p>
              </w:tc>
              <w:tc>
                <w:tcPr>
                  <w:tcW w:w="1489" w:type="dxa"/>
                  <w:tcBorders>
                    <w:tl2br w:val="nil"/>
                    <w:tr2bl w:val="nil"/>
                  </w:tcBorders>
                  <w:noWrap w:val="0"/>
                  <w:vAlign w:val="center"/>
                </w:tcPr>
                <w:p w14:paraId="0E359C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≤2</w:t>
                  </w:r>
                </w:p>
              </w:tc>
              <w:tc>
                <w:tcPr>
                  <w:tcW w:w="1346" w:type="dxa"/>
                  <w:tcBorders>
                    <w:tl2br w:val="nil"/>
                    <w:tr2bl w:val="nil"/>
                  </w:tcBorders>
                  <w:noWrap w:val="0"/>
                  <w:vAlign w:val="center"/>
                </w:tcPr>
                <w:p w14:paraId="5086B0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Ⅰ</w:t>
                  </w:r>
                </w:p>
              </w:tc>
              <w:tc>
                <w:tcPr>
                  <w:tcW w:w="1056" w:type="dxa"/>
                  <w:tcBorders>
                    <w:tl2br w:val="nil"/>
                    <w:tr2bl w:val="nil"/>
                  </w:tcBorders>
                  <w:noWrap w:val="0"/>
                  <w:vAlign w:val="center"/>
                </w:tcPr>
                <w:p w14:paraId="3920BB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Ⅱ</w:t>
                  </w:r>
                </w:p>
              </w:tc>
              <w:tc>
                <w:tcPr>
                  <w:tcW w:w="1057" w:type="dxa"/>
                  <w:tcBorders>
                    <w:tl2br w:val="nil"/>
                    <w:tr2bl w:val="nil"/>
                  </w:tcBorders>
                  <w:noWrap w:val="0"/>
                  <w:vAlign w:val="center"/>
                </w:tcPr>
                <w:p w14:paraId="3CB35C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color w:val="auto"/>
                      <w:sz w:val="21"/>
                      <w:szCs w:val="21"/>
                      <w:lang w:val="en-US" w:eastAsia="zh-CN"/>
                    </w:rPr>
                    <w:t>Ⅲ</w:t>
                  </w:r>
                </w:p>
              </w:tc>
            </w:tr>
          </w:tbl>
          <w:p w14:paraId="1722459F">
            <w:pPr>
              <w:widowControl w:val="0"/>
              <w:overflowPunct w:val="0"/>
              <w:autoSpaceDE w:val="0"/>
              <w:autoSpaceDN w:val="0"/>
              <w:adjustRightInd w:val="0"/>
              <w:snapToGrid w:val="0"/>
              <w:spacing w:before="0" w:after="0" w:line="240" w:lineRule="auto"/>
              <w:ind w:left="0" w:right="0" w:firstLine="422" w:firstLineChars="200"/>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eastAsia="宋体" w:cs="Times New Roman"/>
                <w:b/>
                <w:color w:val="auto"/>
                <w:kern w:val="2"/>
                <w:sz w:val="21"/>
                <w:szCs w:val="21"/>
                <w:highlight w:val="none"/>
                <w:lang w:val="en-US" w:eastAsia="zh-CN" w:bidi="ar-SA"/>
              </w:rPr>
              <w:t>表4.5-1</w:t>
            </w:r>
            <w:r>
              <w:rPr>
                <w:rFonts w:hint="eastAsia" w:cs="Times New Roman"/>
                <w:b/>
                <w:color w:val="auto"/>
                <w:kern w:val="2"/>
                <w:sz w:val="21"/>
                <w:szCs w:val="21"/>
                <w:highlight w:val="none"/>
                <w:lang w:val="en-US" w:eastAsia="zh-CN" w:bidi="ar-SA"/>
              </w:rPr>
              <w:t>3</w:t>
            </w:r>
            <w:r>
              <w:rPr>
                <w:rFonts w:hint="default" w:ascii="Times New Roman" w:hAnsi="Times New Roman" w:eastAsia="宋体" w:cs="Times New Roman"/>
                <w:b/>
                <w:color w:val="auto"/>
                <w:kern w:val="2"/>
                <w:sz w:val="21"/>
                <w:szCs w:val="21"/>
                <w:highlight w:val="none"/>
                <w:lang w:val="en-US" w:eastAsia="zh-CN" w:bidi="ar-SA"/>
              </w:rPr>
              <w:t>工业料堆场扬尘防治方案选择参考表</w:t>
            </w:r>
          </w:p>
          <w:tbl>
            <w:tblPr>
              <w:tblStyle w:val="22"/>
              <w:tblW w:w="8504"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2344"/>
              <w:gridCol w:w="3246"/>
              <w:gridCol w:w="2914"/>
            </w:tblGrid>
            <w:tr w14:paraId="08DC9D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tcBorders>
                    <w:left w:val="single" w:color="000000" w:sz="12" w:space="0"/>
                  </w:tcBorders>
                  <w:noWrap w:val="0"/>
                  <w:vAlign w:val="center"/>
                </w:tcPr>
                <w:p w14:paraId="63610793">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lang w:val="en-US"/>
                    </w:rPr>
                  </w:pPr>
                  <w:r>
                    <w:rPr>
                      <w:rFonts w:hint="default" w:ascii="Times New Roman" w:hAnsi="Times New Roman" w:eastAsia="宋体" w:cs="Times New Roman"/>
                      <w:color w:val="auto"/>
                      <w:kern w:val="2"/>
                      <w:sz w:val="21"/>
                      <w:szCs w:val="21"/>
                      <w:lang w:val="en-US" w:eastAsia="zh-CN"/>
                    </w:rPr>
                    <w:t>工业料堆场类型</w:t>
                  </w:r>
                </w:p>
              </w:tc>
              <w:tc>
                <w:tcPr>
                  <w:tcW w:w="6160" w:type="dxa"/>
                  <w:gridSpan w:val="2"/>
                  <w:tcBorders>
                    <w:right w:val="single" w:color="000000" w:sz="12" w:space="0"/>
                  </w:tcBorders>
                  <w:noWrap w:val="0"/>
                  <w:vAlign w:val="center"/>
                </w:tcPr>
                <w:p w14:paraId="4F913DD1">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lang w:val="en-US" w:eastAsia="zh-CN"/>
                    </w:rPr>
                    <w:t>方案</w:t>
                  </w:r>
                </w:p>
              </w:tc>
            </w:tr>
            <w:tr w14:paraId="0CCB79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vMerge w:val="restart"/>
                  <w:tcBorders>
                    <w:left w:val="single" w:color="000000" w:sz="12" w:space="0"/>
                  </w:tcBorders>
                  <w:noWrap w:val="0"/>
                  <w:vAlign w:val="center"/>
                </w:tcPr>
                <w:p w14:paraId="148B192F">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sz w:val="21"/>
                      <w:szCs w:val="21"/>
                      <w:lang w:val="en-US" w:eastAsia="zh-CN"/>
                    </w:rPr>
                    <w:t>Ⅰ类料堆场</w:t>
                  </w:r>
                </w:p>
              </w:tc>
              <w:tc>
                <w:tcPr>
                  <w:tcW w:w="6160" w:type="dxa"/>
                  <w:gridSpan w:val="2"/>
                  <w:tcBorders>
                    <w:right w:val="single" w:color="000000" w:sz="12" w:space="0"/>
                  </w:tcBorders>
                  <w:noWrap w:val="0"/>
                  <w:vAlign w:val="center"/>
                </w:tcPr>
                <w:p w14:paraId="0ED96CD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（1）筒仓</w:t>
                  </w:r>
                </w:p>
              </w:tc>
            </w:tr>
            <w:tr w14:paraId="273D24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vMerge w:val="continue"/>
                  <w:tcBorders>
                    <w:left w:val="single" w:color="000000" w:sz="12" w:space="0"/>
                  </w:tcBorders>
                  <w:noWrap w:val="0"/>
                  <w:vAlign w:val="center"/>
                </w:tcPr>
                <w:p w14:paraId="051AF84E">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lang w:val="en-US" w:eastAsia="zh-CN"/>
                    </w:rPr>
                  </w:pPr>
                </w:p>
              </w:tc>
              <w:tc>
                <w:tcPr>
                  <w:tcW w:w="6160" w:type="dxa"/>
                  <w:gridSpan w:val="2"/>
                  <w:tcBorders>
                    <w:right w:val="single" w:color="000000" w:sz="12" w:space="0"/>
                  </w:tcBorders>
                  <w:noWrap w:val="0"/>
                  <w:vAlign w:val="center"/>
                </w:tcPr>
                <w:p w14:paraId="4E9FA27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（2）圆形料仓</w:t>
                  </w:r>
                </w:p>
              </w:tc>
            </w:tr>
            <w:tr w14:paraId="6E6638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vMerge w:val="continue"/>
                  <w:tcBorders>
                    <w:left w:val="single" w:color="000000" w:sz="12" w:space="0"/>
                  </w:tcBorders>
                  <w:noWrap w:val="0"/>
                  <w:vAlign w:val="center"/>
                </w:tcPr>
                <w:p w14:paraId="2E3546C0">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lang w:val="en-US" w:eastAsia="zh-CN"/>
                    </w:rPr>
                  </w:pPr>
                </w:p>
              </w:tc>
              <w:tc>
                <w:tcPr>
                  <w:tcW w:w="6160" w:type="dxa"/>
                  <w:gridSpan w:val="2"/>
                  <w:tcBorders>
                    <w:right w:val="single" w:color="000000" w:sz="12" w:space="0"/>
                  </w:tcBorders>
                  <w:noWrap w:val="0"/>
                  <w:vAlign w:val="center"/>
                </w:tcPr>
                <w:p w14:paraId="45B1F8D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bCs/>
                      <w:color w:val="auto"/>
                      <w:kern w:val="2"/>
                      <w:sz w:val="21"/>
                      <w:szCs w:val="21"/>
                      <w:lang w:val="en-US" w:eastAsia="zh-CN"/>
                    </w:rPr>
                    <w:t>（3）其它全封闭性仓库</w:t>
                  </w:r>
                </w:p>
              </w:tc>
            </w:tr>
            <w:tr w14:paraId="50C4E2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vMerge w:val="restart"/>
                  <w:tcBorders>
                    <w:left w:val="single" w:color="000000" w:sz="12" w:space="0"/>
                  </w:tcBorders>
                  <w:noWrap w:val="0"/>
                  <w:vAlign w:val="center"/>
                </w:tcPr>
                <w:p w14:paraId="0BC62619">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sz w:val="21"/>
                      <w:szCs w:val="21"/>
                      <w:lang w:val="en-US" w:eastAsia="zh-CN"/>
                    </w:rPr>
                    <w:t>Ⅱ类料堆场</w:t>
                  </w:r>
                </w:p>
              </w:tc>
              <w:tc>
                <w:tcPr>
                  <w:tcW w:w="6160" w:type="dxa"/>
                  <w:gridSpan w:val="2"/>
                  <w:tcBorders>
                    <w:right w:val="single" w:color="000000" w:sz="12" w:space="0"/>
                  </w:tcBorders>
                  <w:noWrap w:val="0"/>
                  <w:vAlign w:val="center"/>
                </w:tcPr>
                <w:p w14:paraId="1FD356C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bCs/>
                      <w:color w:val="auto"/>
                      <w:kern w:val="2"/>
                      <w:sz w:val="21"/>
                      <w:szCs w:val="21"/>
                      <w:lang w:val="en-US" w:eastAsia="zh-CN"/>
                    </w:rPr>
                    <w:t>（4）可用Ⅰ类料堆场防治方案</w:t>
                  </w:r>
                </w:p>
              </w:tc>
            </w:tr>
            <w:tr w14:paraId="242A79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vMerge w:val="continue"/>
                  <w:tcBorders>
                    <w:left w:val="single" w:color="000000" w:sz="12" w:space="0"/>
                  </w:tcBorders>
                  <w:noWrap w:val="0"/>
                  <w:vAlign w:val="center"/>
                </w:tcPr>
                <w:p w14:paraId="699E40A9">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lang w:val="en-US" w:eastAsia="zh-CN"/>
                    </w:rPr>
                  </w:pPr>
                </w:p>
              </w:tc>
              <w:tc>
                <w:tcPr>
                  <w:tcW w:w="3246" w:type="dxa"/>
                  <w:noWrap w:val="0"/>
                  <w:vAlign w:val="center"/>
                </w:tcPr>
                <w:p w14:paraId="7EF5EE32">
                  <w:pPr>
                    <w:keepNext w:val="0"/>
                    <w:keepLines w:val="0"/>
                    <w:pageBreakBefore w:val="0"/>
                    <w:widowControl/>
                    <w:suppressLineNumbers w:val="0"/>
                    <w:kinsoku/>
                    <w:wordWrap/>
                    <w:overflowPunct/>
                    <w:topLinePunct w:val="0"/>
                    <w:autoSpaceDE/>
                    <w:autoSpaceDN/>
                    <w:bidi w:val="0"/>
                    <w:adjustRightInd/>
                    <w:snapToGrid/>
                    <w:spacing w:before="0" w:after="0" w:line="480" w:lineRule="exact"/>
                    <w:ind w:left="0" w:leftChars="0" w:right="0" w:rightChars="0" w:firstLine="0" w:firstLineChars="0"/>
                    <w:jc w:val="left"/>
                    <w:textAlignment w:val="center"/>
                    <w:rPr>
                      <w:rFonts w:hint="default" w:ascii="Times New Roman" w:hAnsi="Times New Roman" w:eastAsia="宋体" w:cs="Times New Roman"/>
                      <w:bCs w:val="0"/>
                      <w:color w:val="auto"/>
                      <w:spacing w:val="0"/>
                      <w:kern w:val="2"/>
                      <w:sz w:val="21"/>
                      <w:szCs w:val="21"/>
                      <w:lang w:val="en-US" w:eastAsia="zh-CN"/>
                    </w:rPr>
                  </w:pPr>
                  <w:r>
                    <w:rPr>
                      <w:rFonts w:hint="default" w:ascii="Times New Roman" w:hAnsi="Times New Roman" w:eastAsia="宋体" w:cs="Times New Roman"/>
                      <w:bCs w:val="0"/>
                      <w:color w:val="auto"/>
                      <w:spacing w:val="0"/>
                      <w:kern w:val="2"/>
                      <w:sz w:val="21"/>
                      <w:szCs w:val="21"/>
                      <w:lang w:val="en-US" w:eastAsia="zh-CN"/>
                    </w:rPr>
                    <w:t>（5）半封闭仓库+</w:t>
                  </w:r>
                </w:p>
              </w:tc>
              <w:tc>
                <w:tcPr>
                  <w:tcW w:w="2914" w:type="dxa"/>
                  <w:vMerge w:val="restart"/>
                  <w:tcBorders>
                    <w:right w:val="single" w:color="000000" w:sz="12" w:space="0"/>
                  </w:tcBorders>
                  <w:noWrap w:val="0"/>
                  <w:vAlign w:val="center"/>
                </w:tcPr>
                <w:p w14:paraId="02465DD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bCs/>
                      <w:color w:val="auto"/>
                      <w:kern w:val="2"/>
                      <w:sz w:val="21"/>
                      <w:szCs w:val="21"/>
                      <w:lang w:val="en-US" w:eastAsia="zh-CN"/>
                    </w:rPr>
                    <w:t xml:space="preserve">a）喷洒水 </w:t>
                  </w:r>
                </w:p>
                <w:p w14:paraId="2F42C02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bCs/>
                      <w:color w:val="auto"/>
                      <w:kern w:val="2"/>
                      <w:sz w:val="21"/>
                      <w:szCs w:val="21"/>
                      <w:lang w:val="en-US" w:eastAsia="zh-CN"/>
                    </w:rPr>
                    <w:t xml:space="preserve">b）覆盖 </w:t>
                  </w:r>
                </w:p>
                <w:p w14:paraId="3A0736B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bCs/>
                      <w:color w:val="auto"/>
                      <w:kern w:val="2"/>
                      <w:sz w:val="21"/>
                      <w:szCs w:val="21"/>
                      <w:lang w:val="en-US" w:eastAsia="zh-CN"/>
                    </w:rPr>
                    <w:t xml:space="preserve">c）喷洒抑尘剂 </w:t>
                  </w:r>
                </w:p>
                <w:p w14:paraId="4E6FD19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bCs/>
                      <w:color w:val="auto"/>
                      <w:kern w:val="2"/>
                      <w:sz w:val="21"/>
                      <w:szCs w:val="21"/>
                      <w:lang w:val="en-US" w:eastAsia="zh-CN"/>
                    </w:rPr>
                    <w:t>d）干雾抑尘</w:t>
                  </w:r>
                </w:p>
              </w:tc>
            </w:tr>
            <w:tr w14:paraId="79378E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vMerge w:val="continue"/>
                  <w:tcBorders>
                    <w:left w:val="single" w:color="000000" w:sz="12" w:space="0"/>
                  </w:tcBorders>
                  <w:noWrap w:val="0"/>
                  <w:vAlign w:val="center"/>
                </w:tcPr>
                <w:p w14:paraId="40CE0F07">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lang w:val="en-US" w:eastAsia="zh-CN"/>
                    </w:rPr>
                  </w:pPr>
                </w:p>
              </w:tc>
              <w:tc>
                <w:tcPr>
                  <w:tcW w:w="3246" w:type="dxa"/>
                  <w:noWrap w:val="0"/>
                  <w:vAlign w:val="center"/>
                </w:tcPr>
                <w:p w14:paraId="73AF694D">
                  <w:pPr>
                    <w:keepNext w:val="0"/>
                    <w:keepLines w:val="0"/>
                    <w:pageBreakBefore w:val="0"/>
                    <w:widowControl/>
                    <w:suppressLineNumbers w:val="0"/>
                    <w:kinsoku/>
                    <w:wordWrap/>
                    <w:overflowPunct/>
                    <w:topLinePunct w:val="0"/>
                    <w:autoSpaceDE/>
                    <w:autoSpaceDN/>
                    <w:bidi w:val="0"/>
                    <w:adjustRightInd/>
                    <w:snapToGrid/>
                    <w:spacing w:before="0" w:after="0" w:line="480" w:lineRule="exact"/>
                    <w:ind w:left="0" w:leftChars="0" w:right="0" w:rightChars="0" w:firstLine="0" w:firstLineChars="0"/>
                    <w:jc w:val="left"/>
                    <w:textAlignment w:val="center"/>
                    <w:rPr>
                      <w:rFonts w:hint="default" w:ascii="Times New Roman" w:hAnsi="Times New Roman" w:eastAsia="宋体" w:cs="Times New Roman"/>
                      <w:bCs w:val="0"/>
                      <w:color w:val="auto"/>
                      <w:spacing w:val="0"/>
                      <w:kern w:val="2"/>
                      <w:sz w:val="21"/>
                      <w:szCs w:val="21"/>
                      <w:lang w:val="en-US" w:eastAsia="zh-CN"/>
                    </w:rPr>
                  </w:pPr>
                  <w:r>
                    <w:rPr>
                      <w:rFonts w:hint="default" w:ascii="Times New Roman" w:hAnsi="Times New Roman" w:eastAsia="宋体" w:cs="Times New Roman"/>
                      <w:bCs w:val="0"/>
                      <w:color w:val="auto"/>
                      <w:spacing w:val="0"/>
                      <w:kern w:val="2"/>
                      <w:sz w:val="21"/>
                      <w:szCs w:val="21"/>
                      <w:lang w:val="en-US" w:eastAsia="zh-CN"/>
                    </w:rPr>
                    <w:t>（6）防风抑尘网（墙）+</w:t>
                  </w:r>
                </w:p>
              </w:tc>
              <w:tc>
                <w:tcPr>
                  <w:tcW w:w="2914" w:type="dxa"/>
                  <w:vMerge w:val="continue"/>
                  <w:tcBorders>
                    <w:right w:val="single" w:color="000000" w:sz="12" w:space="0"/>
                  </w:tcBorders>
                  <w:noWrap w:val="0"/>
                  <w:vAlign w:val="center"/>
                </w:tcPr>
                <w:p w14:paraId="6AC3023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Cs/>
                      <w:color w:val="auto"/>
                      <w:kern w:val="2"/>
                      <w:sz w:val="21"/>
                      <w:szCs w:val="21"/>
                      <w:lang w:val="en-US" w:eastAsia="zh-CN"/>
                    </w:rPr>
                  </w:pPr>
                </w:p>
              </w:tc>
            </w:tr>
            <w:tr w14:paraId="3FFF98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vMerge w:val="restart"/>
                  <w:tcBorders>
                    <w:left w:val="single" w:color="000000" w:sz="12" w:space="0"/>
                  </w:tcBorders>
                  <w:noWrap w:val="0"/>
                  <w:vAlign w:val="center"/>
                </w:tcPr>
                <w:p w14:paraId="5A1A7632">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sz w:val="21"/>
                      <w:szCs w:val="21"/>
                      <w:lang w:val="en-US" w:eastAsia="zh-CN"/>
                    </w:rPr>
                    <w:t>Ⅲ类料堆场</w:t>
                  </w:r>
                </w:p>
              </w:tc>
              <w:tc>
                <w:tcPr>
                  <w:tcW w:w="6160" w:type="dxa"/>
                  <w:gridSpan w:val="2"/>
                  <w:tcBorders>
                    <w:right w:val="single" w:color="000000" w:sz="12" w:space="0"/>
                  </w:tcBorders>
                  <w:noWrap w:val="0"/>
                  <w:vAlign w:val="center"/>
                </w:tcPr>
                <w:p w14:paraId="04B46AA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bCs/>
                      <w:color w:val="auto"/>
                      <w:kern w:val="2"/>
                      <w:sz w:val="21"/>
                      <w:szCs w:val="21"/>
                      <w:lang w:val="en-US" w:eastAsia="zh-CN"/>
                    </w:rPr>
                    <w:t>（7）可用Ⅰ和</w:t>
                  </w:r>
                  <w:r>
                    <w:rPr>
                      <w:rFonts w:hint="default" w:ascii="Times New Roman" w:hAnsi="Times New Roman" w:eastAsia="宋体" w:cs="Times New Roman"/>
                      <w:color w:val="auto"/>
                      <w:sz w:val="21"/>
                      <w:szCs w:val="21"/>
                      <w:lang w:val="en-US" w:eastAsia="zh-CN"/>
                    </w:rPr>
                    <w:t>Ⅱ</w:t>
                  </w:r>
                  <w:r>
                    <w:rPr>
                      <w:rFonts w:hint="default" w:ascii="Times New Roman" w:hAnsi="Times New Roman" w:eastAsia="宋体" w:cs="Times New Roman"/>
                      <w:bCs/>
                      <w:color w:val="auto"/>
                      <w:kern w:val="2"/>
                      <w:sz w:val="21"/>
                      <w:szCs w:val="21"/>
                      <w:lang w:val="en-US" w:eastAsia="zh-CN"/>
                    </w:rPr>
                    <w:t>类料堆场防治方案</w:t>
                  </w:r>
                </w:p>
              </w:tc>
            </w:tr>
            <w:tr w14:paraId="5283A4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344" w:type="dxa"/>
                  <w:vMerge w:val="continue"/>
                  <w:tcBorders>
                    <w:left w:val="single" w:color="000000" w:sz="12" w:space="0"/>
                  </w:tcBorders>
                  <w:noWrap w:val="0"/>
                  <w:vAlign w:val="center"/>
                </w:tcPr>
                <w:p w14:paraId="1F5C7491">
                  <w:pPr>
                    <w:overflowPunct/>
                    <w:autoSpaceDE/>
                    <w:autoSpaceDN/>
                    <w:adjustRightInd/>
                    <w:snapToGrid/>
                    <w:spacing w:before="0" w:after="0" w:line="240" w:lineRule="auto"/>
                    <w:ind w:left="0" w:right="0" w:firstLine="0" w:firstLineChars="0"/>
                    <w:jc w:val="center"/>
                    <w:rPr>
                      <w:rFonts w:hint="default" w:ascii="Times New Roman" w:hAnsi="Times New Roman" w:eastAsia="宋体" w:cs="Times New Roman"/>
                      <w:color w:val="auto"/>
                      <w:kern w:val="2"/>
                      <w:sz w:val="21"/>
                      <w:szCs w:val="21"/>
                      <w:lang w:val="en-US" w:eastAsia="zh-CN"/>
                    </w:rPr>
                  </w:pPr>
                </w:p>
              </w:tc>
              <w:tc>
                <w:tcPr>
                  <w:tcW w:w="3246" w:type="dxa"/>
                  <w:noWrap w:val="0"/>
                  <w:vAlign w:val="center"/>
                </w:tcPr>
                <w:p w14:paraId="6F68DAE8">
                  <w:pPr>
                    <w:keepNext w:val="0"/>
                    <w:keepLines w:val="0"/>
                    <w:pageBreakBefore w:val="0"/>
                    <w:widowControl/>
                    <w:suppressLineNumbers w:val="0"/>
                    <w:kinsoku/>
                    <w:wordWrap/>
                    <w:overflowPunct/>
                    <w:topLinePunct w:val="0"/>
                    <w:autoSpaceDE/>
                    <w:autoSpaceDN/>
                    <w:bidi w:val="0"/>
                    <w:adjustRightInd/>
                    <w:snapToGrid/>
                    <w:spacing w:before="0" w:after="0" w:line="480" w:lineRule="exact"/>
                    <w:ind w:left="0" w:leftChars="0" w:right="0" w:rightChars="0" w:firstLine="0" w:firstLineChars="0"/>
                    <w:jc w:val="left"/>
                    <w:textAlignment w:val="center"/>
                    <w:rPr>
                      <w:rFonts w:hint="default" w:ascii="Times New Roman" w:hAnsi="Times New Roman" w:eastAsia="宋体" w:cs="Times New Roman"/>
                      <w:bCs w:val="0"/>
                      <w:color w:val="auto"/>
                      <w:spacing w:val="0"/>
                      <w:kern w:val="2"/>
                      <w:sz w:val="21"/>
                      <w:szCs w:val="21"/>
                      <w:lang w:val="en-US" w:eastAsia="zh-CN"/>
                    </w:rPr>
                  </w:pPr>
                  <w:r>
                    <w:rPr>
                      <w:rFonts w:hint="default" w:ascii="Times New Roman" w:hAnsi="Times New Roman" w:eastAsia="宋体" w:cs="Times New Roman"/>
                      <w:bCs w:val="0"/>
                      <w:color w:val="auto"/>
                      <w:spacing w:val="0"/>
                      <w:kern w:val="2"/>
                      <w:sz w:val="21"/>
                      <w:szCs w:val="21"/>
                      <w:lang w:val="en-US" w:eastAsia="zh-CN"/>
                    </w:rPr>
                    <w:t>（8）覆盖+</w:t>
                  </w:r>
                </w:p>
              </w:tc>
              <w:tc>
                <w:tcPr>
                  <w:tcW w:w="2914" w:type="dxa"/>
                  <w:tcBorders>
                    <w:right w:val="single" w:color="000000" w:sz="12" w:space="0"/>
                  </w:tcBorders>
                  <w:noWrap w:val="0"/>
                  <w:vAlign w:val="center"/>
                </w:tcPr>
                <w:p w14:paraId="07B5127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bCs/>
                      <w:color w:val="auto"/>
                      <w:kern w:val="2"/>
                      <w:sz w:val="21"/>
                      <w:szCs w:val="21"/>
                      <w:lang w:val="en-US" w:eastAsia="zh-CN"/>
                    </w:rPr>
                    <w:t xml:space="preserve">a）喷洒水 </w:t>
                  </w:r>
                </w:p>
                <w:p w14:paraId="7606057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宋体" w:cs="Times New Roman"/>
                      <w:bCs/>
                      <w:color w:val="auto"/>
                      <w:kern w:val="2"/>
                      <w:sz w:val="21"/>
                      <w:szCs w:val="21"/>
                      <w:lang w:val="en-US" w:eastAsia="zh-CN"/>
                    </w:rPr>
                  </w:pPr>
                  <w:r>
                    <w:rPr>
                      <w:rFonts w:hint="default" w:ascii="Times New Roman" w:hAnsi="Times New Roman" w:eastAsia="宋体" w:cs="Times New Roman"/>
                      <w:bCs/>
                      <w:color w:val="auto"/>
                      <w:kern w:val="2"/>
                      <w:sz w:val="21"/>
                      <w:szCs w:val="21"/>
                      <w:lang w:val="en-US" w:eastAsia="zh-CN"/>
                    </w:rPr>
                    <w:t>b）喷洒抑尘剂</w:t>
                  </w:r>
                </w:p>
              </w:tc>
            </w:tr>
          </w:tbl>
          <w:p w14:paraId="5AC213FB">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lang w:eastAsia="zh-CN"/>
              </w:rPr>
              <w:t>（</w:t>
            </w:r>
            <w:r>
              <w:rPr>
                <w:rFonts w:hint="default" w:ascii="Times New Roman" w:hAnsi="Times New Roman" w:eastAsia="宋体" w:cs="Times New Roman"/>
                <w:color w:val="auto"/>
                <w:kern w:val="2"/>
                <w:sz w:val="24"/>
                <w:szCs w:val="24"/>
                <w:lang w:val="en-US" w:eastAsia="zh-CN"/>
              </w:rPr>
              <w:t>4</w:t>
            </w:r>
            <w:r>
              <w:rPr>
                <w:rFonts w:hint="default" w:ascii="Times New Roman" w:hAnsi="Times New Roman" w:eastAsia="宋体" w:cs="Times New Roman"/>
                <w:color w:val="auto"/>
                <w:kern w:val="2"/>
                <w:sz w:val="24"/>
                <w:szCs w:val="24"/>
                <w:lang w:eastAsia="zh-CN"/>
              </w:rPr>
              <w:t>）</w:t>
            </w:r>
            <w:r>
              <w:rPr>
                <w:rFonts w:hint="default" w:ascii="Times New Roman" w:hAnsi="Times New Roman" w:eastAsia="宋体" w:cs="Times New Roman"/>
                <w:color w:val="auto"/>
                <w:kern w:val="2"/>
                <w:sz w:val="24"/>
                <w:szCs w:val="24"/>
                <w:highlight w:val="none"/>
                <w:lang w:val="en-US" w:eastAsia="zh-CN" w:bidi="ar-SA"/>
              </w:rPr>
              <w:t>环境影响分析</w:t>
            </w:r>
          </w:p>
          <w:p w14:paraId="33DE5473">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auto"/>
                <w:kern w:val="2"/>
                <w:sz w:val="24"/>
                <w:szCs w:val="20"/>
                <w:highlight w:val="none"/>
                <w:lang w:val="en-US" w:eastAsia="zh-CN"/>
              </w:rPr>
            </w:pPr>
            <w:r>
              <w:rPr>
                <w:rFonts w:hint="default" w:ascii="Times New Roman" w:hAnsi="Times New Roman" w:eastAsia="宋体" w:cs="Times New Roman"/>
                <w:color w:val="auto"/>
                <w:kern w:val="2"/>
                <w:sz w:val="24"/>
                <w:szCs w:val="20"/>
                <w:highlight w:val="none"/>
                <w:lang w:val="en-US" w:eastAsia="zh-CN"/>
              </w:rPr>
              <w:t>根据《建设项目环境影响报告表编制技术指南（污染影响类）（试行）》要求“结合建设项目所在区域环境质量现状、环境保护目标、项目采取的污染治理措施及污染物排放强度、排放方式，定性分析废气排放的环境影响”。因此本次环评环境影响分析进行定性分析。</w:t>
            </w:r>
          </w:p>
          <w:p w14:paraId="7430BE0E">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auto"/>
                <w:kern w:val="2"/>
                <w:sz w:val="24"/>
                <w:szCs w:val="20"/>
                <w:highlight w:val="none"/>
                <w:lang w:val="en-US" w:eastAsia="zh-CN"/>
              </w:rPr>
            </w:pPr>
            <w:r>
              <w:rPr>
                <w:rFonts w:hint="default" w:ascii="Times New Roman" w:hAnsi="Times New Roman" w:eastAsia="宋体" w:cs="Times New Roman"/>
                <w:b w:val="0"/>
                <w:bCs w:val="0"/>
                <w:color w:val="auto"/>
                <w:kern w:val="2"/>
                <w:sz w:val="24"/>
                <w:szCs w:val="20"/>
                <w:highlight w:val="none"/>
                <w:lang w:val="en-US" w:eastAsia="zh-CN"/>
              </w:rPr>
              <w:t>本项目位于</w:t>
            </w:r>
            <w:r>
              <w:rPr>
                <w:rFonts w:hint="default" w:ascii="Times New Roman" w:hAnsi="Times New Roman" w:eastAsia="宋体" w:cs="Times New Roman"/>
                <w:color w:val="auto"/>
                <w:sz w:val="24"/>
                <w:szCs w:val="24"/>
                <w:vertAlign w:val="baseline"/>
                <w:lang w:val="en-US" w:eastAsia="zh-CN" w:bidi="ar-SA"/>
              </w:rPr>
              <w:t>新疆维吾尔自治区昌吉回族自治州玛纳斯县玛纳斯镇</w:t>
            </w:r>
            <w:r>
              <w:rPr>
                <w:rFonts w:hint="default" w:ascii="Times New Roman" w:hAnsi="Times New Roman" w:eastAsia="宋体" w:cs="Times New Roman"/>
                <w:b w:val="0"/>
                <w:bCs w:val="0"/>
                <w:color w:val="auto"/>
                <w:kern w:val="2"/>
                <w:sz w:val="24"/>
                <w:szCs w:val="20"/>
                <w:highlight w:val="none"/>
                <w:lang w:val="en-US" w:eastAsia="zh-CN"/>
              </w:rPr>
              <w:t>，</w:t>
            </w:r>
            <w:r>
              <w:rPr>
                <w:rFonts w:hint="default" w:ascii="Times New Roman" w:hAnsi="Times New Roman" w:eastAsia="宋体" w:cs="Times New Roman"/>
                <w:b w:val="0"/>
                <w:bCs w:val="0"/>
                <w:color w:val="auto"/>
                <w:kern w:val="2"/>
                <w:sz w:val="24"/>
                <w:szCs w:val="24"/>
                <w:highlight w:val="none"/>
                <w:lang w:val="en-US" w:eastAsia="zh-CN"/>
              </w:rPr>
              <w:t>项目区</w:t>
            </w:r>
            <w:r>
              <w:rPr>
                <w:rFonts w:hint="default" w:ascii="Times New Roman" w:hAnsi="Times New Roman" w:eastAsia="宋体" w:cs="Times New Roman"/>
                <w:b w:val="0"/>
                <w:bCs w:val="0"/>
                <w:color w:val="auto"/>
                <w:kern w:val="2"/>
                <w:sz w:val="24"/>
                <w:szCs w:val="24"/>
                <w:highlight w:val="none"/>
              </w:rPr>
              <w:t>所在区域</w:t>
            </w:r>
            <w:r>
              <w:rPr>
                <w:rFonts w:hint="default" w:ascii="Times New Roman" w:hAnsi="Times New Roman" w:eastAsia="宋体" w:cs="Times New Roman"/>
                <w:b w:val="0"/>
                <w:bCs w:val="0"/>
                <w:color w:val="auto"/>
                <w:kern w:val="2"/>
                <w:sz w:val="24"/>
                <w:szCs w:val="24"/>
                <w:highlight w:val="none"/>
                <w:lang w:val="en-US" w:eastAsia="zh-CN"/>
              </w:rPr>
              <w:t>属于达标区，本项目特征污染物达标。</w:t>
            </w:r>
            <w:r>
              <w:rPr>
                <w:rFonts w:hint="default" w:ascii="Times New Roman" w:hAnsi="Times New Roman" w:eastAsia="宋体" w:cs="Times New Roman"/>
                <w:color w:val="auto"/>
                <w:kern w:val="2"/>
                <w:sz w:val="24"/>
                <w:szCs w:val="24"/>
                <w:highlight w:val="none"/>
                <w:lang w:val="en-US" w:eastAsia="zh-CN"/>
              </w:rPr>
              <w:t>本项目</w:t>
            </w:r>
            <w:r>
              <w:rPr>
                <w:rFonts w:hint="default" w:ascii="Times New Roman" w:hAnsi="Times New Roman" w:eastAsia="宋体" w:cs="Times New Roman"/>
                <w:color w:val="auto"/>
                <w:kern w:val="2"/>
                <w:sz w:val="24"/>
                <w:szCs w:val="20"/>
                <w:highlight w:val="none"/>
                <w:lang w:val="en-US" w:eastAsia="zh-CN"/>
              </w:rPr>
              <w:t>厂界外500米范围内无自然保护区、风景名胜区、文化区，不存在环境空气保护目标。</w:t>
            </w:r>
          </w:p>
          <w:p w14:paraId="2168C05C">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auto"/>
                <w:kern w:val="0"/>
                <w:sz w:val="24"/>
                <w:szCs w:val="24"/>
                <w:highlight w:val="green"/>
                <w:lang w:val="en-US" w:eastAsia="zh-CN" w:bidi="ar"/>
              </w:rPr>
            </w:pPr>
            <w:r>
              <w:rPr>
                <w:rFonts w:hint="default" w:ascii="Times New Roman" w:hAnsi="Times New Roman" w:eastAsia="宋体" w:cs="Times New Roman"/>
                <w:color w:val="auto"/>
                <w:kern w:val="2"/>
                <w:sz w:val="24"/>
                <w:szCs w:val="20"/>
                <w:highlight w:val="none"/>
                <w:lang w:val="en-US" w:eastAsia="zh-CN"/>
              </w:rPr>
              <w:t>本次环评提出车辆进出场粉尘通过减速慢行控制</w:t>
            </w:r>
            <w:r>
              <w:rPr>
                <w:rFonts w:hint="default" w:ascii="Times New Roman" w:hAnsi="Times New Roman" w:eastAsia="宋体" w:cs="Times New Roman"/>
                <w:color w:val="auto"/>
                <w:vertAlign w:val="baseline"/>
                <w:lang w:val="en-US" w:eastAsia="zh-CN"/>
              </w:rPr>
              <w:t>；本项目生产车间</w:t>
            </w:r>
            <w:r>
              <w:rPr>
                <w:rFonts w:hint="default" w:ascii="Times New Roman" w:hAnsi="Times New Roman" w:eastAsia="宋体" w:cs="Times New Roman"/>
                <w:color w:val="auto"/>
                <w:sz w:val="24"/>
                <w:szCs w:val="24"/>
                <w:highlight w:val="none"/>
                <w:lang w:val="en-US" w:eastAsia="zh-CN"/>
              </w:rPr>
              <w:t>筛分</w:t>
            </w:r>
            <w:r>
              <w:rPr>
                <w:rFonts w:hint="default" w:ascii="Times New Roman" w:hAnsi="Times New Roman" w:eastAsia="宋体" w:cs="Times New Roman"/>
                <w:color w:val="auto"/>
                <w:vertAlign w:val="baseline"/>
                <w:lang w:val="en-US" w:eastAsia="zh-CN"/>
              </w:rPr>
              <w:t>工段、包装工段分别设置袋式除尘处理粉尘，处理后满足</w:t>
            </w:r>
            <w:r>
              <w:rPr>
                <w:rFonts w:hint="default" w:ascii="Times New Roman" w:hAnsi="Times New Roman" w:eastAsia="宋体" w:cs="Times New Roman"/>
                <w:snapToGrid w:val="0"/>
                <w:color w:val="auto"/>
                <w:sz w:val="24"/>
                <w:szCs w:val="24"/>
                <w:highlight w:val="none"/>
                <w:lang w:val="en-US" w:eastAsia="zh-CN" w:bidi="ar-SA"/>
              </w:rPr>
              <w:t>《大气污染物综合排放标准》（GB16297-1996）</w:t>
            </w:r>
            <w:r>
              <w:rPr>
                <w:rFonts w:hint="default" w:ascii="Times New Roman" w:hAnsi="Times New Roman" w:eastAsia="宋体" w:cs="Times New Roman"/>
                <w:color w:val="auto"/>
                <w:sz w:val="24"/>
                <w:szCs w:val="24"/>
              </w:rPr>
              <w:t>表2 新污染源大气污染物排放限值</w:t>
            </w:r>
            <w:r>
              <w:rPr>
                <w:rFonts w:hint="default" w:ascii="Times New Roman" w:hAnsi="Times New Roman" w:eastAsia="宋体" w:cs="Times New Roman"/>
                <w:color w:val="auto"/>
                <w:sz w:val="24"/>
                <w:szCs w:val="24"/>
                <w:lang w:val="en-US" w:eastAsia="zh-CN" w:bidi="ar-SA"/>
              </w:rPr>
              <w:t>。</w:t>
            </w:r>
            <w:r>
              <w:rPr>
                <w:rFonts w:hint="default" w:ascii="Times New Roman" w:hAnsi="Times New Roman" w:eastAsia="宋体" w:cs="Times New Roman"/>
                <w:color w:val="auto"/>
                <w:kern w:val="0"/>
                <w:sz w:val="24"/>
                <w:szCs w:val="24"/>
                <w:lang w:val="en-US" w:eastAsia="zh-CN" w:bidi="ar"/>
              </w:rPr>
              <w:t>本项目</w:t>
            </w:r>
            <w:r>
              <w:rPr>
                <w:rFonts w:hint="default" w:ascii="Times New Roman" w:hAnsi="Times New Roman" w:eastAsia="宋体" w:cs="Times New Roman"/>
                <w:color w:val="auto"/>
                <w:vertAlign w:val="baseline"/>
                <w:lang w:val="en-US" w:eastAsia="zh-CN"/>
              </w:rPr>
              <w:t>生产车间</w:t>
            </w:r>
            <w:r>
              <w:rPr>
                <w:rFonts w:hint="default" w:ascii="Times New Roman" w:hAnsi="Times New Roman" w:eastAsia="宋体" w:cs="Times New Roman"/>
                <w:color w:val="auto"/>
                <w:kern w:val="0"/>
                <w:sz w:val="24"/>
                <w:szCs w:val="24"/>
                <w:lang w:val="en-US" w:eastAsia="zh-CN" w:bidi="ar"/>
              </w:rPr>
              <w:t>少量无组织颗粒物通过封闭式作业进行控制，发酵产生的氨、硫化氢等恶臭污染物通过集气罩+生物除臭塔（滴滤法</w:t>
            </w:r>
            <w:r>
              <w:rPr>
                <w:rFonts w:hint="default" w:ascii="Times New Roman" w:hAnsi="Times New Roman" w:eastAsia="宋体" w:cs="Times New Roman"/>
                <w:color w:val="auto"/>
                <w:kern w:val="0"/>
                <w:sz w:val="24"/>
                <w:szCs w:val="24"/>
                <w:highlight w:val="none"/>
                <w:lang w:val="en-US" w:eastAsia="zh-CN" w:bidi="ar"/>
              </w:rPr>
              <w:t>）进行控制，处理后满足</w:t>
            </w:r>
            <w:r>
              <w:rPr>
                <w:rFonts w:hint="default" w:ascii="Times New Roman" w:hAnsi="Times New Roman" w:eastAsia="宋体" w:cs="Times New Roman"/>
                <w:color w:val="auto"/>
                <w:highlight w:val="none"/>
                <w:lang w:val="en-US" w:eastAsia="zh-CN"/>
              </w:rPr>
              <w:t>《恶臭污染物排放标准》（GB14554-93）表2 恶臭污染物排放标准值排放，</w:t>
            </w:r>
            <w:r>
              <w:rPr>
                <w:rFonts w:hint="default" w:ascii="Times New Roman" w:hAnsi="Times New Roman" w:eastAsia="宋体" w:cs="Times New Roman"/>
                <w:color w:val="auto"/>
                <w:kern w:val="0"/>
                <w:sz w:val="24"/>
                <w:szCs w:val="24"/>
                <w:highlight w:val="none"/>
                <w:lang w:val="en-US" w:eastAsia="zh-CN" w:bidi="ar"/>
              </w:rPr>
              <w:t>根据估算结果，</w:t>
            </w:r>
            <w:r>
              <w:rPr>
                <w:rFonts w:hint="default" w:ascii="Times New Roman" w:hAnsi="Times New Roman" w:eastAsia="宋体" w:cs="Times New Roman"/>
                <w:b w:val="0"/>
                <w:bCs w:val="0"/>
                <w:i w:val="0"/>
                <w:iCs w:val="0"/>
                <w:color w:val="auto"/>
                <w:kern w:val="0"/>
                <w:sz w:val="24"/>
                <w:szCs w:val="24"/>
                <w:highlight w:val="none"/>
                <w:lang w:val="en-US" w:eastAsia="zh-CN" w:bidi="ar"/>
              </w:rPr>
              <w:t>本项目厂界颗粒物最大质量浓度为34.82</w:t>
            </w:r>
            <w:r>
              <w:rPr>
                <w:rFonts w:hint="default" w:ascii="Times New Roman" w:hAnsi="Times New Roman" w:eastAsia="宋体" w:cs="Times New Roman"/>
                <w:b w:val="0"/>
                <w:bCs w:val="0"/>
                <w:i w:val="0"/>
                <w:iCs w:val="0"/>
                <w:color w:val="auto"/>
                <w:highlight w:val="none"/>
                <w:vertAlign w:val="baseline"/>
                <w:lang w:val="en-US" w:eastAsia="zh-CN"/>
              </w:rPr>
              <w:t>μg/m</w:t>
            </w:r>
            <w:r>
              <w:rPr>
                <w:rFonts w:hint="default" w:ascii="Times New Roman" w:hAnsi="Times New Roman" w:eastAsia="宋体" w:cs="Times New Roman"/>
                <w:b w:val="0"/>
                <w:bCs w:val="0"/>
                <w:i w:val="0"/>
                <w:iCs w:val="0"/>
                <w:color w:val="auto"/>
                <w:highlight w:val="none"/>
                <w:vertAlign w:val="superscript"/>
                <w:lang w:val="en-US" w:eastAsia="zh-CN"/>
              </w:rPr>
              <w:t>3</w:t>
            </w:r>
            <w:r>
              <w:rPr>
                <w:rFonts w:hint="default" w:ascii="Times New Roman" w:hAnsi="Times New Roman" w:eastAsia="宋体" w:cs="Times New Roman"/>
                <w:b w:val="0"/>
                <w:bCs w:val="0"/>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满足</w:t>
            </w:r>
            <w:r>
              <w:rPr>
                <w:rFonts w:hint="default" w:ascii="Times New Roman" w:hAnsi="Times New Roman" w:eastAsia="宋体" w:cs="Times New Roman"/>
                <w:snapToGrid w:val="0"/>
                <w:color w:val="auto"/>
                <w:sz w:val="24"/>
                <w:szCs w:val="24"/>
                <w:highlight w:val="none"/>
                <w:lang w:val="en-US" w:eastAsia="zh-CN" w:bidi="ar-SA"/>
              </w:rPr>
              <w:t>《大气污染物综合排放标准》（GB16297-1996）</w:t>
            </w:r>
            <w:r>
              <w:rPr>
                <w:rFonts w:hint="default" w:ascii="Times New Roman" w:hAnsi="Times New Roman" w:eastAsia="宋体" w:cs="Times New Roman"/>
                <w:color w:val="auto"/>
                <w:sz w:val="24"/>
                <w:szCs w:val="24"/>
                <w:highlight w:val="none"/>
              </w:rPr>
              <w:t>表2 新污染源大气污染物排放限值</w:t>
            </w:r>
            <w:r>
              <w:rPr>
                <w:rFonts w:hint="default" w:ascii="Times New Roman" w:hAnsi="Times New Roman" w:eastAsia="宋体" w:cs="Times New Roman"/>
                <w:color w:val="auto"/>
                <w:highlight w:val="none"/>
                <w:vertAlign w:val="baseline"/>
                <w:lang w:val="en-US" w:eastAsia="zh-CN"/>
              </w:rPr>
              <w:t>（颗粒物1mg/m</w:t>
            </w:r>
            <w:r>
              <w:rPr>
                <w:rFonts w:hint="default" w:ascii="Times New Roman" w:hAnsi="Times New Roman" w:eastAsia="宋体" w:cs="Times New Roman"/>
                <w:color w:val="auto"/>
                <w:highlight w:val="none"/>
                <w:vertAlign w:val="superscript"/>
                <w:lang w:val="en-US" w:eastAsia="zh-CN"/>
              </w:rPr>
              <w:t>3</w:t>
            </w:r>
            <w:r>
              <w:rPr>
                <w:rFonts w:hint="default" w:ascii="Times New Roman" w:hAnsi="Times New Roman" w:eastAsia="宋体" w:cs="Times New Roman"/>
                <w:color w:val="auto"/>
                <w:highlight w:val="none"/>
                <w:vertAlign w:val="baseline"/>
                <w:lang w:val="en-US" w:eastAsia="zh-CN"/>
              </w:rPr>
              <w:t>）；</w:t>
            </w:r>
            <w:r>
              <w:rPr>
                <w:rFonts w:hint="default" w:ascii="Times New Roman" w:hAnsi="Times New Roman" w:eastAsia="宋体" w:cs="Times New Roman"/>
                <w:color w:val="auto"/>
                <w:kern w:val="0"/>
                <w:sz w:val="24"/>
                <w:szCs w:val="24"/>
                <w:highlight w:val="none"/>
                <w:lang w:val="en-US" w:eastAsia="zh-CN" w:bidi="ar"/>
              </w:rPr>
              <w:t>氨无组织最大质量浓度为0.47</w:t>
            </w:r>
            <w:r>
              <w:rPr>
                <w:rFonts w:hint="default" w:ascii="Times New Roman" w:hAnsi="Times New Roman" w:eastAsia="宋体" w:cs="Times New Roman"/>
                <w:b w:val="0"/>
                <w:bCs w:val="0"/>
                <w:i w:val="0"/>
                <w:iCs w:val="0"/>
                <w:color w:val="auto"/>
                <w:highlight w:val="none"/>
                <w:vertAlign w:val="baseline"/>
                <w:lang w:val="en-US" w:eastAsia="zh-CN"/>
              </w:rPr>
              <w:t>μg</w:t>
            </w:r>
            <w:r>
              <w:rPr>
                <w:rFonts w:hint="default" w:ascii="Times New Roman" w:hAnsi="Times New Roman" w:eastAsia="宋体" w:cs="Times New Roman"/>
                <w:color w:val="auto"/>
                <w:highlight w:val="none"/>
                <w:vertAlign w:val="baseline"/>
                <w:lang w:val="en-US" w:eastAsia="zh-CN"/>
              </w:rPr>
              <w:t>/m</w:t>
            </w:r>
            <w:r>
              <w:rPr>
                <w:rFonts w:hint="default" w:ascii="Times New Roman" w:hAnsi="Times New Roman" w:eastAsia="宋体" w:cs="Times New Roman"/>
                <w:color w:val="auto"/>
                <w:highlight w:val="none"/>
                <w:vertAlign w:val="superscript"/>
                <w:lang w:val="en-US" w:eastAsia="zh-CN"/>
              </w:rPr>
              <w:t>3</w:t>
            </w:r>
            <w:r>
              <w:rPr>
                <w:rFonts w:hint="default" w:ascii="Times New Roman" w:hAnsi="Times New Roman" w:eastAsia="宋体" w:cs="Times New Roman"/>
                <w:color w:val="auto"/>
                <w:kern w:val="0"/>
                <w:sz w:val="24"/>
                <w:szCs w:val="24"/>
                <w:highlight w:val="none"/>
                <w:lang w:val="en-US" w:eastAsia="zh-CN" w:bidi="ar"/>
              </w:rPr>
              <w:t>，硫化氢无组织最大质量浓度为0.24</w:t>
            </w:r>
            <w:r>
              <w:rPr>
                <w:rFonts w:hint="default" w:ascii="Times New Roman" w:hAnsi="Times New Roman" w:eastAsia="宋体" w:cs="Times New Roman"/>
                <w:b w:val="0"/>
                <w:bCs w:val="0"/>
                <w:i w:val="0"/>
                <w:iCs w:val="0"/>
                <w:color w:val="auto"/>
                <w:highlight w:val="none"/>
                <w:vertAlign w:val="baseline"/>
                <w:lang w:val="en-US" w:eastAsia="zh-CN"/>
              </w:rPr>
              <w:t>μg</w:t>
            </w:r>
            <w:r>
              <w:rPr>
                <w:rFonts w:hint="default" w:ascii="Times New Roman" w:hAnsi="Times New Roman" w:eastAsia="宋体" w:cs="Times New Roman"/>
                <w:color w:val="auto"/>
                <w:highlight w:val="none"/>
                <w:vertAlign w:val="baseline"/>
                <w:lang w:val="en-US" w:eastAsia="zh-CN"/>
              </w:rPr>
              <w:t>/m</w:t>
            </w:r>
            <w:r>
              <w:rPr>
                <w:rFonts w:hint="default" w:ascii="Times New Roman" w:hAnsi="Times New Roman" w:eastAsia="宋体" w:cs="Times New Roman"/>
                <w:color w:val="auto"/>
                <w:highlight w:val="none"/>
                <w:vertAlign w:val="superscript"/>
                <w:lang w:val="en-US" w:eastAsia="zh-CN"/>
              </w:rPr>
              <w:t>3</w:t>
            </w:r>
            <w:r>
              <w:rPr>
                <w:rFonts w:hint="default" w:ascii="Times New Roman" w:hAnsi="Times New Roman" w:eastAsia="宋体" w:cs="Times New Roman"/>
                <w:color w:val="auto"/>
                <w:highlight w:val="none"/>
                <w:vertAlign w:val="baseline"/>
                <w:lang w:val="en-US" w:eastAsia="zh-CN"/>
              </w:rPr>
              <w:t>，</w:t>
            </w:r>
            <w:r>
              <w:rPr>
                <w:rFonts w:hint="default" w:ascii="Times New Roman" w:hAnsi="Times New Roman" w:eastAsia="宋体" w:cs="Times New Roman"/>
                <w:b w:val="0"/>
                <w:bCs w:val="0"/>
                <w:i w:val="0"/>
                <w:iCs w:val="0"/>
                <w:color w:val="auto"/>
                <w:highlight w:val="none"/>
                <w:vertAlign w:val="baseline"/>
                <w:lang w:val="en-US" w:eastAsia="zh-CN"/>
              </w:rPr>
              <w:t>距离厂界89m处，</w:t>
            </w:r>
            <w:r>
              <w:rPr>
                <w:rFonts w:hint="default" w:ascii="Times New Roman" w:hAnsi="Times New Roman" w:eastAsia="宋体" w:cs="Times New Roman"/>
                <w:color w:val="auto"/>
                <w:highlight w:val="none"/>
                <w:vertAlign w:val="baseline"/>
                <w:lang w:val="en-US" w:eastAsia="zh-CN"/>
              </w:rPr>
              <w:t>均能满足《恶臭污染物排放标准》（GB14554-93）表1 恶臭污染物厂界标准值中二级标准限值（氨1.5mg/m</w:t>
            </w:r>
            <w:r>
              <w:rPr>
                <w:rFonts w:hint="default" w:ascii="Times New Roman" w:hAnsi="Times New Roman" w:eastAsia="宋体" w:cs="Times New Roman"/>
                <w:color w:val="auto"/>
                <w:highlight w:val="none"/>
                <w:vertAlign w:val="superscript"/>
                <w:lang w:val="en-US" w:eastAsia="zh-CN"/>
              </w:rPr>
              <w:t>3</w:t>
            </w:r>
            <w:r>
              <w:rPr>
                <w:rFonts w:hint="default" w:ascii="Times New Roman" w:hAnsi="Times New Roman" w:eastAsia="宋体" w:cs="Times New Roman"/>
                <w:color w:val="auto"/>
                <w:highlight w:val="none"/>
                <w:vertAlign w:val="baseline"/>
                <w:lang w:val="en-US" w:eastAsia="zh-CN"/>
              </w:rPr>
              <w:t>；硫化氢0.06mg/m</w:t>
            </w:r>
            <w:r>
              <w:rPr>
                <w:rFonts w:hint="default" w:ascii="Times New Roman" w:hAnsi="Times New Roman" w:eastAsia="宋体" w:cs="Times New Roman"/>
                <w:color w:val="auto"/>
                <w:highlight w:val="none"/>
                <w:vertAlign w:val="superscript"/>
                <w:lang w:val="en-US" w:eastAsia="zh-CN"/>
              </w:rPr>
              <w:t>3</w:t>
            </w:r>
            <w:r>
              <w:rPr>
                <w:rFonts w:hint="default" w:ascii="Times New Roman" w:hAnsi="Times New Roman" w:eastAsia="宋体" w:cs="Times New Roman"/>
                <w:color w:val="auto"/>
                <w:highlight w:val="none"/>
                <w:vertAlign w:val="baseline"/>
                <w:lang w:val="en-US" w:eastAsia="zh-CN"/>
              </w:rPr>
              <w:t>），对周边环境以及牧业村的影响较小。</w:t>
            </w:r>
          </w:p>
          <w:p w14:paraId="2D49709A">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auto"/>
                <w:kern w:val="2"/>
                <w:sz w:val="24"/>
                <w:szCs w:val="24"/>
                <w:lang w:val="en-US" w:eastAsia="zh-CN"/>
              </w:rPr>
            </w:pPr>
            <w:r>
              <w:rPr>
                <w:rFonts w:hint="default" w:ascii="Times New Roman" w:hAnsi="Times New Roman" w:eastAsia="宋体" w:cs="Times New Roman"/>
                <w:color w:val="auto"/>
                <w:kern w:val="2"/>
                <w:sz w:val="24"/>
                <w:szCs w:val="24"/>
                <w:lang w:eastAsia="zh-CN"/>
              </w:rPr>
              <w:t>（</w:t>
            </w:r>
            <w:r>
              <w:rPr>
                <w:rFonts w:hint="default" w:ascii="Times New Roman" w:hAnsi="Times New Roman" w:eastAsia="宋体" w:cs="Times New Roman"/>
                <w:color w:val="auto"/>
                <w:kern w:val="2"/>
                <w:sz w:val="24"/>
                <w:szCs w:val="24"/>
                <w:lang w:val="en-US" w:eastAsia="zh-CN"/>
              </w:rPr>
              <w:t>5</w:t>
            </w:r>
            <w:r>
              <w:rPr>
                <w:rFonts w:hint="default" w:ascii="Times New Roman" w:hAnsi="Times New Roman" w:eastAsia="宋体" w:cs="Times New Roman"/>
                <w:color w:val="auto"/>
                <w:kern w:val="2"/>
                <w:sz w:val="24"/>
                <w:szCs w:val="24"/>
                <w:lang w:eastAsia="zh-CN"/>
              </w:rPr>
              <w:t>）</w:t>
            </w:r>
            <w:r>
              <w:rPr>
                <w:rFonts w:hint="default" w:ascii="Times New Roman" w:hAnsi="Times New Roman" w:eastAsia="宋体" w:cs="Times New Roman"/>
                <w:color w:val="auto"/>
                <w:kern w:val="2"/>
                <w:sz w:val="24"/>
                <w:szCs w:val="24"/>
                <w:lang w:val="en-US" w:eastAsia="zh-CN"/>
              </w:rPr>
              <w:t>排气筒合理性分析</w:t>
            </w:r>
          </w:p>
          <w:p w14:paraId="6AD020A6">
            <w:pPr>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根据《大气污染物综合排放标准》（GB16297-1996），排气筒高度除须遵守表列排放速率标准值外，还应高出周围200米半径范围的建筑5米以上，不能达到该要求的排气筒，应按其高度对应的表列排放速率标准值严格50%执行。</w:t>
            </w:r>
          </w:p>
          <w:p w14:paraId="4755425F">
            <w:pPr>
              <w:keepNext w:val="0"/>
              <w:keepLines w:val="0"/>
              <w:pageBreakBefore w:val="0"/>
              <w:widowControl/>
              <w:suppressLineNumbers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本项目200m范围内最高建筑为本项目发酵罐区，建筑高为8.0m，本项目排气筒（DA001、DA002）均为15m，高出200m距离内最高建筑5m以上要求，满足《大气污染物综合排放标准》（GB16297-1996）要求。</w:t>
            </w:r>
          </w:p>
          <w:p w14:paraId="0AA39E03">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（6）废气监测制度</w:t>
            </w:r>
          </w:p>
          <w:p w14:paraId="649F3162">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auto"/>
                <w:kern w:val="2"/>
                <w:sz w:val="24"/>
                <w:szCs w:val="20"/>
                <w:highlight w:val="none"/>
                <w:lang w:val="en-US" w:eastAsia="zh-CN"/>
              </w:rPr>
            </w:pPr>
            <w:r>
              <w:rPr>
                <w:rFonts w:hint="default" w:ascii="Times New Roman" w:hAnsi="Times New Roman" w:eastAsia="宋体" w:cs="Times New Roman"/>
                <w:color w:val="auto"/>
                <w:kern w:val="2"/>
                <w:sz w:val="24"/>
                <w:szCs w:val="20"/>
                <w:highlight w:val="none"/>
                <w:lang w:val="en-US" w:eastAsia="zh-CN"/>
              </w:rPr>
              <w:t>根据项目生产特点和主要污染物的排放情况，按照《排污单位自行监测技术指南 总则》（HJ819-2017）、《排污单位自行监测技术指南 磷肥、钾肥、复混肥料、有机肥料和微生物肥料》（HJ 1088-2020）制定监测计划，见下表。</w:t>
            </w:r>
          </w:p>
          <w:p w14:paraId="56C5191A">
            <w:pPr>
              <w:pageBreakBefore w:val="0"/>
              <w:widowControl w:val="0"/>
              <w:kinsoku/>
              <w:wordWrap/>
              <w:overflowPunct/>
              <w:topLinePunct w:val="0"/>
              <w:autoSpaceDE/>
              <w:autoSpaceDN/>
              <w:bidi w:val="0"/>
              <w:adjustRightInd/>
              <w:snapToGrid/>
              <w:spacing w:before="0" w:after="0" w:line="240" w:lineRule="auto"/>
              <w:ind w:left="0" w:right="0" w:firstLine="422" w:firstLineChars="200"/>
              <w:jc w:val="center"/>
              <w:textAlignment w:val="auto"/>
              <w:rPr>
                <w:rFonts w:hint="default" w:ascii="Times New Roman" w:hAnsi="Times New Roman" w:eastAsia="宋体" w:cs="Times New Roman"/>
                <w:b/>
                <w:bCs/>
                <w:color w:val="auto"/>
                <w:kern w:val="2"/>
                <w:sz w:val="21"/>
                <w:szCs w:val="16"/>
                <w:highlight w:val="none"/>
                <w:vertAlign w:val="baseline"/>
                <w:lang w:val="en-US" w:eastAsia="zh-CN"/>
              </w:rPr>
            </w:pPr>
            <w:r>
              <w:rPr>
                <w:rFonts w:hint="default" w:ascii="Times New Roman" w:hAnsi="Times New Roman" w:eastAsia="宋体" w:cs="Times New Roman"/>
                <w:b/>
                <w:bCs/>
                <w:color w:val="auto"/>
                <w:kern w:val="2"/>
                <w:sz w:val="21"/>
                <w:szCs w:val="16"/>
                <w:highlight w:val="none"/>
                <w:vertAlign w:val="baseline"/>
                <w:lang w:val="en-US" w:eastAsia="zh-CN"/>
              </w:rPr>
              <w:t>表4.5-</w:t>
            </w:r>
            <w:r>
              <w:rPr>
                <w:rFonts w:hint="eastAsia" w:cs="Times New Roman"/>
                <w:b/>
                <w:bCs/>
                <w:color w:val="auto"/>
                <w:kern w:val="2"/>
                <w:sz w:val="21"/>
                <w:szCs w:val="16"/>
                <w:highlight w:val="none"/>
                <w:vertAlign w:val="baseline"/>
                <w:lang w:val="en-US" w:eastAsia="zh-CN"/>
              </w:rPr>
              <w:t>14</w:t>
            </w:r>
            <w:r>
              <w:rPr>
                <w:rFonts w:hint="default" w:ascii="Times New Roman" w:hAnsi="Times New Roman" w:eastAsia="宋体" w:cs="Times New Roman"/>
                <w:b/>
                <w:bCs/>
                <w:color w:val="auto"/>
                <w:kern w:val="2"/>
                <w:sz w:val="21"/>
                <w:szCs w:val="16"/>
                <w:highlight w:val="none"/>
                <w:vertAlign w:val="baseline"/>
                <w:lang w:val="en-US" w:eastAsia="zh-CN"/>
              </w:rPr>
              <w:t>废气监测制度一览表</w:t>
            </w:r>
          </w:p>
          <w:tbl>
            <w:tblPr>
              <w:tblStyle w:val="22"/>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008"/>
              <w:gridCol w:w="1008"/>
              <w:gridCol w:w="1563"/>
              <w:gridCol w:w="4925"/>
            </w:tblGrid>
            <w:tr w14:paraId="137CB7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016" w:type="dxa"/>
                  <w:gridSpan w:val="2"/>
                  <w:tcBorders>
                    <w:tl2br w:val="nil"/>
                    <w:tr2bl w:val="nil"/>
                  </w:tcBorders>
                  <w:noWrap w:val="0"/>
                  <w:vAlign w:val="center"/>
                </w:tcPr>
                <w:p w14:paraId="7DA63159">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rPr>
                    <w:t>项目</w:t>
                  </w:r>
                </w:p>
              </w:tc>
              <w:tc>
                <w:tcPr>
                  <w:tcW w:w="6488" w:type="dxa"/>
                  <w:gridSpan w:val="2"/>
                  <w:tcBorders>
                    <w:tl2br w:val="nil"/>
                    <w:tr2bl w:val="nil"/>
                  </w:tcBorders>
                  <w:noWrap w:val="0"/>
                  <w:vAlign w:val="center"/>
                </w:tcPr>
                <w:p w14:paraId="1589B9C8">
                  <w:pPr>
                    <w:keepNext w:val="0"/>
                    <w:keepLines w:val="0"/>
                    <w:widowControl w:val="0"/>
                    <w:suppressLineNumbers w:val="0"/>
                    <w:overflowPunct/>
                    <w:autoSpaceDE/>
                    <w:autoSpaceDN/>
                    <w:adjustRightInd w:val="0"/>
                    <w:snapToGrid w:val="0"/>
                    <w:spacing w:before="0" w:beforeAutospacing="0" w:after="0" w:afterAutospacing="0" w:line="280" w:lineRule="exact"/>
                    <w:ind w:left="0" w:right="0" w:firstLine="0" w:firstLineChars="0"/>
                    <w:jc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kern w:val="2"/>
                      <w:sz w:val="21"/>
                      <w:szCs w:val="21"/>
                      <w:highlight w:val="none"/>
                      <w:lang w:val="en-US" w:eastAsia="zh-CN" w:bidi="ar"/>
                    </w:rPr>
                    <w:t>监测制度</w:t>
                  </w:r>
                </w:p>
              </w:tc>
            </w:tr>
            <w:tr w14:paraId="3C5A2A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08" w:type="dxa"/>
                  <w:vMerge w:val="restart"/>
                  <w:tcBorders>
                    <w:tl2br w:val="nil"/>
                    <w:tr2bl w:val="nil"/>
                  </w:tcBorders>
                  <w:noWrap w:val="0"/>
                  <w:vAlign w:val="center"/>
                </w:tcPr>
                <w:p w14:paraId="3A93C3E5">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rPr>
                    <w:t>有组织排放</w:t>
                  </w:r>
                </w:p>
              </w:tc>
              <w:tc>
                <w:tcPr>
                  <w:tcW w:w="1008" w:type="dxa"/>
                  <w:vMerge w:val="restart"/>
                  <w:tcBorders>
                    <w:tl2br w:val="nil"/>
                    <w:tr2bl w:val="nil"/>
                  </w:tcBorders>
                  <w:noWrap w:val="0"/>
                  <w:vAlign w:val="center"/>
                </w:tcPr>
                <w:p w14:paraId="41535155">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
                    </w:rPr>
                    <w:t>氨、硫化氢、臭气浓度</w:t>
                  </w:r>
                </w:p>
              </w:tc>
              <w:tc>
                <w:tcPr>
                  <w:tcW w:w="1563" w:type="dxa"/>
                  <w:tcBorders>
                    <w:tl2br w:val="nil"/>
                    <w:tr2bl w:val="nil"/>
                  </w:tcBorders>
                  <w:noWrap w:val="0"/>
                  <w:vAlign w:val="center"/>
                </w:tcPr>
                <w:p w14:paraId="5FEA811F">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kern w:val="2"/>
                      <w:sz w:val="21"/>
                      <w:szCs w:val="21"/>
                      <w:highlight w:val="none"/>
                      <w:lang w:val="en-US" w:eastAsia="zh-CN" w:bidi="ar"/>
                    </w:rPr>
                    <w:t>监测点位</w:t>
                  </w:r>
                </w:p>
              </w:tc>
              <w:tc>
                <w:tcPr>
                  <w:tcW w:w="4925" w:type="dxa"/>
                  <w:tcBorders>
                    <w:tl2br w:val="nil"/>
                    <w:tr2bl w:val="nil"/>
                  </w:tcBorders>
                  <w:noWrap w:val="0"/>
                  <w:vAlign w:val="center"/>
                </w:tcPr>
                <w:p w14:paraId="5A76E1AD">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DA001（发酵罐区）</w:t>
                  </w:r>
                </w:p>
              </w:tc>
            </w:tr>
            <w:tr w14:paraId="4E15E5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08" w:type="dxa"/>
                  <w:vMerge w:val="continue"/>
                  <w:tcBorders>
                    <w:tl2br w:val="nil"/>
                    <w:tr2bl w:val="nil"/>
                  </w:tcBorders>
                  <w:noWrap w:val="0"/>
                  <w:vAlign w:val="center"/>
                </w:tcPr>
                <w:p w14:paraId="2B47BAB0">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rPr>
                  </w:pPr>
                </w:p>
              </w:tc>
              <w:tc>
                <w:tcPr>
                  <w:tcW w:w="1008" w:type="dxa"/>
                  <w:vMerge w:val="continue"/>
                  <w:tcBorders>
                    <w:tl2br w:val="nil"/>
                    <w:tr2bl w:val="nil"/>
                  </w:tcBorders>
                  <w:noWrap w:val="0"/>
                  <w:vAlign w:val="center"/>
                </w:tcPr>
                <w:p w14:paraId="354B2B06">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rPr>
                  </w:pPr>
                </w:p>
              </w:tc>
              <w:tc>
                <w:tcPr>
                  <w:tcW w:w="1563" w:type="dxa"/>
                  <w:tcBorders>
                    <w:tl2br w:val="nil"/>
                    <w:tr2bl w:val="nil"/>
                  </w:tcBorders>
                  <w:noWrap w:val="0"/>
                  <w:vAlign w:val="center"/>
                </w:tcPr>
                <w:p w14:paraId="2D0E256B">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kern w:val="2"/>
                      <w:sz w:val="21"/>
                      <w:szCs w:val="21"/>
                      <w:highlight w:val="none"/>
                      <w:lang w:val="en-US" w:eastAsia="zh-CN" w:bidi="ar"/>
                    </w:rPr>
                    <w:t>监测频次</w:t>
                  </w:r>
                </w:p>
              </w:tc>
              <w:tc>
                <w:tcPr>
                  <w:tcW w:w="4925" w:type="dxa"/>
                  <w:tcBorders>
                    <w:tl2br w:val="nil"/>
                    <w:tr2bl w:val="nil"/>
                  </w:tcBorders>
                  <w:noWrap w:val="0"/>
                  <w:vAlign w:val="center"/>
                </w:tcPr>
                <w:p w14:paraId="3DE9DE6D">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半年/次</w:t>
                  </w:r>
                </w:p>
              </w:tc>
            </w:tr>
            <w:tr w14:paraId="47CE94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08" w:type="dxa"/>
                  <w:vMerge w:val="continue"/>
                  <w:tcBorders>
                    <w:tl2br w:val="nil"/>
                    <w:tr2bl w:val="nil"/>
                  </w:tcBorders>
                  <w:noWrap w:val="0"/>
                  <w:vAlign w:val="center"/>
                </w:tcPr>
                <w:p w14:paraId="0118BCF2">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rPr>
                  </w:pPr>
                </w:p>
              </w:tc>
              <w:tc>
                <w:tcPr>
                  <w:tcW w:w="1008" w:type="dxa"/>
                  <w:vMerge w:val="restart"/>
                  <w:tcBorders>
                    <w:tl2br w:val="nil"/>
                    <w:tr2bl w:val="nil"/>
                  </w:tcBorders>
                  <w:noWrap w:val="0"/>
                  <w:vAlign w:val="center"/>
                </w:tcPr>
                <w:p w14:paraId="040C5C3A">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sz w:val="21"/>
                      <w:szCs w:val="21"/>
                      <w:lang w:val="en-US" w:eastAsia="zh-CN"/>
                    </w:rPr>
                    <w:t>颗粒物</w:t>
                  </w:r>
                </w:p>
              </w:tc>
              <w:tc>
                <w:tcPr>
                  <w:tcW w:w="1563" w:type="dxa"/>
                  <w:tcBorders>
                    <w:tl2br w:val="nil"/>
                    <w:tr2bl w:val="nil"/>
                  </w:tcBorders>
                  <w:noWrap w:val="0"/>
                  <w:vAlign w:val="center"/>
                </w:tcPr>
                <w:p w14:paraId="51AB475A">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kern w:val="2"/>
                      <w:sz w:val="21"/>
                      <w:szCs w:val="21"/>
                      <w:highlight w:val="none"/>
                      <w:lang w:val="en-US" w:eastAsia="zh-CN" w:bidi="ar"/>
                    </w:rPr>
                    <w:t>监测点位</w:t>
                  </w:r>
                </w:p>
              </w:tc>
              <w:tc>
                <w:tcPr>
                  <w:tcW w:w="4925" w:type="dxa"/>
                  <w:tcBorders>
                    <w:tl2br w:val="nil"/>
                    <w:tr2bl w:val="nil"/>
                  </w:tcBorders>
                  <w:noWrap w:val="0"/>
                  <w:vAlign w:val="center"/>
                </w:tcPr>
                <w:p w14:paraId="7F995C58">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DA002（加工车间）</w:t>
                  </w:r>
                </w:p>
              </w:tc>
            </w:tr>
            <w:tr w14:paraId="066D2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08" w:type="dxa"/>
                  <w:vMerge w:val="continue"/>
                  <w:tcBorders>
                    <w:tl2br w:val="nil"/>
                    <w:tr2bl w:val="nil"/>
                  </w:tcBorders>
                  <w:noWrap w:val="0"/>
                  <w:vAlign w:val="center"/>
                </w:tcPr>
                <w:p w14:paraId="77498F61">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rPr>
                  </w:pPr>
                </w:p>
              </w:tc>
              <w:tc>
                <w:tcPr>
                  <w:tcW w:w="1008" w:type="dxa"/>
                  <w:vMerge w:val="continue"/>
                  <w:tcBorders>
                    <w:tl2br w:val="nil"/>
                    <w:tr2bl w:val="nil"/>
                  </w:tcBorders>
                  <w:noWrap w:val="0"/>
                  <w:vAlign w:val="center"/>
                </w:tcPr>
                <w:p w14:paraId="7150050C">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rPr>
                  </w:pPr>
                </w:p>
              </w:tc>
              <w:tc>
                <w:tcPr>
                  <w:tcW w:w="1563" w:type="dxa"/>
                  <w:tcBorders>
                    <w:tl2br w:val="nil"/>
                    <w:tr2bl w:val="nil"/>
                  </w:tcBorders>
                  <w:noWrap w:val="0"/>
                  <w:vAlign w:val="center"/>
                </w:tcPr>
                <w:p w14:paraId="7E6EA71B">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kern w:val="2"/>
                      <w:sz w:val="21"/>
                      <w:szCs w:val="21"/>
                      <w:highlight w:val="none"/>
                      <w:lang w:val="en-US" w:eastAsia="zh-CN" w:bidi="ar"/>
                    </w:rPr>
                    <w:t>监测频次</w:t>
                  </w:r>
                </w:p>
              </w:tc>
              <w:tc>
                <w:tcPr>
                  <w:tcW w:w="4925" w:type="dxa"/>
                  <w:tcBorders>
                    <w:tl2br w:val="nil"/>
                    <w:tr2bl w:val="nil"/>
                  </w:tcBorders>
                  <w:noWrap w:val="0"/>
                  <w:vAlign w:val="center"/>
                </w:tcPr>
                <w:p w14:paraId="68A2F863">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半年/次</w:t>
                  </w:r>
                </w:p>
              </w:tc>
            </w:tr>
            <w:tr w14:paraId="417905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08" w:type="dxa"/>
                  <w:vMerge w:val="restart"/>
                  <w:tcBorders>
                    <w:tl2br w:val="nil"/>
                    <w:tr2bl w:val="nil"/>
                  </w:tcBorders>
                  <w:noWrap w:val="0"/>
                  <w:vAlign w:val="center"/>
                </w:tcPr>
                <w:p w14:paraId="31E26E55">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rPr>
                    <w:t>无组织排放</w:t>
                  </w:r>
                </w:p>
              </w:tc>
              <w:tc>
                <w:tcPr>
                  <w:tcW w:w="1008" w:type="dxa"/>
                  <w:vMerge w:val="restart"/>
                  <w:tcBorders>
                    <w:tl2br w:val="nil"/>
                    <w:tr2bl w:val="nil"/>
                  </w:tcBorders>
                  <w:noWrap w:val="0"/>
                  <w:vAlign w:val="center"/>
                </w:tcPr>
                <w:p w14:paraId="09E4D50B">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
                    </w:rPr>
                    <w:t xml:space="preserve">颗粒物、氨、硫化氢、臭气浓度 </w:t>
                  </w:r>
                </w:p>
              </w:tc>
              <w:tc>
                <w:tcPr>
                  <w:tcW w:w="1563" w:type="dxa"/>
                  <w:tcBorders>
                    <w:tl2br w:val="nil"/>
                    <w:tr2bl w:val="nil"/>
                  </w:tcBorders>
                  <w:noWrap w:val="0"/>
                  <w:vAlign w:val="center"/>
                </w:tcPr>
                <w:p w14:paraId="2EC5052E">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kern w:val="2"/>
                      <w:sz w:val="21"/>
                      <w:szCs w:val="21"/>
                      <w:highlight w:val="none"/>
                      <w:lang w:val="en-US" w:eastAsia="zh-CN" w:bidi="ar"/>
                    </w:rPr>
                    <w:t>监测点位</w:t>
                  </w:r>
                </w:p>
              </w:tc>
              <w:tc>
                <w:tcPr>
                  <w:tcW w:w="4925" w:type="dxa"/>
                  <w:tcBorders>
                    <w:tl2br w:val="nil"/>
                    <w:tr2bl w:val="nil"/>
                  </w:tcBorders>
                  <w:noWrap w:val="0"/>
                  <w:vAlign w:val="center"/>
                </w:tcPr>
                <w:p w14:paraId="08E2B38D">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rPr>
                    <w:t>企业厂界</w:t>
                  </w:r>
                </w:p>
              </w:tc>
            </w:tr>
            <w:tr w14:paraId="659E68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08" w:type="dxa"/>
                  <w:vMerge w:val="continue"/>
                  <w:tcBorders>
                    <w:tl2br w:val="nil"/>
                    <w:tr2bl w:val="nil"/>
                  </w:tcBorders>
                  <w:noWrap w:val="0"/>
                  <w:vAlign w:val="center"/>
                </w:tcPr>
                <w:p w14:paraId="58B3DFAC">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p>
              </w:tc>
              <w:tc>
                <w:tcPr>
                  <w:tcW w:w="1008" w:type="dxa"/>
                  <w:vMerge w:val="continue"/>
                  <w:tcBorders>
                    <w:tl2br w:val="nil"/>
                    <w:tr2bl w:val="nil"/>
                  </w:tcBorders>
                  <w:noWrap w:val="0"/>
                  <w:vAlign w:val="center"/>
                </w:tcPr>
                <w:p w14:paraId="380906DF">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p>
              </w:tc>
              <w:tc>
                <w:tcPr>
                  <w:tcW w:w="1563" w:type="dxa"/>
                  <w:tcBorders>
                    <w:tl2br w:val="nil"/>
                    <w:tr2bl w:val="nil"/>
                  </w:tcBorders>
                  <w:noWrap w:val="0"/>
                  <w:vAlign w:val="center"/>
                </w:tcPr>
                <w:p w14:paraId="1B717362">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kern w:val="2"/>
                      <w:sz w:val="21"/>
                      <w:szCs w:val="21"/>
                      <w:highlight w:val="none"/>
                      <w:lang w:val="en-US" w:eastAsia="zh-CN" w:bidi="ar"/>
                    </w:rPr>
                    <w:t>监测频次</w:t>
                  </w:r>
                </w:p>
              </w:tc>
              <w:tc>
                <w:tcPr>
                  <w:tcW w:w="4925" w:type="dxa"/>
                  <w:tcBorders>
                    <w:tl2br w:val="nil"/>
                    <w:tr2bl w:val="nil"/>
                  </w:tcBorders>
                  <w:noWrap w:val="0"/>
                  <w:vAlign w:val="center"/>
                </w:tcPr>
                <w:p w14:paraId="4470A5F3">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
                    </w:rPr>
                    <w:t>半年/次</w:t>
                  </w:r>
                </w:p>
              </w:tc>
            </w:tr>
            <w:tr w14:paraId="7AD4D1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016" w:type="dxa"/>
                  <w:gridSpan w:val="2"/>
                  <w:tcBorders>
                    <w:tl2br w:val="nil"/>
                    <w:tr2bl w:val="nil"/>
                  </w:tcBorders>
                  <w:noWrap w:val="0"/>
                  <w:vAlign w:val="center"/>
                </w:tcPr>
                <w:p w14:paraId="7151F2F2">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rPr>
                    <w:t>采样分析数据处理</w:t>
                  </w:r>
                </w:p>
              </w:tc>
              <w:tc>
                <w:tcPr>
                  <w:tcW w:w="6488" w:type="dxa"/>
                  <w:gridSpan w:val="2"/>
                  <w:tcBorders>
                    <w:tl2br w:val="nil"/>
                    <w:tr2bl w:val="nil"/>
                  </w:tcBorders>
                  <w:noWrap w:val="0"/>
                  <w:vAlign w:val="center"/>
                </w:tcPr>
                <w:p w14:paraId="20D5AC84">
                  <w:pPr>
                    <w:keepNext w:val="0"/>
                    <w:keepLines w:val="0"/>
                    <w:widowControl w:val="0"/>
                    <w:suppressLineNumbers w:val="0"/>
                    <w:overflowPunct/>
                    <w:autoSpaceDE/>
                    <w:autoSpaceDN/>
                    <w:adjustRightInd w:val="0"/>
                    <w:snapToGrid w:val="0"/>
                    <w:spacing w:before="0" w:beforeAutospacing="0" w:after="0" w:afterAutospacing="0" w:line="280" w:lineRule="exact"/>
                    <w:ind w:left="0" w:right="0" w:firstLine="0" w:firstLineChars="0"/>
                    <w:jc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kern w:val="2"/>
                      <w:sz w:val="21"/>
                      <w:szCs w:val="21"/>
                      <w:highlight w:val="none"/>
                      <w:lang w:val="en-US" w:eastAsia="zh-CN" w:bidi="ar"/>
                    </w:rPr>
                    <w:t>按照《环境空气质量标准》(GB3095-2012)、《环境空气质量手工监测技术规范》（HJ194-2017）、《固定污染源烟气排放连续监测技术规范》（HJ75-2017）的有关规定进行，无组织废气排放监测应同步监测气象参数。</w:t>
                  </w:r>
                </w:p>
              </w:tc>
            </w:tr>
          </w:tbl>
          <w:p w14:paraId="4A715669">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kern w:val="2"/>
                <w:sz w:val="24"/>
                <w:szCs w:val="24"/>
                <w:highlight w:val="none"/>
                <w:lang w:val="en-US" w:eastAsia="zh-CN" w:bidi="ar-SA"/>
              </w:rPr>
              <w:t>（7）废气污染防治措施</w:t>
            </w:r>
          </w:p>
          <w:p w14:paraId="1BFDACB8">
            <w:pPr>
              <w:overflowPunct w:val="0"/>
              <w:autoSpaceDE w:val="0"/>
              <w:autoSpaceDN w:val="0"/>
              <w:bidi w:val="0"/>
              <w:adjustRightInd w:val="0"/>
              <w:snapToGrid w:val="0"/>
              <w:spacing w:before="0" w:after="0" w:line="360" w:lineRule="auto"/>
              <w:ind w:left="0" w:right="0" w:firstLine="480" w:firstLineChars="200"/>
              <w:jc w:val="left"/>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有组织排放污染防治措施：</w:t>
            </w:r>
          </w:p>
          <w:p w14:paraId="1CD1E778">
            <w:pPr>
              <w:overflowPunct w:val="0"/>
              <w:autoSpaceDE w:val="0"/>
              <w:autoSpaceDN w:val="0"/>
              <w:bidi w:val="0"/>
              <w:adjustRightInd w:val="0"/>
              <w:snapToGrid w:val="0"/>
              <w:spacing w:before="0" w:after="0" w:line="360" w:lineRule="auto"/>
              <w:ind w:left="0" w:right="0" w:firstLine="480" w:firstLineChars="200"/>
              <w:jc w:val="left"/>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a）污染防治设施应与其对应的生产工艺设备同步运转，保证在生产工艺设备运行波动情况下仍能正常运转，实现达标排放。</w:t>
            </w:r>
          </w:p>
          <w:p w14:paraId="3B1EDE31">
            <w:pPr>
              <w:overflowPunct w:val="0"/>
              <w:autoSpaceDE w:val="0"/>
              <w:autoSpaceDN w:val="0"/>
              <w:bidi w:val="0"/>
              <w:adjustRightInd w:val="0"/>
              <w:snapToGrid w:val="0"/>
              <w:spacing w:before="0" w:after="0" w:line="360" w:lineRule="auto"/>
              <w:ind w:left="0" w:right="0" w:firstLine="480" w:firstLineChars="200"/>
              <w:jc w:val="left"/>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b）加强除尘设备巡检，消除设备隐患，保证设备正常运行，废气处理装置定期维护检查，保证设备完整无破损。</w:t>
            </w:r>
          </w:p>
          <w:p w14:paraId="1D893FB0">
            <w:pPr>
              <w:overflowPunct w:val="0"/>
              <w:autoSpaceDE w:val="0"/>
              <w:autoSpaceDN w:val="0"/>
              <w:bidi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无组织排放污染防治措施：</w:t>
            </w:r>
          </w:p>
          <w:p w14:paraId="3FB0BCDD">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lang w:val="en-US" w:eastAsia="zh-CN"/>
              </w:rPr>
              <w:t>a）</w:t>
            </w:r>
            <w:r>
              <w:rPr>
                <w:rFonts w:hint="default" w:ascii="Times New Roman" w:hAnsi="Times New Roman" w:eastAsia="宋体" w:cs="Times New Roman"/>
                <w:color w:val="auto"/>
                <w:kern w:val="2"/>
                <w:sz w:val="24"/>
                <w:szCs w:val="24"/>
                <w:lang w:val="en-US" w:eastAsia="zh-CN" w:bidi="ar-SA"/>
              </w:rPr>
              <w:t xml:space="preserve"> 设计、选型及施工</w:t>
            </w:r>
          </w:p>
          <w:p w14:paraId="6E082553">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① 设计及设备、设施选择严格执行国家相关法规、设计标准、规范。</w:t>
            </w:r>
          </w:p>
          <w:p w14:paraId="41B94130">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② 所有设备选材、选型设计时增大安全系数，确保设备安全、无泄漏。</w:t>
            </w:r>
          </w:p>
          <w:p w14:paraId="471D40FE">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③工艺物料输送泵均采用屏蔽泵，该类型的泵无动密封点，确保运行中安全无泄漏。</w:t>
            </w:r>
          </w:p>
          <w:p w14:paraId="740C9821">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lang w:val="en-US" w:eastAsia="zh-CN"/>
              </w:rPr>
              <w:t>b）</w:t>
            </w:r>
            <w:r>
              <w:rPr>
                <w:rFonts w:hint="default" w:ascii="Times New Roman" w:hAnsi="Times New Roman" w:eastAsia="宋体" w:cs="Times New Roman"/>
                <w:color w:val="auto"/>
                <w:kern w:val="2"/>
                <w:sz w:val="24"/>
                <w:szCs w:val="24"/>
                <w:lang w:val="en-US" w:eastAsia="zh-CN" w:bidi="ar-SA"/>
              </w:rPr>
              <w:t>管理及维护</w:t>
            </w:r>
          </w:p>
          <w:p w14:paraId="438AE758">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 xml:space="preserve">① 制定全面的生产管理、安全生产、环保管理等规章制度，严格生产管理，按制度落实生产设施巡查、巡检，定期对设备、管道、阀门、法兰、输送泵等进行维护，发现问题第一时间进行处理。 </w:t>
            </w:r>
          </w:p>
          <w:p w14:paraId="59617118">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② 加强岗位培训，落实安全生产责任制。公司领导把安全生产、防范事故工作放在第一位，严格安全生产管理，经常检查安全生产措施，发现问题及时解决，消除事故隐患；强化生产操作人员的安全培训教育，增强全体职工的责任感；生产操作人员必须严格执行操作规程，熟悉发生非正常排放时应急处理措施。</w:t>
            </w:r>
          </w:p>
          <w:p w14:paraId="510E0DD5">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③ 加强设备管理，消除非正常排放隐患</w:t>
            </w:r>
          </w:p>
          <w:p w14:paraId="322845D8">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加强管理和维护工作，确保生产系统、环保设施正常运行，易损件在使用寿命期限内提前进行更换，充分估计非正常排放发生的可能性，制定应急处理措施。</w:t>
            </w:r>
          </w:p>
          <w:p w14:paraId="35C95163">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color w:val="auto"/>
                <w:kern w:val="2"/>
                <w:sz w:val="24"/>
                <w:szCs w:val="20"/>
                <w:highlight w:val="none"/>
                <w:lang w:val="en-US" w:eastAsia="zh-CN"/>
              </w:rPr>
            </w:pPr>
            <w:r>
              <w:rPr>
                <w:rFonts w:hint="default" w:ascii="Times New Roman" w:hAnsi="Times New Roman" w:eastAsia="宋体" w:cs="Times New Roman"/>
                <w:color w:val="auto"/>
                <w:kern w:val="2"/>
                <w:sz w:val="24"/>
                <w:szCs w:val="24"/>
                <w:lang w:val="en-US" w:eastAsia="zh-CN" w:bidi="ar-SA"/>
              </w:rPr>
              <w:t>④在污染治理设施“三同时”未落实前主体工程不允许投入生产。</w:t>
            </w:r>
          </w:p>
          <w:p w14:paraId="65FD9D65">
            <w:pPr>
              <w:widowControl w:val="0"/>
              <w:overflowPunct w:val="0"/>
              <w:autoSpaceDE w:val="0"/>
              <w:autoSpaceDN w:val="0"/>
              <w:adjustRightInd w:val="0"/>
              <w:snapToGrid w:val="0"/>
              <w:spacing w:before="0" w:after="0" w:line="360" w:lineRule="auto"/>
              <w:ind w:left="0" w:right="0" w:firstLine="480" w:firstLineChars="200"/>
              <w:jc w:val="both"/>
              <w:rPr>
                <w:rFonts w:hint="default" w:ascii="Times New Roman" w:hAnsi="Times New Roman" w:eastAsia="宋体" w:cs="Times New Roman"/>
                <w:b/>
                <w:color w:val="auto"/>
                <w:sz w:val="28"/>
                <w:szCs w:val="30"/>
                <w:lang w:val="en-US" w:eastAsia="zh-CN" w:bidi="ar-SA"/>
              </w:rPr>
            </w:pPr>
            <w:r>
              <w:rPr>
                <w:rFonts w:hint="default" w:ascii="Times New Roman" w:hAnsi="Times New Roman" w:eastAsia="宋体" w:cs="Times New Roman"/>
                <w:bCs/>
                <w:color w:val="auto"/>
                <w:kern w:val="2"/>
                <w:sz w:val="24"/>
                <w:szCs w:val="24"/>
              </w:rPr>
              <w:t>综上所述，项目大气污染物治理措施</w:t>
            </w:r>
            <w:r>
              <w:rPr>
                <w:rFonts w:hint="default" w:ascii="Times New Roman" w:hAnsi="Times New Roman" w:eastAsia="宋体" w:cs="Times New Roman"/>
                <w:color w:val="auto"/>
                <w:kern w:val="2"/>
                <w:sz w:val="24"/>
                <w:szCs w:val="24"/>
              </w:rPr>
              <w:t>从经济、技术角度可行，项目大气污染物排放不会对周围</w:t>
            </w:r>
            <w:r>
              <w:rPr>
                <w:rFonts w:hint="default" w:ascii="Times New Roman" w:hAnsi="Times New Roman" w:eastAsia="宋体" w:cs="Times New Roman"/>
                <w:color w:val="auto"/>
                <w:kern w:val="2"/>
                <w:sz w:val="24"/>
                <w:szCs w:val="24"/>
                <w:lang w:val="en-US" w:eastAsia="zh-CN"/>
              </w:rPr>
              <w:t>环境</w:t>
            </w:r>
            <w:r>
              <w:rPr>
                <w:rFonts w:hint="default" w:ascii="Times New Roman" w:hAnsi="Times New Roman" w:eastAsia="宋体" w:cs="Times New Roman"/>
                <w:color w:val="auto"/>
                <w:kern w:val="2"/>
                <w:sz w:val="24"/>
                <w:szCs w:val="24"/>
              </w:rPr>
              <w:t>造成影响。</w:t>
            </w:r>
          </w:p>
          <w:p w14:paraId="73AD74EA">
            <w:pPr>
              <w:widowControl w:val="0"/>
              <w:overflowPunct w:val="0"/>
              <w:autoSpaceDE w:val="0"/>
              <w:autoSpaceDN w:val="0"/>
              <w:bidi w:val="0"/>
              <w:adjustRightInd w:val="0"/>
              <w:snapToGrid w:val="0"/>
              <w:spacing w:before="0" w:after="0" w:line="360" w:lineRule="auto"/>
              <w:ind w:right="0"/>
              <w:jc w:val="left"/>
              <w:outlineLvl w:val="1"/>
              <w:rPr>
                <w:rFonts w:hint="default" w:ascii="Times New Roman" w:hAnsi="Times New Roman" w:eastAsia="宋体" w:cs="Times New Roman"/>
                <w:b/>
                <w:color w:val="auto"/>
                <w:sz w:val="28"/>
                <w:szCs w:val="30"/>
                <w:lang w:val="en-US" w:eastAsia="zh-CN" w:bidi="ar-SA"/>
              </w:rPr>
            </w:pPr>
            <w:r>
              <w:rPr>
                <w:rFonts w:hint="eastAsia" w:cs="Times New Roman"/>
                <w:b/>
                <w:color w:val="auto"/>
                <w:sz w:val="28"/>
                <w:szCs w:val="30"/>
                <w:lang w:val="en-US" w:eastAsia="zh-CN" w:bidi="ar-SA"/>
              </w:rPr>
              <w:t>2、</w:t>
            </w:r>
            <w:r>
              <w:rPr>
                <w:rFonts w:hint="default" w:ascii="Times New Roman" w:hAnsi="Times New Roman" w:eastAsia="宋体" w:cs="Times New Roman"/>
                <w:b/>
                <w:color w:val="auto"/>
                <w:sz w:val="28"/>
                <w:szCs w:val="30"/>
                <w:lang w:val="en-US" w:eastAsia="zh-CN" w:bidi="ar-SA"/>
              </w:rPr>
              <w:t>废水</w:t>
            </w:r>
          </w:p>
          <w:p w14:paraId="1BA5AC72">
            <w:pPr>
              <w:widowControl w:val="0"/>
              <w:overflowPunct w:val="0"/>
              <w:autoSpaceDE w:val="0"/>
              <w:autoSpaceDN w:val="0"/>
              <w:bidi w:val="0"/>
              <w:adjustRightInd w:val="0"/>
              <w:snapToGrid w:val="0"/>
              <w:spacing w:before="0" w:after="0" w:line="360" w:lineRule="auto"/>
              <w:ind w:right="0"/>
              <w:jc w:val="both"/>
              <w:outlineLvl w:val="1"/>
              <w:rPr>
                <w:rFonts w:hint="default" w:ascii="Times New Roman" w:hAnsi="Times New Roman" w:eastAsia="宋体" w:cs="Times New Roman"/>
                <w:b w:val="0"/>
                <w:bCs w:val="0"/>
                <w:color w:val="auto"/>
                <w:kern w:val="2"/>
                <w:sz w:val="24"/>
                <w:szCs w:val="20"/>
                <w:highlight w:val="none"/>
                <w:lang w:val="en-US" w:eastAsia="zh-CN"/>
              </w:rPr>
            </w:pPr>
            <w:r>
              <w:rPr>
                <w:rFonts w:hint="default" w:ascii="Times New Roman" w:hAnsi="Times New Roman" w:eastAsia="宋体" w:cs="Times New Roman"/>
                <w:b w:val="0"/>
                <w:bCs w:val="0"/>
                <w:color w:val="auto"/>
                <w:kern w:val="2"/>
                <w:sz w:val="24"/>
                <w:szCs w:val="20"/>
                <w:highlight w:val="none"/>
                <w:lang w:val="en-US" w:eastAsia="zh-CN"/>
              </w:rPr>
              <w:t>本项目厂区不设置生活区，且生产不涉及用水，因此无废水产生。</w:t>
            </w:r>
          </w:p>
          <w:p w14:paraId="0EBD5040">
            <w:pPr>
              <w:widowControl w:val="0"/>
              <w:overflowPunct w:val="0"/>
              <w:autoSpaceDE w:val="0"/>
              <w:autoSpaceDN w:val="0"/>
              <w:bidi w:val="0"/>
              <w:adjustRightInd w:val="0"/>
              <w:snapToGrid w:val="0"/>
              <w:spacing w:before="0" w:after="0" w:line="360" w:lineRule="auto"/>
              <w:ind w:right="0"/>
              <w:jc w:val="both"/>
              <w:outlineLvl w:val="1"/>
              <w:rPr>
                <w:rFonts w:hint="default" w:ascii="Times New Roman" w:hAnsi="Times New Roman" w:eastAsia="宋体" w:cs="Times New Roman"/>
                <w:b/>
                <w:color w:val="auto"/>
                <w:sz w:val="28"/>
                <w:szCs w:val="30"/>
                <w:highlight w:val="none"/>
                <w:lang w:val="en-US" w:eastAsia="zh-CN" w:bidi="ar-SA"/>
              </w:rPr>
            </w:pPr>
            <w:r>
              <w:rPr>
                <w:rFonts w:hint="eastAsia" w:cs="Times New Roman"/>
                <w:b/>
                <w:color w:val="auto"/>
                <w:sz w:val="28"/>
                <w:szCs w:val="30"/>
                <w:highlight w:val="none"/>
                <w:lang w:val="en-US" w:eastAsia="zh-CN" w:bidi="ar-SA"/>
              </w:rPr>
              <w:t>3、</w:t>
            </w:r>
            <w:r>
              <w:rPr>
                <w:rFonts w:hint="default" w:ascii="Times New Roman" w:hAnsi="Times New Roman" w:eastAsia="宋体" w:cs="Times New Roman"/>
                <w:b/>
                <w:color w:val="auto"/>
                <w:sz w:val="28"/>
                <w:szCs w:val="30"/>
                <w:highlight w:val="none"/>
                <w:lang w:val="en-US" w:eastAsia="zh-CN" w:bidi="ar-SA"/>
              </w:rPr>
              <w:t>噪声</w:t>
            </w:r>
          </w:p>
          <w:p w14:paraId="01EDFB0D">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b w:val="0"/>
                <w:bCs w:val="0"/>
                <w:color w:val="auto"/>
                <w:kern w:val="2"/>
                <w:sz w:val="24"/>
                <w:szCs w:val="20"/>
                <w:highlight w:val="none"/>
                <w:lang w:val="en-US" w:eastAsia="zh-CN"/>
              </w:rPr>
            </w:pPr>
            <w:r>
              <w:rPr>
                <w:rFonts w:hint="default" w:ascii="Times New Roman" w:hAnsi="Times New Roman" w:eastAsia="宋体" w:cs="Times New Roman"/>
                <w:b w:val="0"/>
                <w:bCs w:val="0"/>
                <w:color w:val="auto"/>
                <w:kern w:val="2"/>
                <w:sz w:val="24"/>
                <w:szCs w:val="20"/>
                <w:highlight w:val="none"/>
                <w:lang w:val="en-US" w:eastAsia="zh-CN"/>
              </w:rPr>
              <w:t>（1）噪声源强分析</w:t>
            </w:r>
          </w:p>
          <w:p w14:paraId="0AA98A26">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0"/>
                <w:highlight w:val="none"/>
                <w:lang w:val="en-US" w:eastAsia="zh-CN"/>
              </w:rPr>
              <w:t>项目营运期主要噪声源有翻抛机、风机、筛分机、包装机</w:t>
            </w:r>
            <w:r>
              <w:rPr>
                <w:rFonts w:hint="default" w:ascii="Times New Roman" w:hAnsi="Times New Roman" w:eastAsia="宋体" w:cs="Times New Roman"/>
                <w:color w:val="auto"/>
              </w:rPr>
              <w:t>噪声</w:t>
            </w:r>
            <w:r>
              <w:rPr>
                <w:rFonts w:hint="default" w:ascii="Times New Roman" w:hAnsi="Times New Roman" w:eastAsia="宋体" w:cs="Times New Roman"/>
                <w:color w:val="auto"/>
                <w:kern w:val="2"/>
                <w:sz w:val="24"/>
                <w:szCs w:val="20"/>
                <w:highlight w:val="none"/>
                <w:lang w:val="en-US" w:eastAsia="zh-CN"/>
              </w:rPr>
              <w:t>等设备运行过程中产生噪声，源强在80~90dB（A）之间。</w:t>
            </w:r>
            <w:r>
              <w:rPr>
                <w:rFonts w:hint="default" w:ascii="Times New Roman" w:hAnsi="Times New Roman" w:eastAsia="宋体" w:cs="Times New Roman"/>
                <w:color w:val="auto"/>
                <w:kern w:val="2"/>
                <w:sz w:val="24"/>
                <w:szCs w:val="24"/>
                <w:highlight w:val="none"/>
                <w:lang w:val="en-US" w:eastAsia="zh-CN" w:bidi="ar-SA"/>
              </w:rPr>
              <w:t>针对以上噪声源产生情况，项目将采取了以下防噪、降噪措施：</w:t>
            </w:r>
          </w:p>
          <w:p w14:paraId="68E44D3B">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a.在满足生产要求的前提下，选用低噪声设备，从根本上降低噪声源强；</w:t>
            </w:r>
          </w:p>
          <w:p w14:paraId="366B7F75">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b.风机等强噪声设备设置罩壳，利用隔声且考虑减振等措施，有效地控制噪声对环境的影响；</w:t>
            </w:r>
          </w:p>
          <w:p w14:paraId="1F0C8089">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c.提高零部件的装配精度，加强运转部件的润滑，降低</w:t>
            </w:r>
            <w:r>
              <w:rPr>
                <w:rFonts w:hint="eastAsia" w:cs="Times New Roman"/>
                <w:color w:val="auto"/>
                <w:kern w:val="2"/>
                <w:sz w:val="24"/>
                <w:szCs w:val="24"/>
                <w:highlight w:val="none"/>
                <w:lang w:val="en-US" w:eastAsia="zh-CN" w:bidi="ar-SA"/>
              </w:rPr>
              <w:t>摩擦力</w:t>
            </w:r>
            <w:r>
              <w:rPr>
                <w:rFonts w:hint="default" w:ascii="Times New Roman" w:hAnsi="Times New Roman" w:eastAsia="宋体" w:cs="Times New Roman"/>
                <w:color w:val="auto"/>
                <w:kern w:val="2"/>
                <w:sz w:val="24"/>
                <w:szCs w:val="24"/>
                <w:highlight w:val="none"/>
                <w:lang w:val="en-US" w:eastAsia="zh-CN" w:bidi="ar-SA"/>
              </w:rPr>
              <w:t>，对各连接部位安装弹性钢垫或橡胶衬垫，以减少传动装置间的振动；</w:t>
            </w:r>
          </w:p>
          <w:p w14:paraId="7A59E2E6">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d.为了减小噪声和振动对环境的影响，在设备安装时采用下垫减振橡胶减振；</w:t>
            </w:r>
          </w:p>
          <w:p w14:paraId="2EED3AC1">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e.种植绿化带起到一定的隔声降噪作用；</w:t>
            </w:r>
          </w:p>
          <w:p w14:paraId="22530C17">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auto"/>
                <w:kern w:val="2"/>
                <w:sz w:val="24"/>
                <w:szCs w:val="20"/>
                <w:highlight w:val="none"/>
                <w:lang w:val="en-US" w:eastAsia="zh-CN"/>
              </w:rPr>
            </w:pPr>
            <w:r>
              <w:rPr>
                <w:rFonts w:hint="default" w:ascii="Times New Roman" w:hAnsi="Times New Roman" w:eastAsia="宋体" w:cs="Times New Roman"/>
                <w:color w:val="auto"/>
                <w:kern w:val="2"/>
                <w:sz w:val="24"/>
                <w:szCs w:val="20"/>
                <w:highlight w:val="none"/>
                <w:lang w:val="en-US" w:eastAsia="zh-CN"/>
              </w:rPr>
              <w:t>采取上述措施后，项目噪声源强可降低20dB（A）左右。主要噪声源见下表。</w:t>
            </w:r>
          </w:p>
          <w:p w14:paraId="702852CD">
            <w:pPr>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auto"/>
                <w:lang w:val="en-US" w:eastAsia="zh-CN"/>
              </w:rPr>
            </w:pPr>
          </w:p>
        </w:tc>
      </w:tr>
    </w:tbl>
    <w:p w14:paraId="7F99D557">
      <w:pPr>
        <w:pStyle w:val="15"/>
        <w:rPr>
          <w:rFonts w:hint="default" w:ascii="Times New Roman" w:hAnsi="Times New Roman" w:eastAsia="宋体" w:cs="Times New Roman"/>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06D60ED">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宋体" w:cs="Times New Roman"/>
          <w:b/>
          <w:bCs/>
          <w:color w:val="auto"/>
          <w:sz w:val="24"/>
          <w:szCs w:val="20"/>
          <w:highlight w:val="none"/>
          <w:vertAlign w:val="baseline"/>
          <w:lang w:val="en-US" w:eastAsia="zh-CN"/>
        </w:rPr>
      </w:pPr>
      <w:r>
        <w:rPr>
          <w:rFonts w:hint="default" w:ascii="Times New Roman" w:hAnsi="Times New Roman" w:eastAsia="宋体" w:cs="Times New Roman"/>
          <w:b/>
          <w:bCs/>
          <w:color w:val="auto"/>
          <w:sz w:val="21"/>
          <w:szCs w:val="16"/>
          <w:highlight w:val="none"/>
          <w:vertAlign w:val="baseline"/>
          <w:lang w:val="en-US" w:eastAsia="zh-CN"/>
        </w:rPr>
        <w:t>表4.7-1本项目主要噪声源调查一览表（室内）</w:t>
      </w:r>
    </w:p>
    <w:tbl>
      <w:tblPr>
        <w:tblStyle w:val="41"/>
        <w:tblW w:w="1474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311"/>
        <w:gridCol w:w="793"/>
        <w:gridCol w:w="1454"/>
        <w:gridCol w:w="848"/>
        <w:gridCol w:w="1611"/>
        <w:gridCol w:w="461"/>
        <w:gridCol w:w="462"/>
        <w:gridCol w:w="462"/>
        <w:gridCol w:w="462"/>
        <w:gridCol w:w="462"/>
        <w:gridCol w:w="462"/>
        <w:gridCol w:w="462"/>
        <w:gridCol w:w="462"/>
        <w:gridCol w:w="462"/>
        <w:gridCol w:w="462"/>
        <w:gridCol w:w="462"/>
        <w:gridCol w:w="462"/>
        <w:gridCol w:w="462"/>
        <w:gridCol w:w="462"/>
        <w:gridCol w:w="462"/>
        <w:gridCol w:w="462"/>
        <w:gridCol w:w="462"/>
        <w:gridCol w:w="462"/>
        <w:gridCol w:w="463"/>
        <w:gridCol w:w="463"/>
        <w:gridCol w:w="482"/>
      </w:tblGrid>
      <w:tr w14:paraId="6A0DB58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311" w:type="dxa"/>
            <w:vMerge w:val="restart"/>
            <w:tcBorders>
              <w:tl2br w:val="nil"/>
              <w:tr2bl w:val="nil"/>
            </w:tcBorders>
            <w:vAlign w:val="center"/>
          </w:tcPr>
          <w:p w14:paraId="3B858A9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
                <w:sz w:val="21"/>
                <w:szCs w:val="21"/>
              </w:rPr>
              <w:t>序号</w:t>
            </w:r>
          </w:p>
        </w:tc>
        <w:tc>
          <w:tcPr>
            <w:tcW w:w="793" w:type="dxa"/>
            <w:vMerge w:val="restart"/>
            <w:tcBorders>
              <w:tl2br w:val="nil"/>
              <w:tr2bl w:val="nil"/>
            </w:tcBorders>
            <w:vAlign w:val="center"/>
          </w:tcPr>
          <w:p w14:paraId="672D849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
                <w:sz w:val="21"/>
                <w:szCs w:val="21"/>
              </w:rPr>
              <w:t>建筑物名称</w:t>
            </w:r>
          </w:p>
        </w:tc>
        <w:tc>
          <w:tcPr>
            <w:tcW w:w="1454" w:type="dxa"/>
            <w:vMerge w:val="restart"/>
            <w:tcBorders>
              <w:tl2br w:val="nil"/>
              <w:tr2bl w:val="nil"/>
            </w:tcBorders>
            <w:vAlign w:val="center"/>
          </w:tcPr>
          <w:p w14:paraId="0F7D100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声源名称</w:t>
            </w:r>
          </w:p>
        </w:tc>
        <w:tc>
          <w:tcPr>
            <w:tcW w:w="848" w:type="dxa"/>
            <w:tcBorders>
              <w:tl2br w:val="nil"/>
              <w:tr2bl w:val="nil"/>
            </w:tcBorders>
            <w:vAlign w:val="center"/>
          </w:tcPr>
          <w:p w14:paraId="06D5A07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声源源强</w:t>
            </w:r>
          </w:p>
        </w:tc>
        <w:tc>
          <w:tcPr>
            <w:tcW w:w="1611" w:type="dxa"/>
            <w:vMerge w:val="restart"/>
            <w:tcBorders>
              <w:tl2br w:val="nil"/>
              <w:tr2bl w:val="nil"/>
            </w:tcBorders>
            <w:vAlign w:val="center"/>
          </w:tcPr>
          <w:p w14:paraId="089A8EB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声源控制措施</w:t>
            </w:r>
          </w:p>
        </w:tc>
        <w:tc>
          <w:tcPr>
            <w:tcW w:w="1385" w:type="dxa"/>
            <w:gridSpan w:val="3"/>
            <w:tcBorders>
              <w:tl2br w:val="nil"/>
              <w:tr2bl w:val="nil"/>
            </w:tcBorders>
            <w:vAlign w:val="center"/>
          </w:tcPr>
          <w:p w14:paraId="798BE204">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空间相对位置/m</w:t>
            </w:r>
          </w:p>
        </w:tc>
        <w:tc>
          <w:tcPr>
            <w:tcW w:w="1848" w:type="dxa"/>
            <w:gridSpan w:val="4"/>
            <w:tcBorders>
              <w:tl2br w:val="nil"/>
              <w:tr2bl w:val="nil"/>
            </w:tcBorders>
            <w:vAlign w:val="center"/>
          </w:tcPr>
          <w:p w14:paraId="50C3FB87">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1"/>
                <w:sz w:val="21"/>
                <w:szCs w:val="21"/>
              </w:rPr>
              <w:t>距室内边界距离/m</w:t>
            </w:r>
          </w:p>
        </w:tc>
        <w:tc>
          <w:tcPr>
            <w:tcW w:w="1848" w:type="dxa"/>
            <w:gridSpan w:val="4"/>
            <w:tcBorders>
              <w:tl2br w:val="nil"/>
              <w:tr2bl w:val="nil"/>
            </w:tcBorders>
            <w:vAlign w:val="center"/>
          </w:tcPr>
          <w:p w14:paraId="7EB440AA">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pacing w:val="-1"/>
                <w:sz w:val="21"/>
                <w:szCs w:val="21"/>
              </w:rPr>
              <w:t>室内边界声级/dB</w:t>
            </w:r>
            <w:r>
              <w:rPr>
                <w:rFonts w:hint="default" w:ascii="Times New Roman" w:hAnsi="Times New Roman" w:eastAsia="宋体" w:cs="Times New Roman"/>
                <w:color w:val="auto"/>
                <w:spacing w:val="-1"/>
                <w:sz w:val="21"/>
                <w:szCs w:val="21"/>
                <w:lang w:eastAsia="zh-CN"/>
              </w:rPr>
              <w:t>（</w:t>
            </w:r>
            <w:r>
              <w:rPr>
                <w:rFonts w:hint="default" w:ascii="Times New Roman" w:hAnsi="Times New Roman" w:eastAsia="宋体" w:cs="Times New Roman"/>
                <w:color w:val="auto"/>
                <w:spacing w:val="-1"/>
                <w:sz w:val="21"/>
                <w:szCs w:val="21"/>
              </w:rPr>
              <w:t>A</w:t>
            </w:r>
            <w:r>
              <w:rPr>
                <w:rFonts w:hint="default" w:ascii="Times New Roman" w:hAnsi="Times New Roman" w:eastAsia="宋体" w:cs="Times New Roman"/>
                <w:color w:val="auto"/>
                <w:spacing w:val="-1"/>
                <w:sz w:val="21"/>
                <w:szCs w:val="21"/>
                <w:lang w:eastAsia="zh-CN"/>
              </w:rPr>
              <w:t>）</w:t>
            </w:r>
          </w:p>
        </w:tc>
        <w:tc>
          <w:tcPr>
            <w:tcW w:w="462" w:type="dxa"/>
            <w:vMerge w:val="restart"/>
            <w:tcBorders>
              <w:tl2br w:val="nil"/>
              <w:tr2bl w:val="nil"/>
            </w:tcBorders>
            <w:vAlign w:val="center"/>
          </w:tcPr>
          <w:p w14:paraId="6820FD0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2"/>
                <w:sz w:val="21"/>
                <w:szCs w:val="21"/>
              </w:rPr>
              <w:t>运行时</w:t>
            </w:r>
            <w:r>
              <w:rPr>
                <w:rFonts w:hint="default" w:ascii="Times New Roman" w:hAnsi="Times New Roman" w:eastAsia="宋体" w:cs="Times New Roman"/>
                <w:color w:val="auto"/>
                <w:sz w:val="21"/>
                <w:szCs w:val="21"/>
              </w:rPr>
              <w:t>段</w:t>
            </w:r>
          </w:p>
        </w:tc>
        <w:tc>
          <w:tcPr>
            <w:tcW w:w="1848" w:type="dxa"/>
            <w:gridSpan w:val="4"/>
            <w:tcBorders>
              <w:tl2br w:val="nil"/>
              <w:tr2bl w:val="nil"/>
            </w:tcBorders>
            <w:vAlign w:val="center"/>
          </w:tcPr>
          <w:p w14:paraId="2FE3F220">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pacing w:val="-1"/>
                <w:sz w:val="21"/>
                <w:szCs w:val="21"/>
              </w:rPr>
              <w:t>建筑物插入损失/dB</w:t>
            </w:r>
            <w:r>
              <w:rPr>
                <w:rFonts w:hint="default" w:ascii="Times New Roman" w:hAnsi="Times New Roman" w:eastAsia="宋体" w:cs="Times New Roman"/>
                <w:color w:val="auto"/>
                <w:spacing w:val="-1"/>
                <w:sz w:val="21"/>
                <w:szCs w:val="21"/>
                <w:lang w:eastAsia="zh-CN"/>
              </w:rPr>
              <w:t>（</w:t>
            </w:r>
            <w:r>
              <w:rPr>
                <w:rFonts w:hint="default" w:ascii="Times New Roman" w:hAnsi="Times New Roman" w:eastAsia="宋体" w:cs="Times New Roman"/>
                <w:color w:val="auto"/>
                <w:spacing w:val="-1"/>
                <w:sz w:val="21"/>
                <w:szCs w:val="21"/>
              </w:rPr>
              <w:t>A</w:t>
            </w:r>
            <w:r>
              <w:rPr>
                <w:rFonts w:hint="default" w:ascii="Times New Roman" w:hAnsi="Times New Roman" w:eastAsia="宋体" w:cs="Times New Roman"/>
                <w:color w:val="auto"/>
                <w:spacing w:val="-1"/>
                <w:sz w:val="21"/>
                <w:szCs w:val="21"/>
                <w:lang w:eastAsia="zh-CN"/>
              </w:rPr>
              <w:t>）</w:t>
            </w:r>
          </w:p>
        </w:tc>
        <w:tc>
          <w:tcPr>
            <w:tcW w:w="2332" w:type="dxa"/>
            <w:gridSpan w:val="5"/>
            <w:tcBorders>
              <w:tl2br w:val="nil"/>
              <w:tr2bl w:val="nil"/>
            </w:tcBorders>
            <w:vAlign w:val="center"/>
          </w:tcPr>
          <w:p w14:paraId="55A9D079">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pacing w:val="-1"/>
                <w:sz w:val="21"/>
                <w:szCs w:val="21"/>
              </w:rPr>
              <w:t>建筑物外噪声声压级/dB</w:t>
            </w:r>
            <w:r>
              <w:rPr>
                <w:rFonts w:hint="default" w:ascii="Times New Roman" w:hAnsi="Times New Roman" w:eastAsia="宋体" w:cs="Times New Roman"/>
                <w:color w:val="auto"/>
                <w:spacing w:val="-1"/>
                <w:sz w:val="21"/>
                <w:szCs w:val="21"/>
                <w:lang w:eastAsia="zh-CN"/>
              </w:rPr>
              <w:t>（</w:t>
            </w:r>
            <w:r>
              <w:rPr>
                <w:rFonts w:hint="default" w:ascii="Times New Roman" w:hAnsi="Times New Roman" w:eastAsia="宋体" w:cs="Times New Roman"/>
                <w:color w:val="auto"/>
                <w:spacing w:val="-1"/>
                <w:sz w:val="21"/>
                <w:szCs w:val="21"/>
              </w:rPr>
              <w:t>A</w:t>
            </w:r>
            <w:r>
              <w:rPr>
                <w:rFonts w:hint="default" w:ascii="Times New Roman" w:hAnsi="Times New Roman" w:eastAsia="宋体" w:cs="Times New Roman"/>
                <w:color w:val="auto"/>
                <w:spacing w:val="-1"/>
                <w:sz w:val="21"/>
                <w:szCs w:val="21"/>
                <w:lang w:eastAsia="zh-CN"/>
              </w:rPr>
              <w:t>）</w:t>
            </w:r>
          </w:p>
        </w:tc>
      </w:tr>
      <w:tr w14:paraId="78CC10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04" w:hRule="atLeast"/>
          <w:jc w:val="center"/>
        </w:trPr>
        <w:tc>
          <w:tcPr>
            <w:tcW w:w="311" w:type="dxa"/>
            <w:vMerge w:val="continue"/>
            <w:tcBorders>
              <w:tl2br w:val="nil"/>
              <w:tr2bl w:val="nil"/>
            </w:tcBorders>
            <w:vAlign w:val="center"/>
          </w:tcPr>
          <w:p w14:paraId="0AFEE7D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p>
        </w:tc>
        <w:tc>
          <w:tcPr>
            <w:tcW w:w="793" w:type="dxa"/>
            <w:vMerge w:val="continue"/>
            <w:tcBorders>
              <w:tl2br w:val="nil"/>
              <w:tr2bl w:val="nil"/>
            </w:tcBorders>
            <w:vAlign w:val="center"/>
          </w:tcPr>
          <w:p w14:paraId="2E9E437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p>
        </w:tc>
        <w:tc>
          <w:tcPr>
            <w:tcW w:w="1454" w:type="dxa"/>
            <w:vMerge w:val="continue"/>
            <w:tcBorders>
              <w:tl2br w:val="nil"/>
              <w:tr2bl w:val="nil"/>
            </w:tcBorders>
            <w:vAlign w:val="center"/>
          </w:tcPr>
          <w:p w14:paraId="441D830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p>
        </w:tc>
        <w:tc>
          <w:tcPr>
            <w:tcW w:w="848" w:type="dxa"/>
            <w:tcBorders>
              <w:tl2br w:val="nil"/>
              <w:tr2bl w:val="nil"/>
            </w:tcBorders>
            <w:vAlign w:val="center"/>
          </w:tcPr>
          <w:p w14:paraId="24632DB4">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pacing w:val="-1"/>
                <w:sz w:val="21"/>
                <w:szCs w:val="21"/>
              </w:rPr>
              <w:t>声功率级/dB</w:t>
            </w:r>
            <w:r>
              <w:rPr>
                <w:rFonts w:hint="default" w:ascii="Times New Roman" w:hAnsi="Times New Roman" w:eastAsia="宋体" w:cs="Times New Roman"/>
                <w:color w:val="auto"/>
                <w:spacing w:val="-1"/>
                <w:sz w:val="21"/>
                <w:szCs w:val="21"/>
                <w:lang w:eastAsia="zh-CN"/>
              </w:rPr>
              <w:t>（</w:t>
            </w:r>
            <w:r>
              <w:rPr>
                <w:rFonts w:hint="default" w:ascii="Times New Roman" w:hAnsi="Times New Roman" w:eastAsia="宋体" w:cs="Times New Roman"/>
                <w:color w:val="auto"/>
                <w:spacing w:val="-1"/>
                <w:sz w:val="21"/>
                <w:szCs w:val="21"/>
              </w:rPr>
              <w:t>A</w:t>
            </w:r>
            <w:r>
              <w:rPr>
                <w:rFonts w:hint="default" w:ascii="Times New Roman" w:hAnsi="Times New Roman" w:eastAsia="宋体" w:cs="Times New Roman"/>
                <w:color w:val="auto"/>
                <w:spacing w:val="-1"/>
                <w:sz w:val="21"/>
                <w:szCs w:val="21"/>
                <w:lang w:eastAsia="zh-CN"/>
              </w:rPr>
              <w:t>）</w:t>
            </w:r>
          </w:p>
        </w:tc>
        <w:tc>
          <w:tcPr>
            <w:tcW w:w="1611" w:type="dxa"/>
            <w:vMerge w:val="continue"/>
            <w:tcBorders>
              <w:tl2br w:val="nil"/>
              <w:tr2bl w:val="nil"/>
            </w:tcBorders>
            <w:vAlign w:val="center"/>
          </w:tcPr>
          <w:p w14:paraId="5FDB557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p>
        </w:tc>
        <w:tc>
          <w:tcPr>
            <w:tcW w:w="461" w:type="dxa"/>
            <w:tcBorders>
              <w:tl2br w:val="nil"/>
              <w:tr2bl w:val="nil"/>
            </w:tcBorders>
            <w:vAlign w:val="center"/>
          </w:tcPr>
          <w:p w14:paraId="4E779818">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X</w:t>
            </w:r>
          </w:p>
        </w:tc>
        <w:tc>
          <w:tcPr>
            <w:tcW w:w="462" w:type="dxa"/>
            <w:tcBorders>
              <w:tl2br w:val="nil"/>
              <w:tr2bl w:val="nil"/>
            </w:tcBorders>
            <w:vAlign w:val="center"/>
          </w:tcPr>
          <w:p w14:paraId="1D6658D8">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Y</w:t>
            </w:r>
          </w:p>
        </w:tc>
        <w:tc>
          <w:tcPr>
            <w:tcW w:w="462" w:type="dxa"/>
            <w:tcBorders>
              <w:tl2br w:val="nil"/>
              <w:tr2bl w:val="nil"/>
            </w:tcBorders>
            <w:vAlign w:val="center"/>
          </w:tcPr>
          <w:p w14:paraId="624C4CE7">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Z</w:t>
            </w:r>
          </w:p>
        </w:tc>
        <w:tc>
          <w:tcPr>
            <w:tcW w:w="462" w:type="dxa"/>
            <w:tcBorders>
              <w:tl2br w:val="nil"/>
              <w:tr2bl w:val="nil"/>
            </w:tcBorders>
            <w:vAlign w:val="center"/>
          </w:tcPr>
          <w:p w14:paraId="614425A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东</w:t>
            </w:r>
          </w:p>
        </w:tc>
        <w:tc>
          <w:tcPr>
            <w:tcW w:w="462" w:type="dxa"/>
            <w:tcBorders>
              <w:tl2br w:val="nil"/>
              <w:tr2bl w:val="nil"/>
            </w:tcBorders>
            <w:vAlign w:val="center"/>
          </w:tcPr>
          <w:p w14:paraId="677F35E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南</w:t>
            </w:r>
          </w:p>
        </w:tc>
        <w:tc>
          <w:tcPr>
            <w:tcW w:w="462" w:type="dxa"/>
            <w:tcBorders>
              <w:tl2br w:val="nil"/>
              <w:tr2bl w:val="nil"/>
            </w:tcBorders>
            <w:vAlign w:val="center"/>
          </w:tcPr>
          <w:p w14:paraId="098AE39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西</w:t>
            </w:r>
          </w:p>
        </w:tc>
        <w:tc>
          <w:tcPr>
            <w:tcW w:w="462" w:type="dxa"/>
            <w:tcBorders>
              <w:tl2br w:val="nil"/>
              <w:tr2bl w:val="nil"/>
            </w:tcBorders>
            <w:vAlign w:val="center"/>
          </w:tcPr>
          <w:p w14:paraId="624C10C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北</w:t>
            </w:r>
          </w:p>
        </w:tc>
        <w:tc>
          <w:tcPr>
            <w:tcW w:w="462" w:type="dxa"/>
            <w:tcBorders>
              <w:tl2br w:val="nil"/>
              <w:tr2bl w:val="nil"/>
            </w:tcBorders>
            <w:vAlign w:val="center"/>
          </w:tcPr>
          <w:p w14:paraId="547C53B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东</w:t>
            </w:r>
          </w:p>
        </w:tc>
        <w:tc>
          <w:tcPr>
            <w:tcW w:w="462" w:type="dxa"/>
            <w:tcBorders>
              <w:tl2br w:val="nil"/>
              <w:tr2bl w:val="nil"/>
            </w:tcBorders>
            <w:vAlign w:val="center"/>
          </w:tcPr>
          <w:p w14:paraId="050F33A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南</w:t>
            </w:r>
          </w:p>
        </w:tc>
        <w:tc>
          <w:tcPr>
            <w:tcW w:w="462" w:type="dxa"/>
            <w:tcBorders>
              <w:tl2br w:val="nil"/>
              <w:tr2bl w:val="nil"/>
            </w:tcBorders>
            <w:vAlign w:val="center"/>
          </w:tcPr>
          <w:p w14:paraId="2CEA9D6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西</w:t>
            </w:r>
          </w:p>
        </w:tc>
        <w:tc>
          <w:tcPr>
            <w:tcW w:w="462" w:type="dxa"/>
            <w:tcBorders>
              <w:tl2br w:val="nil"/>
              <w:tr2bl w:val="nil"/>
            </w:tcBorders>
            <w:vAlign w:val="center"/>
          </w:tcPr>
          <w:p w14:paraId="541C2D9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北</w:t>
            </w:r>
          </w:p>
        </w:tc>
        <w:tc>
          <w:tcPr>
            <w:tcW w:w="462" w:type="dxa"/>
            <w:vMerge w:val="continue"/>
            <w:tcBorders>
              <w:tl2br w:val="nil"/>
              <w:tr2bl w:val="nil"/>
            </w:tcBorders>
            <w:vAlign w:val="center"/>
          </w:tcPr>
          <w:p w14:paraId="56ED535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p>
        </w:tc>
        <w:tc>
          <w:tcPr>
            <w:tcW w:w="462" w:type="dxa"/>
            <w:tcBorders>
              <w:tl2br w:val="nil"/>
              <w:tr2bl w:val="nil"/>
            </w:tcBorders>
            <w:vAlign w:val="center"/>
          </w:tcPr>
          <w:p w14:paraId="3663807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东</w:t>
            </w:r>
          </w:p>
        </w:tc>
        <w:tc>
          <w:tcPr>
            <w:tcW w:w="462" w:type="dxa"/>
            <w:tcBorders>
              <w:tl2br w:val="nil"/>
              <w:tr2bl w:val="nil"/>
            </w:tcBorders>
            <w:vAlign w:val="center"/>
          </w:tcPr>
          <w:p w14:paraId="5696BA4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南</w:t>
            </w:r>
          </w:p>
        </w:tc>
        <w:tc>
          <w:tcPr>
            <w:tcW w:w="462" w:type="dxa"/>
            <w:tcBorders>
              <w:tl2br w:val="nil"/>
              <w:tr2bl w:val="nil"/>
            </w:tcBorders>
            <w:vAlign w:val="center"/>
          </w:tcPr>
          <w:p w14:paraId="0465F22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西</w:t>
            </w:r>
          </w:p>
        </w:tc>
        <w:tc>
          <w:tcPr>
            <w:tcW w:w="462" w:type="dxa"/>
            <w:tcBorders>
              <w:tl2br w:val="nil"/>
              <w:tr2bl w:val="nil"/>
            </w:tcBorders>
            <w:vAlign w:val="center"/>
          </w:tcPr>
          <w:p w14:paraId="3EE88DD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北</w:t>
            </w:r>
          </w:p>
        </w:tc>
        <w:tc>
          <w:tcPr>
            <w:tcW w:w="462" w:type="dxa"/>
            <w:tcBorders>
              <w:tl2br w:val="nil"/>
              <w:tr2bl w:val="nil"/>
            </w:tcBorders>
            <w:vAlign w:val="center"/>
          </w:tcPr>
          <w:p w14:paraId="411281F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东</w:t>
            </w:r>
          </w:p>
        </w:tc>
        <w:tc>
          <w:tcPr>
            <w:tcW w:w="462" w:type="dxa"/>
            <w:tcBorders>
              <w:tl2br w:val="nil"/>
              <w:tr2bl w:val="nil"/>
            </w:tcBorders>
            <w:vAlign w:val="center"/>
          </w:tcPr>
          <w:p w14:paraId="4057737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南</w:t>
            </w:r>
          </w:p>
        </w:tc>
        <w:tc>
          <w:tcPr>
            <w:tcW w:w="463" w:type="dxa"/>
            <w:tcBorders>
              <w:tl2br w:val="nil"/>
              <w:tr2bl w:val="nil"/>
            </w:tcBorders>
            <w:vAlign w:val="center"/>
          </w:tcPr>
          <w:p w14:paraId="296DC1F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西</w:t>
            </w:r>
          </w:p>
        </w:tc>
        <w:tc>
          <w:tcPr>
            <w:tcW w:w="463" w:type="dxa"/>
            <w:tcBorders>
              <w:tl2br w:val="nil"/>
              <w:tr2bl w:val="nil"/>
            </w:tcBorders>
            <w:vAlign w:val="center"/>
          </w:tcPr>
          <w:p w14:paraId="55290BC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北</w:t>
            </w:r>
          </w:p>
        </w:tc>
        <w:tc>
          <w:tcPr>
            <w:tcW w:w="482" w:type="dxa"/>
            <w:tcBorders>
              <w:tl2br w:val="nil"/>
              <w:tr2bl w:val="nil"/>
            </w:tcBorders>
            <w:vAlign w:val="center"/>
          </w:tcPr>
          <w:p w14:paraId="37B0423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3"/>
                <w:sz w:val="21"/>
                <w:szCs w:val="21"/>
              </w:rPr>
              <w:t>建筑物外距离</w:t>
            </w:r>
          </w:p>
        </w:tc>
      </w:tr>
      <w:tr w14:paraId="57CBF9B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5" w:hRule="atLeast"/>
          <w:jc w:val="center"/>
        </w:trPr>
        <w:tc>
          <w:tcPr>
            <w:tcW w:w="311" w:type="dxa"/>
            <w:tcBorders>
              <w:tl2br w:val="nil"/>
              <w:tr2bl w:val="nil"/>
            </w:tcBorders>
            <w:vAlign w:val="center"/>
          </w:tcPr>
          <w:p w14:paraId="4CBBAA37">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793" w:type="dxa"/>
            <w:vMerge w:val="restart"/>
            <w:tcBorders>
              <w:tl2br w:val="nil"/>
              <w:tr2bl w:val="nil"/>
            </w:tcBorders>
            <w:vAlign w:val="center"/>
          </w:tcPr>
          <w:p w14:paraId="2AB82C8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发酵罐区</w:t>
            </w:r>
          </w:p>
        </w:tc>
        <w:tc>
          <w:tcPr>
            <w:tcW w:w="1454" w:type="dxa"/>
            <w:tcBorders>
              <w:tl2br w:val="nil"/>
              <w:tr2bl w:val="nil"/>
            </w:tcBorders>
            <w:vAlign w:val="center"/>
          </w:tcPr>
          <w:p w14:paraId="122391BD">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11台搅拌机</w:t>
            </w:r>
          </w:p>
        </w:tc>
        <w:tc>
          <w:tcPr>
            <w:tcW w:w="848" w:type="dxa"/>
            <w:tcBorders>
              <w:tl2br w:val="nil"/>
              <w:tr2bl w:val="nil"/>
            </w:tcBorders>
            <w:vAlign w:val="center"/>
          </w:tcPr>
          <w:p w14:paraId="18321852">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4"/>
                <w:sz w:val="21"/>
                <w:szCs w:val="21"/>
                <w:lang w:val="en-US" w:eastAsia="zh-CN"/>
              </w:rPr>
            </w:pPr>
            <w:r>
              <w:rPr>
                <w:rFonts w:hint="default" w:ascii="Times New Roman" w:hAnsi="Times New Roman" w:eastAsia="宋体" w:cs="Times New Roman"/>
                <w:color w:val="auto"/>
                <w:spacing w:val="-4"/>
                <w:sz w:val="21"/>
                <w:szCs w:val="21"/>
                <w:lang w:val="en-US" w:eastAsia="zh-CN"/>
              </w:rPr>
              <w:t>88</w:t>
            </w:r>
          </w:p>
        </w:tc>
        <w:tc>
          <w:tcPr>
            <w:tcW w:w="1611" w:type="dxa"/>
            <w:tcBorders>
              <w:tl2br w:val="nil"/>
              <w:tr2bl w:val="nil"/>
            </w:tcBorders>
            <w:vAlign w:val="center"/>
          </w:tcPr>
          <w:p w14:paraId="101464EF">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sz w:val="21"/>
                <w:szCs w:val="21"/>
              </w:rPr>
            </w:pPr>
            <w:r>
              <w:rPr>
                <w:rFonts w:hint="default" w:ascii="Times New Roman" w:hAnsi="Times New Roman" w:eastAsia="宋体" w:cs="Times New Roman"/>
                <w:color w:val="auto"/>
                <w:spacing w:val="-1"/>
                <w:sz w:val="21"/>
                <w:szCs w:val="21"/>
              </w:rPr>
              <w:t>减振+建筑物隔声</w:t>
            </w:r>
          </w:p>
        </w:tc>
        <w:tc>
          <w:tcPr>
            <w:tcW w:w="461" w:type="dxa"/>
            <w:tcBorders>
              <w:tl2br w:val="nil"/>
              <w:tr2bl w:val="nil"/>
            </w:tcBorders>
            <w:vAlign w:val="center"/>
          </w:tcPr>
          <w:p w14:paraId="0135B3C4">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50</w:t>
            </w:r>
          </w:p>
        </w:tc>
        <w:tc>
          <w:tcPr>
            <w:tcW w:w="462" w:type="dxa"/>
            <w:tcBorders>
              <w:tl2br w:val="nil"/>
              <w:tr2bl w:val="nil"/>
            </w:tcBorders>
            <w:vAlign w:val="center"/>
          </w:tcPr>
          <w:p w14:paraId="294DE9BE">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30</w:t>
            </w:r>
          </w:p>
        </w:tc>
        <w:tc>
          <w:tcPr>
            <w:tcW w:w="462" w:type="dxa"/>
            <w:tcBorders>
              <w:tl2br w:val="nil"/>
              <w:tr2bl w:val="nil"/>
            </w:tcBorders>
            <w:vAlign w:val="center"/>
          </w:tcPr>
          <w:p w14:paraId="686C5060">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w:t>
            </w:r>
          </w:p>
        </w:tc>
        <w:tc>
          <w:tcPr>
            <w:tcW w:w="462" w:type="dxa"/>
            <w:tcBorders>
              <w:tl2br w:val="nil"/>
              <w:tr2bl w:val="nil"/>
            </w:tcBorders>
            <w:vAlign w:val="center"/>
          </w:tcPr>
          <w:p w14:paraId="003BF9C9">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w:t>
            </w:r>
          </w:p>
        </w:tc>
        <w:tc>
          <w:tcPr>
            <w:tcW w:w="462" w:type="dxa"/>
            <w:tcBorders>
              <w:tl2br w:val="nil"/>
              <w:tr2bl w:val="nil"/>
            </w:tcBorders>
            <w:vAlign w:val="center"/>
          </w:tcPr>
          <w:p w14:paraId="04653578">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w:t>
            </w:r>
          </w:p>
        </w:tc>
        <w:tc>
          <w:tcPr>
            <w:tcW w:w="462" w:type="dxa"/>
            <w:tcBorders>
              <w:tl2br w:val="nil"/>
              <w:tr2bl w:val="nil"/>
            </w:tcBorders>
            <w:vAlign w:val="center"/>
          </w:tcPr>
          <w:p w14:paraId="14DD64AD">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w:t>
            </w:r>
          </w:p>
        </w:tc>
        <w:tc>
          <w:tcPr>
            <w:tcW w:w="462" w:type="dxa"/>
            <w:tcBorders>
              <w:tl2br w:val="nil"/>
              <w:tr2bl w:val="nil"/>
            </w:tcBorders>
            <w:vAlign w:val="center"/>
          </w:tcPr>
          <w:p w14:paraId="1D81E957">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w:t>
            </w:r>
          </w:p>
        </w:tc>
        <w:tc>
          <w:tcPr>
            <w:tcW w:w="462" w:type="dxa"/>
            <w:tcBorders>
              <w:tl2br w:val="nil"/>
              <w:tr2bl w:val="nil"/>
            </w:tcBorders>
            <w:vAlign w:val="center"/>
          </w:tcPr>
          <w:p w14:paraId="20F0A4CD">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82.0 </w:t>
            </w:r>
          </w:p>
        </w:tc>
        <w:tc>
          <w:tcPr>
            <w:tcW w:w="462" w:type="dxa"/>
            <w:tcBorders>
              <w:tl2br w:val="nil"/>
              <w:tr2bl w:val="nil"/>
            </w:tcBorders>
            <w:vAlign w:val="center"/>
          </w:tcPr>
          <w:p w14:paraId="0539B26D">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82.0 </w:t>
            </w:r>
          </w:p>
        </w:tc>
        <w:tc>
          <w:tcPr>
            <w:tcW w:w="462" w:type="dxa"/>
            <w:tcBorders>
              <w:tl2br w:val="nil"/>
              <w:tr2bl w:val="nil"/>
            </w:tcBorders>
            <w:vAlign w:val="center"/>
          </w:tcPr>
          <w:p w14:paraId="00C73E09">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82.0 </w:t>
            </w:r>
          </w:p>
        </w:tc>
        <w:tc>
          <w:tcPr>
            <w:tcW w:w="462" w:type="dxa"/>
            <w:tcBorders>
              <w:tl2br w:val="nil"/>
              <w:tr2bl w:val="nil"/>
            </w:tcBorders>
            <w:vAlign w:val="center"/>
          </w:tcPr>
          <w:p w14:paraId="7DD30B68">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82.0 </w:t>
            </w:r>
          </w:p>
        </w:tc>
        <w:tc>
          <w:tcPr>
            <w:tcW w:w="462" w:type="dxa"/>
            <w:tcBorders>
              <w:tl2br w:val="nil"/>
              <w:tr2bl w:val="nil"/>
            </w:tcBorders>
            <w:vAlign w:val="center"/>
          </w:tcPr>
          <w:p w14:paraId="56220E86">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p>
        </w:tc>
        <w:tc>
          <w:tcPr>
            <w:tcW w:w="462" w:type="dxa"/>
            <w:tcBorders>
              <w:tl2br w:val="nil"/>
              <w:tr2bl w:val="nil"/>
            </w:tcBorders>
            <w:vAlign w:val="center"/>
          </w:tcPr>
          <w:p w14:paraId="2F4F5F2A">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392DE30E">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64E68014">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1051F4D1">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7C130460">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62.0 </w:t>
            </w:r>
          </w:p>
        </w:tc>
        <w:tc>
          <w:tcPr>
            <w:tcW w:w="462" w:type="dxa"/>
            <w:tcBorders>
              <w:tl2br w:val="nil"/>
              <w:tr2bl w:val="nil"/>
            </w:tcBorders>
            <w:vAlign w:val="center"/>
          </w:tcPr>
          <w:p w14:paraId="4FF73A7E">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62.0 </w:t>
            </w:r>
          </w:p>
        </w:tc>
        <w:tc>
          <w:tcPr>
            <w:tcW w:w="463" w:type="dxa"/>
            <w:tcBorders>
              <w:tl2br w:val="nil"/>
              <w:tr2bl w:val="nil"/>
            </w:tcBorders>
            <w:vAlign w:val="center"/>
          </w:tcPr>
          <w:p w14:paraId="4BBBADC3">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62.0 </w:t>
            </w:r>
          </w:p>
        </w:tc>
        <w:tc>
          <w:tcPr>
            <w:tcW w:w="463" w:type="dxa"/>
            <w:tcBorders>
              <w:tl2br w:val="nil"/>
              <w:tr2bl w:val="nil"/>
            </w:tcBorders>
            <w:vAlign w:val="center"/>
          </w:tcPr>
          <w:p w14:paraId="2DFFC0CC">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62.0 </w:t>
            </w:r>
          </w:p>
        </w:tc>
        <w:tc>
          <w:tcPr>
            <w:tcW w:w="482" w:type="dxa"/>
            <w:tcBorders>
              <w:tl2br w:val="nil"/>
              <w:tr2bl w:val="nil"/>
            </w:tcBorders>
            <w:vAlign w:val="center"/>
          </w:tcPr>
          <w:p w14:paraId="378C8856">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1</w:t>
            </w:r>
          </w:p>
        </w:tc>
      </w:tr>
      <w:tr w14:paraId="4D3882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5" w:hRule="atLeast"/>
          <w:jc w:val="center"/>
        </w:trPr>
        <w:tc>
          <w:tcPr>
            <w:tcW w:w="311" w:type="dxa"/>
            <w:tcBorders>
              <w:tl2br w:val="nil"/>
              <w:tr2bl w:val="nil"/>
            </w:tcBorders>
            <w:vAlign w:val="center"/>
          </w:tcPr>
          <w:p w14:paraId="7B9BFEA1">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w:t>
            </w:r>
          </w:p>
        </w:tc>
        <w:tc>
          <w:tcPr>
            <w:tcW w:w="793" w:type="dxa"/>
            <w:vMerge w:val="continue"/>
            <w:tcBorders>
              <w:tl2br w:val="nil"/>
              <w:tr2bl w:val="nil"/>
            </w:tcBorders>
            <w:vAlign w:val="center"/>
          </w:tcPr>
          <w:p w14:paraId="704E57D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lang w:val="en-US" w:eastAsia="zh-CN"/>
              </w:rPr>
            </w:pPr>
          </w:p>
        </w:tc>
        <w:tc>
          <w:tcPr>
            <w:tcW w:w="1454" w:type="dxa"/>
            <w:tcBorders>
              <w:tl2br w:val="nil"/>
              <w:tr2bl w:val="nil"/>
            </w:tcBorders>
            <w:vAlign w:val="center"/>
          </w:tcPr>
          <w:p w14:paraId="17C68511">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1台铲车</w:t>
            </w:r>
          </w:p>
        </w:tc>
        <w:tc>
          <w:tcPr>
            <w:tcW w:w="848" w:type="dxa"/>
            <w:tcBorders>
              <w:tl2br w:val="nil"/>
              <w:tr2bl w:val="nil"/>
            </w:tcBorders>
            <w:vAlign w:val="center"/>
          </w:tcPr>
          <w:p w14:paraId="1876DB9F">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4"/>
                <w:sz w:val="21"/>
                <w:szCs w:val="21"/>
                <w:lang w:val="en-US" w:eastAsia="zh-CN"/>
              </w:rPr>
            </w:pPr>
            <w:r>
              <w:rPr>
                <w:rFonts w:hint="default" w:ascii="Times New Roman" w:hAnsi="Times New Roman" w:eastAsia="宋体" w:cs="Times New Roman"/>
                <w:color w:val="auto"/>
                <w:spacing w:val="-4"/>
                <w:sz w:val="21"/>
                <w:szCs w:val="21"/>
                <w:lang w:val="en-US" w:eastAsia="zh-CN"/>
              </w:rPr>
              <w:t>85</w:t>
            </w:r>
          </w:p>
        </w:tc>
        <w:tc>
          <w:tcPr>
            <w:tcW w:w="1611" w:type="dxa"/>
            <w:tcBorders>
              <w:tl2br w:val="nil"/>
              <w:tr2bl w:val="nil"/>
            </w:tcBorders>
            <w:vAlign w:val="center"/>
          </w:tcPr>
          <w:p w14:paraId="01A5E36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sz w:val="21"/>
                <w:szCs w:val="21"/>
                <w:lang w:val="en-US" w:eastAsia="zh-CN"/>
              </w:rPr>
            </w:pPr>
            <w:r>
              <w:rPr>
                <w:rFonts w:hint="default" w:ascii="Times New Roman" w:hAnsi="Times New Roman" w:eastAsia="宋体" w:cs="Times New Roman"/>
                <w:color w:val="auto"/>
                <w:spacing w:val="-1"/>
                <w:sz w:val="21"/>
                <w:szCs w:val="21"/>
                <w:lang w:val="en-US" w:eastAsia="zh-CN"/>
              </w:rPr>
              <w:t>低噪声设备</w:t>
            </w:r>
            <w:r>
              <w:rPr>
                <w:rFonts w:hint="default" w:ascii="Times New Roman" w:hAnsi="Times New Roman" w:eastAsia="宋体" w:cs="Times New Roman"/>
                <w:color w:val="auto"/>
                <w:spacing w:val="-1"/>
                <w:sz w:val="21"/>
                <w:szCs w:val="21"/>
              </w:rPr>
              <w:t>+减振</w:t>
            </w:r>
          </w:p>
        </w:tc>
        <w:tc>
          <w:tcPr>
            <w:tcW w:w="461" w:type="dxa"/>
            <w:tcBorders>
              <w:tl2br w:val="nil"/>
              <w:tr2bl w:val="nil"/>
            </w:tcBorders>
            <w:vAlign w:val="center"/>
          </w:tcPr>
          <w:p w14:paraId="185FF601">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50</w:t>
            </w:r>
          </w:p>
        </w:tc>
        <w:tc>
          <w:tcPr>
            <w:tcW w:w="462" w:type="dxa"/>
            <w:tcBorders>
              <w:tl2br w:val="nil"/>
              <w:tr2bl w:val="nil"/>
            </w:tcBorders>
            <w:vAlign w:val="center"/>
          </w:tcPr>
          <w:p w14:paraId="447C0B46">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32</w:t>
            </w:r>
          </w:p>
        </w:tc>
        <w:tc>
          <w:tcPr>
            <w:tcW w:w="462" w:type="dxa"/>
            <w:tcBorders>
              <w:tl2br w:val="nil"/>
              <w:tr2bl w:val="nil"/>
            </w:tcBorders>
            <w:vAlign w:val="center"/>
          </w:tcPr>
          <w:p w14:paraId="63C1B56F">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w:t>
            </w:r>
          </w:p>
        </w:tc>
        <w:tc>
          <w:tcPr>
            <w:tcW w:w="462" w:type="dxa"/>
            <w:tcBorders>
              <w:tl2br w:val="nil"/>
              <w:tr2bl w:val="nil"/>
            </w:tcBorders>
            <w:vAlign w:val="center"/>
          </w:tcPr>
          <w:p w14:paraId="158E1976">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w:t>
            </w:r>
          </w:p>
        </w:tc>
        <w:tc>
          <w:tcPr>
            <w:tcW w:w="462" w:type="dxa"/>
            <w:tcBorders>
              <w:tl2br w:val="nil"/>
              <w:tr2bl w:val="nil"/>
            </w:tcBorders>
            <w:vAlign w:val="center"/>
          </w:tcPr>
          <w:p w14:paraId="1580C019">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w:t>
            </w:r>
          </w:p>
        </w:tc>
        <w:tc>
          <w:tcPr>
            <w:tcW w:w="462" w:type="dxa"/>
            <w:tcBorders>
              <w:tl2br w:val="nil"/>
              <w:tr2bl w:val="nil"/>
            </w:tcBorders>
            <w:vAlign w:val="center"/>
          </w:tcPr>
          <w:p w14:paraId="445F7C59">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w:t>
            </w:r>
          </w:p>
        </w:tc>
        <w:tc>
          <w:tcPr>
            <w:tcW w:w="462" w:type="dxa"/>
            <w:tcBorders>
              <w:tl2br w:val="nil"/>
              <w:tr2bl w:val="nil"/>
            </w:tcBorders>
            <w:vAlign w:val="center"/>
          </w:tcPr>
          <w:p w14:paraId="49FE05DD">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w:t>
            </w:r>
          </w:p>
        </w:tc>
        <w:tc>
          <w:tcPr>
            <w:tcW w:w="462" w:type="dxa"/>
            <w:tcBorders>
              <w:tl2br w:val="nil"/>
              <w:tr2bl w:val="nil"/>
            </w:tcBorders>
            <w:vAlign w:val="center"/>
          </w:tcPr>
          <w:p w14:paraId="5EE466D1">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85</w:t>
            </w:r>
          </w:p>
        </w:tc>
        <w:tc>
          <w:tcPr>
            <w:tcW w:w="462" w:type="dxa"/>
            <w:tcBorders>
              <w:tl2br w:val="nil"/>
              <w:tr2bl w:val="nil"/>
            </w:tcBorders>
            <w:vAlign w:val="center"/>
          </w:tcPr>
          <w:p w14:paraId="6D421D63">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85</w:t>
            </w:r>
          </w:p>
        </w:tc>
        <w:tc>
          <w:tcPr>
            <w:tcW w:w="462" w:type="dxa"/>
            <w:tcBorders>
              <w:tl2br w:val="nil"/>
              <w:tr2bl w:val="nil"/>
            </w:tcBorders>
            <w:vAlign w:val="center"/>
          </w:tcPr>
          <w:p w14:paraId="57192CE3">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85</w:t>
            </w:r>
          </w:p>
        </w:tc>
        <w:tc>
          <w:tcPr>
            <w:tcW w:w="462" w:type="dxa"/>
            <w:tcBorders>
              <w:tl2br w:val="nil"/>
              <w:tr2bl w:val="nil"/>
            </w:tcBorders>
            <w:vAlign w:val="center"/>
          </w:tcPr>
          <w:p w14:paraId="2C305681">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85</w:t>
            </w:r>
          </w:p>
        </w:tc>
        <w:tc>
          <w:tcPr>
            <w:tcW w:w="462" w:type="dxa"/>
            <w:tcBorders>
              <w:tl2br w:val="nil"/>
              <w:tr2bl w:val="nil"/>
            </w:tcBorders>
            <w:vAlign w:val="center"/>
          </w:tcPr>
          <w:p w14:paraId="3B7AE19C">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p>
        </w:tc>
        <w:tc>
          <w:tcPr>
            <w:tcW w:w="462" w:type="dxa"/>
            <w:tcBorders>
              <w:tl2br w:val="nil"/>
              <w:tr2bl w:val="nil"/>
            </w:tcBorders>
            <w:vAlign w:val="center"/>
          </w:tcPr>
          <w:p w14:paraId="61D12C11">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w:t>
            </w:r>
          </w:p>
        </w:tc>
        <w:tc>
          <w:tcPr>
            <w:tcW w:w="462" w:type="dxa"/>
            <w:tcBorders>
              <w:tl2br w:val="nil"/>
              <w:tr2bl w:val="nil"/>
            </w:tcBorders>
            <w:vAlign w:val="center"/>
          </w:tcPr>
          <w:p w14:paraId="553CCD0F">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w:t>
            </w:r>
          </w:p>
        </w:tc>
        <w:tc>
          <w:tcPr>
            <w:tcW w:w="462" w:type="dxa"/>
            <w:tcBorders>
              <w:tl2br w:val="nil"/>
              <w:tr2bl w:val="nil"/>
            </w:tcBorders>
            <w:vAlign w:val="center"/>
          </w:tcPr>
          <w:p w14:paraId="71024E52">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w:t>
            </w:r>
          </w:p>
        </w:tc>
        <w:tc>
          <w:tcPr>
            <w:tcW w:w="462" w:type="dxa"/>
            <w:tcBorders>
              <w:tl2br w:val="nil"/>
              <w:tr2bl w:val="nil"/>
            </w:tcBorders>
            <w:vAlign w:val="center"/>
          </w:tcPr>
          <w:p w14:paraId="70D36745">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w:t>
            </w:r>
          </w:p>
        </w:tc>
        <w:tc>
          <w:tcPr>
            <w:tcW w:w="462" w:type="dxa"/>
            <w:tcBorders>
              <w:tl2br w:val="nil"/>
              <w:tr2bl w:val="nil"/>
            </w:tcBorders>
            <w:vAlign w:val="center"/>
          </w:tcPr>
          <w:p w14:paraId="0F22B2D2">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85</w:t>
            </w:r>
          </w:p>
        </w:tc>
        <w:tc>
          <w:tcPr>
            <w:tcW w:w="462" w:type="dxa"/>
            <w:tcBorders>
              <w:tl2br w:val="nil"/>
              <w:tr2bl w:val="nil"/>
            </w:tcBorders>
            <w:vAlign w:val="center"/>
          </w:tcPr>
          <w:p w14:paraId="6A59AB2D">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85</w:t>
            </w:r>
          </w:p>
        </w:tc>
        <w:tc>
          <w:tcPr>
            <w:tcW w:w="463" w:type="dxa"/>
            <w:tcBorders>
              <w:tl2br w:val="nil"/>
              <w:tr2bl w:val="nil"/>
            </w:tcBorders>
            <w:vAlign w:val="center"/>
          </w:tcPr>
          <w:p w14:paraId="637CFEA4">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85</w:t>
            </w:r>
          </w:p>
        </w:tc>
        <w:tc>
          <w:tcPr>
            <w:tcW w:w="463" w:type="dxa"/>
            <w:tcBorders>
              <w:tl2br w:val="nil"/>
              <w:tr2bl w:val="nil"/>
            </w:tcBorders>
            <w:vAlign w:val="center"/>
          </w:tcPr>
          <w:p w14:paraId="5C47C90C">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85</w:t>
            </w:r>
          </w:p>
        </w:tc>
        <w:tc>
          <w:tcPr>
            <w:tcW w:w="482" w:type="dxa"/>
            <w:tcBorders>
              <w:tl2br w:val="nil"/>
              <w:tr2bl w:val="nil"/>
            </w:tcBorders>
            <w:vAlign w:val="center"/>
          </w:tcPr>
          <w:p w14:paraId="4A18667F">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1</w:t>
            </w:r>
          </w:p>
        </w:tc>
      </w:tr>
      <w:tr w14:paraId="4DC5616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5" w:hRule="atLeast"/>
          <w:jc w:val="center"/>
        </w:trPr>
        <w:tc>
          <w:tcPr>
            <w:tcW w:w="311" w:type="dxa"/>
            <w:tcBorders>
              <w:tl2br w:val="nil"/>
              <w:tr2bl w:val="nil"/>
            </w:tcBorders>
            <w:vAlign w:val="center"/>
          </w:tcPr>
          <w:p w14:paraId="6FFDAEEE">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w:t>
            </w:r>
          </w:p>
        </w:tc>
        <w:tc>
          <w:tcPr>
            <w:tcW w:w="793" w:type="dxa"/>
            <w:vMerge w:val="continue"/>
            <w:tcBorders>
              <w:tl2br w:val="nil"/>
              <w:tr2bl w:val="nil"/>
            </w:tcBorders>
            <w:vAlign w:val="center"/>
          </w:tcPr>
          <w:p w14:paraId="15650F5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lang w:val="en-US" w:eastAsia="zh-CN"/>
              </w:rPr>
            </w:pPr>
          </w:p>
        </w:tc>
        <w:tc>
          <w:tcPr>
            <w:tcW w:w="1454" w:type="dxa"/>
            <w:tcBorders>
              <w:tl2br w:val="nil"/>
              <w:tr2bl w:val="nil"/>
            </w:tcBorders>
            <w:vAlign w:val="center"/>
          </w:tcPr>
          <w:p w14:paraId="4D66CE7B">
            <w:pPr>
              <w:keepNext w:val="0"/>
              <w:keepLines w:val="0"/>
              <w:pageBreakBefore w:val="0"/>
              <w:widowControl w:val="0"/>
              <w:kinsoku/>
              <w:wordWrap/>
              <w:overflowPunct w:val="0"/>
              <w:topLinePunct w:val="0"/>
              <w:autoSpaceDE w:val="0"/>
              <w:autoSpaceDN w:val="0"/>
              <w:bidi w:val="0"/>
              <w:adjustRightInd w:val="0"/>
              <w:snapToGrid w:val="0"/>
              <w:spacing w:before="0" w:after="0" w:line="400" w:lineRule="exact"/>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1台风机</w:t>
            </w:r>
          </w:p>
        </w:tc>
        <w:tc>
          <w:tcPr>
            <w:tcW w:w="848" w:type="dxa"/>
            <w:tcBorders>
              <w:tl2br w:val="nil"/>
              <w:tr2bl w:val="nil"/>
            </w:tcBorders>
            <w:vAlign w:val="center"/>
          </w:tcPr>
          <w:p w14:paraId="53E96F42">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4"/>
                <w:sz w:val="21"/>
                <w:szCs w:val="21"/>
                <w:lang w:val="en-US" w:eastAsia="zh-CN"/>
              </w:rPr>
            </w:pPr>
            <w:r>
              <w:rPr>
                <w:rFonts w:hint="default" w:ascii="Times New Roman" w:hAnsi="Times New Roman" w:eastAsia="宋体" w:cs="Times New Roman"/>
                <w:color w:val="auto"/>
                <w:spacing w:val="-4"/>
                <w:sz w:val="21"/>
                <w:szCs w:val="21"/>
                <w:lang w:val="en-US" w:eastAsia="zh-CN"/>
              </w:rPr>
              <w:t>80</w:t>
            </w:r>
          </w:p>
        </w:tc>
        <w:tc>
          <w:tcPr>
            <w:tcW w:w="1611" w:type="dxa"/>
            <w:tcBorders>
              <w:tl2br w:val="nil"/>
              <w:tr2bl w:val="nil"/>
            </w:tcBorders>
            <w:vAlign w:val="center"/>
          </w:tcPr>
          <w:p w14:paraId="6BF6C0E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sz w:val="21"/>
                <w:szCs w:val="21"/>
              </w:rPr>
            </w:pPr>
            <w:r>
              <w:rPr>
                <w:rFonts w:hint="default" w:ascii="Times New Roman" w:hAnsi="Times New Roman" w:eastAsia="宋体" w:cs="Times New Roman"/>
                <w:color w:val="auto"/>
                <w:spacing w:val="-1"/>
                <w:sz w:val="21"/>
                <w:szCs w:val="21"/>
                <w:lang w:val="en-US" w:eastAsia="zh-CN"/>
              </w:rPr>
              <w:t>低噪声设备</w:t>
            </w:r>
            <w:r>
              <w:rPr>
                <w:rFonts w:hint="default" w:ascii="Times New Roman" w:hAnsi="Times New Roman" w:eastAsia="宋体" w:cs="Times New Roman"/>
                <w:color w:val="auto"/>
                <w:spacing w:val="-1"/>
                <w:sz w:val="21"/>
                <w:szCs w:val="21"/>
              </w:rPr>
              <w:t>+减振</w:t>
            </w:r>
          </w:p>
        </w:tc>
        <w:tc>
          <w:tcPr>
            <w:tcW w:w="461" w:type="dxa"/>
            <w:tcBorders>
              <w:tl2br w:val="nil"/>
              <w:tr2bl w:val="nil"/>
            </w:tcBorders>
            <w:vAlign w:val="center"/>
          </w:tcPr>
          <w:p w14:paraId="75F3CB75">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50</w:t>
            </w:r>
          </w:p>
        </w:tc>
        <w:tc>
          <w:tcPr>
            <w:tcW w:w="462" w:type="dxa"/>
            <w:tcBorders>
              <w:tl2br w:val="nil"/>
              <w:tr2bl w:val="nil"/>
            </w:tcBorders>
            <w:vAlign w:val="center"/>
          </w:tcPr>
          <w:p w14:paraId="645C7BCB">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34</w:t>
            </w:r>
          </w:p>
        </w:tc>
        <w:tc>
          <w:tcPr>
            <w:tcW w:w="462" w:type="dxa"/>
            <w:tcBorders>
              <w:tl2br w:val="nil"/>
              <w:tr2bl w:val="nil"/>
            </w:tcBorders>
            <w:vAlign w:val="center"/>
          </w:tcPr>
          <w:p w14:paraId="041F39A5">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w:t>
            </w:r>
          </w:p>
        </w:tc>
        <w:tc>
          <w:tcPr>
            <w:tcW w:w="462" w:type="dxa"/>
            <w:tcBorders>
              <w:tl2br w:val="nil"/>
              <w:tr2bl w:val="nil"/>
            </w:tcBorders>
            <w:vAlign w:val="center"/>
          </w:tcPr>
          <w:p w14:paraId="162BB121">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w:t>
            </w:r>
          </w:p>
        </w:tc>
        <w:tc>
          <w:tcPr>
            <w:tcW w:w="462" w:type="dxa"/>
            <w:tcBorders>
              <w:tl2br w:val="nil"/>
              <w:tr2bl w:val="nil"/>
            </w:tcBorders>
            <w:vAlign w:val="center"/>
          </w:tcPr>
          <w:p w14:paraId="504570E8">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w:t>
            </w:r>
          </w:p>
        </w:tc>
        <w:tc>
          <w:tcPr>
            <w:tcW w:w="462" w:type="dxa"/>
            <w:tcBorders>
              <w:tl2br w:val="nil"/>
              <w:tr2bl w:val="nil"/>
            </w:tcBorders>
            <w:vAlign w:val="center"/>
          </w:tcPr>
          <w:p w14:paraId="74DEB76A">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w:t>
            </w:r>
          </w:p>
        </w:tc>
        <w:tc>
          <w:tcPr>
            <w:tcW w:w="462" w:type="dxa"/>
            <w:tcBorders>
              <w:tl2br w:val="nil"/>
              <w:tr2bl w:val="nil"/>
            </w:tcBorders>
            <w:vAlign w:val="center"/>
          </w:tcPr>
          <w:p w14:paraId="1E0800C8">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w:t>
            </w:r>
          </w:p>
        </w:tc>
        <w:tc>
          <w:tcPr>
            <w:tcW w:w="462" w:type="dxa"/>
            <w:tcBorders>
              <w:tl2br w:val="nil"/>
              <w:tr2bl w:val="nil"/>
            </w:tcBorders>
            <w:vAlign w:val="center"/>
          </w:tcPr>
          <w:p w14:paraId="3E72635F">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80</w:t>
            </w:r>
          </w:p>
        </w:tc>
        <w:tc>
          <w:tcPr>
            <w:tcW w:w="462" w:type="dxa"/>
            <w:tcBorders>
              <w:tl2br w:val="nil"/>
              <w:tr2bl w:val="nil"/>
            </w:tcBorders>
            <w:vAlign w:val="center"/>
          </w:tcPr>
          <w:p w14:paraId="66375379">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80</w:t>
            </w:r>
          </w:p>
        </w:tc>
        <w:tc>
          <w:tcPr>
            <w:tcW w:w="462" w:type="dxa"/>
            <w:tcBorders>
              <w:tl2br w:val="nil"/>
              <w:tr2bl w:val="nil"/>
            </w:tcBorders>
            <w:vAlign w:val="center"/>
          </w:tcPr>
          <w:p w14:paraId="462DA06E">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80</w:t>
            </w:r>
          </w:p>
        </w:tc>
        <w:tc>
          <w:tcPr>
            <w:tcW w:w="462" w:type="dxa"/>
            <w:tcBorders>
              <w:tl2br w:val="nil"/>
              <w:tr2bl w:val="nil"/>
            </w:tcBorders>
            <w:vAlign w:val="center"/>
          </w:tcPr>
          <w:p w14:paraId="0DDDE1C1">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80</w:t>
            </w:r>
          </w:p>
        </w:tc>
        <w:tc>
          <w:tcPr>
            <w:tcW w:w="462" w:type="dxa"/>
            <w:tcBorders>
              <w:tl2br w:val="nil"/>
              <w:tr2bl w:val="nil"/>
            </w:tcBorders>
            <w:vAlign w:val="center"/>
          </w:tcPr>
          <w:p w14:paraId="3E22181B">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p>
        </w:tc>
        <w:tc>
          <w:tcPr>
            <w:tcW w:w="462" w:type="dxa"/>
            <w:tcBorders>
              <w:tl2br w:val="nil"/>
              <w:tr2bl w:val="nil"/>
            </w:tcBorders>
            <w:vAlign w:val="center"/>
          </w:tcPr>
          <w:p w14:paraId="79DE0834">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w:t>
            </w:r>
          </w:p>
        </w:tc>
        <w:tc>
          <w:tcPr>
            <w:tcW w:w="462" w:type="dxa"/>
            <w:tcBorders>
              <w:tl2br w:val="nil"/>
              <w:tr2bl w:val="nil"/>
            </w:tcBorders>
            <w:vAlign w:val="center"/>
          </w:tcPr>
          <w:p w14:paraId="70A0846F">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w:t>
            </w:r>
          </w:p>
        </w:tc>
        <w:tc>
          <w:tcPr>
            <w:tcW w:w="462" w:type="dxa"/>
            <w:tcBorders>
              <w:tl2br w:val="nil"/>
              <w:tr2bl w:val="nil"/>
            </w:tcBorders>
            <w:vAlign w:val="center"/>
          </w:tcPr>
          <w:p w14:paraId="3ED72A24">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w:t>
            </w:r>
          </w:p>
        </w:tc>
        <w:tc>
          <w:tcPr>
            <w:tcW w:w="462" w:type="dxa"/>
            <w:tcBorders>
              <w:tl2br w:val="nil"/>
              <w:tr2bl w:val="nil"/>
            </w:tcBorders>
            <w:vAlign w:val="center"/>
          </w:tcPr>
          <w:p w14:paraId="2F83063D">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w:t>
            </w:r>
          </w:p>
        </w:tc>
        <w:tc>
          <w:tcPr>
            <w:tcW w:w="462" w:type="dxa"/>
            <w:tcBorders>
              <w:tl2br w:val="nil"/>
              <w:tr2bl w:val="nil"/>
            </w:tcBorders>
            <w:vAlign w:val="center"/>
          </w:tcPr>
          <w:p w14:paraId="6A4449BD">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80</w:t>
            </w:r>
          </w:p>
        </w:tc>
        <w:tc>
          <w:tcPr>
            <w:tcW w:w="462" w:type="dxa"/>
            <w:tcBorders>
              <w:tl2br w:val="nil"/>
              <w:tr2bl w:val="nil"/>
            </w:tcBorders>
            <w:vAlign w:val="center"/>
          </w:tcPr>
          <w:p w14:paraId="5C9E6374">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80</w:t>
            </w:r>
          </w:p>
        </w:tc>
        <w:tc>
          <w:tcPr>
            <w:tcW w:w="463" w:type="dxa"/>
            <w:tcBorders>
              <w:tl2br w:val="nil"/>
              <w:tr2bl w:val="nil"/>
            </w:tcBorders>
            <w:vAlign w:val="center"/>
          </w:tcPr>
          <w:p w14:paraId="74F40968">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80</w:t>
            </w:r>
          </w:p>
        </w:tc>
        <w:tc>
          <w:tcPr>
            <w:tcW w:w="463" w:type="dxa"/>
            <w:tcBorders>
              <w:tl2br w:val="nil"/>
              <w:tr2bl w:val="nil"/>
            </w:tcBorders>
            <w:vAlign w:val="center"/>
          </w:tcPr>
          <w:p w14:paraId="6DDE1FB1">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80</w:t>
            </w:r>
          </w:p>
        </w:tc>
        <w:tc>
          <w:tcPr>
            <w:tcW w:w="482" w:type="dxa"/>
            <w:tcBorders>
              <w:tl2br w:val="nil"/>
              <w:tr2bl w:val="nil"/>
            </w:tcBorders>
            <w:vAlign w:val="center"/>
          </w:tcPr>
          <w:p w14:paraId="1E58223F">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1</w:t>
            </w:r>
          </w:p>
        </w:tc>
      </w:tr>
      <w:tr w14:paraId="0B09CE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311" w:type="dxa"/>
            <w:tcBorders>
              <w:tl2br w:val="nil"/>
              <w:tr2bl w:val="nil"/>
            </w:tcBorders>
            <w:vAlign w:val="center"/>
          </w:tcPr>
          <w:p w14:paraId="6D846D27">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w:t>
            </w:r>
          </w:p>
        </w:tc>
        <w:tc>
          <w:tcPr>
            <w:tcW w:w="793" w:type="dxa"/>
            <w:vMerge w:val="restart"/>
            <w:tcBorders>
              <w:tl2br w:val="nil"/>
              <w:tr2bl w:val="nil"/>
            </w:tcBorders>
            <w:vAlign w:val="center"/>
          </w:tcPr>
          <w:p w14:paraId="45D8ABF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加工车间</w:t>
            </w:r>
          </w:p>
        </w:tc>
        <w:tc>
          <w:tcPr>
            <w:tcW w:w="1454" w:type="dxa"/>
            <w:tcBorders>
              <w:tl2br w:val="nil"/>
              <w:tr2bl w:val="nil"/>
            </w:tcBorders>
            <w:vAlign w:val="center"/>
          </w:tcPr>
          <w:p w14:paraId="20F2CC8C">
            <w:pPr>
              <w:widowControl/>
              <w:snapToGrid w:val="0"/>
              <w:contextualSpacing/>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lang w:val="en-US" w:eastAsia="zh-CN"/>
              </w:rPr>
              <w:t>1台</w:t>
            </w:r>
            <w:r>
              <w:rPr>
                <w:rFonts w:hint="default" w:ascii="Times New Roman" w:hAnsi="Times New Roman" w:eastAsia="宋体" w:cs="Times New Roman"/>
                <w:color w:val="auto"/>
                <w:kern w:val="0"/>
                <w:sz w:val="21"/>
                <w:szCs w:val="21"/>
                <w:lang w:val="en-US" w:eastAsia="zh-CN"/>
              </w:rPr>
              <w:t>投料出料斗</w:t>
            </w:r>
          </w:p>
        </w:tc>
        <w:tc>
          <w:tcPr>
            <w:tcW w:w="848" w:type="dxa"/>
            <w:tcBorders>
              <w:tl2br w:val="nil"/>
              <w:tr2bl w:val="nil"/>
            </w:tcBorders>
            <w:vAlign w:val="center"/>
          </w:tcPr>
          <w:p w14:paraId="1BF4B9E0">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4"/>
                <w:sz w:val="21"/>
                <w:szCs w:val="21"/>
                <w:lang w:val="en-US" w:eastAsia="zh-CN"/>
              </w:rPr>
              <w:t>85</w:t>
            </w:r>
          </w:p>
        </w:tc>
        <w:tc>
          <w:tcPr>
            <w:tcW w:w="1611" w:type="dxa"/>
            <w:tcBorders>
              <w:tl2br w:val="nil"/>
              <w:tr2bl w:val="nil"/>
            </w:tcBorders>
            <w:vAlign w:val="center"/>
          </w:tcPr>
          <w:p w14:paraId="3A651E6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sz w:val="21"/>
                <w:szCs w:val="21"/>
              </w:rPr>
            </w:pPr>
            <w:r>
              <w:rPr>
                <w:rFonts w:hint="default" w:ascii="Times New Roman" w:hAnsi="Times New Roman" w:eastAsia="宋体" w:cs="Times New Roman"/>
                <w:color w:val="auto"/>
                <w:spacing w:val="-1"/>
                <w:sz w:val="21"/>
                <w:szCs w:val="21"/>
              </w:rPr>
              <w:t>减振+建筑物隔声</w:t>
            </w:r>
          </w:p>
        </w:tc>
        <w:tc>
          <w:tcPr>
            <w:tcW w:w="461" w:type="dxa"/>
            <w:tcBorders>
              <w:tl2br w:val="nil"/>
              <w:tr2bl w:val="nil"/>
            </w:tcBorders>
            <w:vAlign w:val="center"/>
          </w:tcPr>
          <w:p w14:paraId="0A10CEDD">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76</w:t>
            </w:r>
          </w:p>
        </w:tc>
        <w:tc>
          <w:tcPr>
            <w:tcW w:w="462" w:type="dxa"/>
            <w:tcBorders>
              <w:tl2br w:val="nil"/>
              <w:tr2bl w:val="nil"/>
            </w:tcBorders>
            <w:vAlign w:val="center"/>
          </w:tcPr>
          <w:p w14:paraId="7CD3336B">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60</w:t>
            </w:r>
          </w:p>
        </w:tc>
        <w:tc>
          <w:tcPr>
            <w:tcW w:w="462" w:type="dxa"/>
            <w:tcBorders>
              <w:tl2br w:val="nil"/>
              <w:tr2bl w:val="nil"/>
            </w:tcBorders>
            <w:vAlign w:val="center"/>
          </w:tcPr>
          <w:p w14:paraId="7A65134A">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w:t>
            </w:r>
          </w:p>
        </w:tc>
        <w:tc>
          <w:tcPr>
            <w:tcW w:w="462" w:type="dxa"/>
            <w:tcBorders>
              <w:tl2br w:val="nil"/>
              <w:tr2bl w:val="nil"/>
            </w:tcBorders>
            <w:vAlign w:val="center"/>
          </w:tcPr>
          <w:p w14:paraId="4E280CD9">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w:t>
            </w:r>
          </w:p>
        </w:tc>
        <w:tc>
          <w:tcPr>
            <w:tcW w:w="462" w:type="dxa"/>
            <w:tcBorders>
              <w:tl2br w:val="nil"/>
              <w:tr2bl w:val="nil"/>
            </w:tcBorders>
            <w:vAlign w:val="center"/>
          </w:tcPr>
          <w:p w14:paraId="149A8B5E">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5</w:t>
            </w:r>
          </w:p>
        </w:tc>
        <w:tc>
          <w:tcPr>
            <w:tcW w:w="462" w:type="dxa"/>
            <w:tcBorders>
              <w:tl2br w:val="nil"/>
              <w:tr2bl w:val="nil"/>
            </w:tcBorders>
            <w:vAlign w:val="center"/>
          </w:tcPr>
          <w:p w14:paraId="6413E3CA">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14</w:t>
            </w:r>
          </w:p>
        </w:tc>
        <w:tc>
          <w:tcPr>
            <w:tcW w:w="462" w:type="dxa"/>
            <w:tcBorders>
              <w:tl2br w:val="nil"/>
              <w:tr2bl w:val="nil"/>
            </w:tcBorders>
            <w:vAlign w:val="center"/>
          </w:tcPr>
          <w:p w14:paraId="341D16DC">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5</w:t>
            </w:r>
          </w:p>
        </w:tc>
        <w:tc>
          <w:tcPr>
            <w:tcW w:w="462" w:type="dxa"/>
            <w:tcBorders>
              <w:tl2br w:val="nil"/>
              <w:tr2bl w:val="nil"/>
            </w:tcBorders>
            <w:vAlign w:val="center"/>
          </w:tcPr>
          <w:p w14:paraId="0F1CA722">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79.0 </w:t>
            </w:r>
          </w:p>
        </w:tc>
        <w:tc>
          <w:tcPr>
            <w:tcW w:w="462" w:type="dxa"/>
            <w:tcBorders>
              <w:tl2br w:val="nil"/>
              <w:tr2bl w:val="nil"/>
            </w:tcBorders>
            <w:vAlign w:val="center"/>
          </w:tcPr>
          <w:p w14:paraId="5EABBC6E">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71.0 </w:t>
            </w:r>
          </w:p>
        </w:tc>
        <w:tc>
          <w:tcPr>
            <w:tcW w:w="462" w:type="dxa"/>
            <w:tcBorders>
              <w:tl2br w:val="nil"/>
              <w:tr2bl w:val="nil"/>
            </w:tcBorders>
            <w:vAlign w:val="center"/>
          </w:tcPr>
          <w:p w14:paraId="161EB0CA">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62.1 </w:t>
            </w:r>
          </w:p>
        </w:tc>
        <w:tc>
          <w:tcPr>
            <w:tcW w:w="462" w:type="dxa"/>
            <w:tcBorders>
              <w:tl2br w:val="nil"/>
              <w:tr2bl w:val="nil"/>
            </w:tcBorders>
            <w:vAlign w:val="center"/>
          </w:tcPr>
          <w:p w14:paraId="3ABD92B5">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71.0 </w:t>
            </w:r>
          </w:p>
        </w:tc>
        <w:tc>
          <w:tcPr>
            <w:tcW w:w="462" w:type="dxa"/>
            <w:tcBorders>
              <w:tl2br w:val="nil"/>
              <w:tr2bl w:val="nil"/>
            </w:tcBorders>
            <w:vAlign w:val="center"/>
          </w:tcPr>
          <w:p w14:paraId="7337C576">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p>
        </w:tc>
        <w:tc>
          <w:tcPr>
            <w:tcW w:w="462" w:type="dxa"/>
            <w:tcBorders>
              <w:tl2br w:val="nil"/>
              <w:tr2bl w:val="nil"/>
            </w:tcBorders>
            <w:vAlign w:val="center"/>
          </w:tcPr>
          <w:p w14:paraId="5BFADE57">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3413F4D1">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7223F921">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431A6B6F">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4BFB10A8">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59.0 </w:t>
            </w:r>
          </w:p>
        </w:tc>
        <w:tc>
          <w:tcPr>
            <w:tcW w:w="462" w:type="dxa"/>
            <w:tcBorders>
              <w:tl2br w:val="nil"/>
              <w:tr2bl w:val="nil"/>
            </w:tcBorders>
            <w:vAlign w:val="center"/>
          </w:tcPr>
          <w:p w14:paraId="695E36A2">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51.0 </w:t>
            </w:r>
          </w:p>
        </w:tc>
        <w:tc>
          <w:tcPr>
            <w:tcW w:w="463" w:type="dxa"/>
            <w:tcBorders>
              <w:tl2br w:val="nil"/>
              <w:tr2bl w:val="nil"/>
            </w:tcBorders>
            <w:vAlign w:val="center"/>
          </w:tcPr>
          <w:p w14:paraId="53933A04">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42.1 </w:t>
            </w:r>
          </w:p>
        </w:tc>
        <w:tc>
          <w:tcPr>
            <w:tcW w:w="463" w:type="dxa"/>
            <w:tcBorders>
              <w:tl2br w:val="nil"/>
              <w:tr2bl w:val="nil"/>
            </w:tcBorders>
            <w:vAlign w:val="center"/>
          </w:tcPr>
          <w:p w14:paraId="66B086A1">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51.0 </w:t>
            </w:r>
          </w:p>
        </w:tc>
        <w:tc>
          <w:tcPr>
            <w:tcW w:w="482" w:type="dxa"/>
            <w:tcBorders>
              <w:tl2br w:val="nil"/>
              <w:tr2bl w:val="nil"/>
            </w:tcBorders>
            <w:vAlign w:val="center"/>
          </w:tcPr>
          <w:p w14:paraId="72E24C69">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1</w:t>
            </w:r>
          </w:p>
        </w:tc>
      </w:tr>
      <w:tr w14:paraId="3402CAC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311" w:type="dxa"/>
            <w:tcBorders>
              <w:tl2br w:val="nil"/>
              <w:tr2bl w:val="nil"/>
            </w:tcBorders>
            <w:vAlign w:val="center"/>
          </w:tcPr>
          <w:p w14:paraId="1F8FE78C">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793" w:type="dxa"/>
            <w:vMerge w:val="continue"/>
            <w:tcBorders>
              <w:tl2br w:val="nil"/>
              <w:tr2bl w:val="nil"/>
            </w:tcBorders>
            <w:vAlign w:val="center"/>
          </w:tcPr>
          <w:p w14:paraId="6D88815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lang w:val="en-US" w:eastAsia="zh-CN"/>
              </w:rPr>
            </w:pPr>
          </w:p>
        </w:tc>
        <w:tc>
          <w:tcPr>
            <w:tcW w:w="1454" w:type="dxa"/>
            <w:tcBorders>
              <w:tl2br w:val="nil"/>
              <w:tr2bl w:val="nil"/>
            </w:tcBorders>
            <w:vAlign w:val="center"/>
          </w:tcPr>
          <w:p w14:paraId="45CDDD4F">
            <w:pPr>
              <w:widowControl/>
              <w:snapToGrid w:val="0"/>
              <w:contextualSpacing/>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1台</w:t>
            </w:r>
            <w:r>
              <w:rPr>
                <w:rFonts w:hint="default" w:ascii="Times New Roman" w:hAnsi="Times New Roman" w:eastAsia="宋体" w:cs="Times New Roman"/>
                <w:color w:val="auto"/>
                <w:kern w:val="0"/>
                <w:sz w:val="21"/>
                <w:szCs w:val="21"/>
                <w:lang w:val="en-US" w:eastAsia="zh-CN"/>
              </w:rPr>
              <w:t>投料皮带机</w:t>
            </w:r>
          </w:p>
        </w:tc>
        <w:tc>
          <w:tcPr>
            <w:tcW w:w="848" w:type="dxa"/>
            <w:tcBorders>
              <w:tl2br w:val="nil"/>
              <w:tr2bl w:val="nil"/>
            </w:tcBorders>
            <w:vAlign w:val="center"/>
          </w:tcPr>
          <w:p w14:paraId="6059426F">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4"/>
                <w:sz w:val="21"/>
                <w:szCs w:val="21"/>
                <w:lang w:val="en-US" w:eastAsia="zh-CN"/>
              </w:rPr>
            </w:pPr>
            <w:r>
              <w:rPr>
                <w:rFonts w:hint="default" w:ascii="Times New Roman" w:hAnsi="Times New Roman" w:eastAsia="宋体" w:cs="Times New Roman"/>
                <w:color w:val="auto"/>
                <w:spacing w:val="-4"/>
                <w:sz w:val="21"/>
                <w:szCs w:val="21"/>
                <w:lang w:val="en-US" w:eastAsia="zh-CN"/>
              </w:rPr>
              <w:t>85</w:t>
            </w:r>
          </w:p>
        </w:tc>
        <w:tc>
          <w:tcPr>
            <w:tcW w:w="1611" w:type="dxa"/>
            <w:tcBorders>
              <w:tl2br w:val="nil"/>
              <w:tr2bl w:val="nil"/>
            </w:tcBorders>
            <w:vAlign w:val="center"/>
          </w:tcPr>
          <w:p w14:paraId="3A94A3B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sz w:val="21"/>
                <w:szCs w:val="21"/>
              </w:rPr>
            </w:pPr>
            <w:r>
              <w:rPr>
                <w:rFonts w:hint="default" w:ascii="Times New Roman" w:hAnsi="Times New Roman" w:eastAsia="宋体" w:cs="Times New Roman"/>
                <w:color w:val="auto"/>
                <w:spacing w:val="-1"/>
                <w:sz w:val="21"/>
                <w:szCs w:val="21"/>
              </w:rPr>
              <w:t>减振+建筑物隔声</w:t>
            </w:r>
          </w:p>
        </w:tc>
        <w:tc>
          <w:tcPr>
            <w:tcW w:w="461" w:type="dxa"/>
            <w:tcBorders>
              <w:tl2br w:val="nil"/>
              <w:tr2bl w:val="nil"/>
            </w:tcBorders>
            <w:vAlign w:val="center"/>
          </w:tcPr>
          <w:p w14:paraId="4C19EE46">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76</w:t>
            </w:r>
          </w:p>
        </w:tc>
        <w:tc>
          <w:tcPr>
            <w:tcW w:w="462" w:type="dxa"/>
            <w:tcBorders>
              <w:tl2br w:val="nil"/>
              <w:tr2bl w:val="nil"/>
            </w:tcBorders>
            <w:vAlign w:val="center"/>
          </w:tcPr>
          <w:p w14:paraId="419FE1D9">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60</w:t>
            </w:r>
          </w:p>
        </w:tc>
        <w:tc>
          <w:tcPr>
            <w:tcW w:w="462" w:type="dxa"/>
            <w:tcBorders>
              <w:tl2br w:val="nil"/>
              <w:tr2bl w:val="nil"/>
            </w:tcBorders>
            <w:vAlign w:val="center"/>
          </w:tcPr>
          <w:p w14:paraId="77DE4AFF">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w:t>
            </w:r>
          </w:p>
        </w:tc>
        <w:tc>
          <w:tcPr>
            <w:tcW w:w="462" w:type="dxa"/>
            <w:tcBorders>
              <w:tl2br w:val="nil"/>
              <w:tr2bl w:val="nil"/>
            </w:tcBorders>
            <w:vAlign w:val="center"/>
          </w:tcPr>
          <w:p w14:paraId="51546175">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4</w:t>
            </w:r>
          </w:p>
        </w:tc>
        <w:tc>
          <w:tcPr>
            <w:tcW w:w="462" w:type="dxa"/>
            <w:tcBorders>
              <w:tl2br w:val="nil"/>
              <w:tr2bl w:val="nil"/>
            </w:tcBorders>
            <w:vAlign w:val="center"/>
          </w:tcPr>
          <w:p w14:paraId="4EFCD090">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5</w:t>
            </w:r>
          </w:p>
        </w:tc>
        <w:tc>
          <w:tcPr>
            <w:tcW w:w="462" w:type="dxa"/>
            <w:tcBorders>
              <w:tl2br w:val="nil"/>
              <w:tr2bl w:val="nil"/>
            </w:tcBorders>
            <w:vAlign w:val="center"/>
          </w:tcPr>
          <w:p w14:paraId="68DE7B78">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12</w:t>
            </w:r>
          </w:p>
        </w:tc>
        <w:tc>
          <w:tcPr>
            <w:tcW w:w="462" w:type="dxa"/>
            <w:tcBorders>
              <w:tl2br w:val="nil"/>
              <w:tr2bl w:val="nil"/>
            </w:tcBorders>
            <w:vAlign w:val="center"/>
          </w:tcPr>
          <w:p w14:paraId="7AEB7390">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5</w:t>
            </w:r>
          </w:p>
        </w:tc>
        <w:tc>
          <w:tcPr>
            <w:tcW w:w="462" w:type="dxa"/>
            <w:tcBorders>
              <w:tl2br w:val="nil"/>
              <w:tr2bl w:val="nil"/>
            </w:tcBorders>
            <w:vAlign w:val="center"/>
          </w:tcPr>
          <w:p w14:paraId="466DCD73">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73.0 </w:t>
            </w:r>
          </w:p>
        </w:tc>
        <w:tc>
          <w:tcPr>
            <w:tcW w:w="462" w:type="dxa"/>
            <w:tcBorders>
              <w:tl2br w:val="nil"/>
              <w:tr2bl w:val="nil"/>
            </w:tcBorders>
            <w:vAlign w:val="center"/>
          </w:tcPr>
          <w:p w14:paraId="00EDC157">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71.0 </w:t>
            </w:r>
          </w:p>
        </w:tc>
        <w:tc>
          <w:tcPr>
            <w:tcW w:w="462" w:type="dxa"/>
            <w:tcBorders>
              <w:tl2br w:val="nil"/>
              <w:tr2bl w:val="nil"/>
            </w:tcBorders>
            <w:vAlign w:val="center"/>
          </w:tcPr>
          <w:p w14:paraId="66921F6E">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63.4 </w:t>
            </w:r>
          </w:p>
        </w:tc>
        <w:tc>
          <w:tcPr>
            <w:tcW w:w="462" w:type="dxa"/>
            <w:tcBorders>
              <w:tl2br w:val="nil"/>
              <w:tr2bl w:val="nil"/>
            </w:tcBorders>
            <w:vAlign w:val="center"/>
          </w:tcPr>
          <w:p w14:paraId="7C90F0B1">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71.0 </w:t>
            </w:r>
          </w:p>
        </w:tc>
        <w:tc>
          <w:tcPr>
            <w:tcW w:w="462" w:type="dxa"/>
            <w:tcBorders>
              <w:tl2br w:val="nil"/>
              <w:tr2bl w:val="nil"/>
            </w:tcBorders>
            <w:vAlign w:val="center"/>
          </w:tcPr>
          <w:p w14:paraId="0AB76D5C">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p>
        </w:tc>
        <w:tc>
          <w:tcPr>
            <w:tcW w:w="462" w:type="dxa"/>
            <w:tcBorders>
              <w:tl2br w:val="nil"/>
              <w:tr2bl w:val="nil"/>
            </w:tcBorders>
            <w:vAlign w:val="center"/>
          </w:tcPr>
          <w:p w14:paraId="602B2D2F">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3B995A7A">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724A069C">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30CC84EE">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288E22C6">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53.0 </w:t>
            </w:r>
          </w:p>
        </w:tc>
        <w:tc>
          <w:tcPr>
            <w:tcW w:w="462" w:type="dxa"/>
            <w:tcBorders>
              <w:tl2br w:val="nil"/>
              <w:tr2bl w:val="nil"/>
            </w:tcBorders>
            <w:vAlign w:val="center"/>
          </w:tcPr>
          <w:p w14:paraId="7E1B692E">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51.0 </w:t>
            </w:r>
          </w:p>
        </w:tc>
        <w:tc>
          <w:tcPr>
            <w:tcW w:w="463" w:type="dxa"/>
            <w:tcBorders>
              <w:tl2br w:val="nil"/>
              <w:tr2bl w:val="nil"/>
            </w:tcBorders>
            <w:vAlign w:val="center"/>
          </w:tcPr>
          <w:p w14:paraId="7725F907">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43.4 </w:t>
            </w:r>
          </w:p>
        </w:tc>
        <w:tc>
          <w:tcPr>
            <w:tcW w:w="463" w:type="dxa"/>
            <w:tcBorders>
              <w:tl2br w:val="nil"/>
              <w:tr2bl w:val="nil"/>
            </w:tcBorders>
            <w:vAlign w:val="center"/>
          </w:tcPr>
          <w:p w14:paraId="39FDD34E">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51.0 </w:t>
            </w:r>
          </w:p>
        </w:tc>
        <w:tc>
          <w:tcPr>
            <w:tcW w:w="482" w:type="dxa"/>
            <w:tcBorders>
              <w:tl2br w:val="nil"/>
              <w:tr2bl w:val="nil"/>
            </w:tcBorders>
            <w:vAlign w:val="center"/>
          </w:tcPr>
          <w:p w14:paraId="77A99D6E">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1</w:t>
            </w:r>
          </w:p>
        </w:tc>
      </w:tr>
      <w:tr w14:paraId="6560B9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311" w:type="dxa"/>
            <w:tcBorders>
              <w:tl2br w:val="nil"/>
              <w:tr2bl w:val="nil"/>
            </w:tcBorders>
            <w:vAlign w:val="center"/>
          </w:tcPr>
          <w:p w14:paraId="47C40B70">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w:t>
            </w:r>
          </w:p>
        </w:tc>
        <w:tc>
          <w:tcPr>
            <w:tcW w:w="793" w:type="dxa"/>
            <w:vMerge w:val="continue"/>
            <w:tcBorders>
              <w:tl2br w:val="nil"/>
              <w:tr2bl w:val="nil"/>
            </w:tcBorders>
            <w:vAlign w:val="center"/>
          </w:tcPr>
          <w:p w14:paraId="48942F5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p>
        </w:tc>
        <w:tc>
          <w:tcPr>
            <w:tcW w:w="1454" w:type="dxa"/>
            <w:tcBorders>
              <w:tl2br w:val="nil"/>
              <w:tr2bl w:val="nil"/>
            </w:tcBorders>
            <w:vAlign w:val="center"/>
          </w:tcPr>
          <w:p w14:paraId="51C6A1A6">
            <w:pPr>
              <w:widowControl/>
              <w:snapToGrid w:val="0"/>
              <w:contextualSpacing/>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1台</w:t>
            </w:r>
            <w:r>
              <w:rPr>
                <w:rFonts w:hint="default" w:ascii="Times New Roman" w:hAnsi="Times New Roman" w:eastAsia="宋体" w:cs="Times New Roman"/>
                <w:color w:val="auto"/>
                <w:kern w:val="0"/>
                <w:sz w:val="21"/>
                <w:szCs w:val="21"/>
                <w:lang w:val="en-US" w:eastAsia="zh-CN"/>
              </w:rPr>
              <w:t>筛分进料皮带机</w:t>
            </w:r>
          </w:p>
        </w:tc>
        <w:tc>
          <w:tcPr>
            <w:tcW w:w="848" w:type="dxa"/>
            <w:tcBorders>
              <w:tl2br w:val="nil"/>
              <w:tr2bl w:val="nil"/>
            </w:tcBorders>
            <w:vAlign w:val="center"/>
          </w:tcPr>
          <w:p w14:paraId="67750C48">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80</w:t>
            </w:r>
          </w:p>
        </w:tc>
        <w:tc>
          <w:tcPr>
            <w:tcW w:w="1611" w:type="dxa"/>
            <w:tcBorders>
              <w:tl2br w:val="nil"/>
              <w:tr2bl w:val="nil"/>
            </w:tcBorders>
            <w:vAlign w:val="center"/>
          </w:tcPr>
          <w:p w14:paraId="77AE71C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sz w:val="21"/>
                <w:szCs w:val="21"/>
              </w:rPr>
            </w:pPr>
            <w:r>
              <w:rPr>
                <w:rFonts w:hint="default" w:ascii="Times New Roman" w:hAnsi="Times New Roman" w:eastAsia="宋体" w:cs="Times New Roman"/>
                <w:color w:val="auto"/>
                <w:spacing w:val="-1"/>
                <w:sz w:val="21"/>
                <w:szCs w:val="21"/>
              </w:rPr>
              <w:t>减振+建筑物隔声</w:t>
            </w:r>
          </w:p>
        </w:tc>
        <w:tc>
          <w:tcPr>
            <w:tcW w:w="461" w:type="dxa"/>
            <w:tcBorders>
              <w:tl2br w:val="nil"/>
              <w:tr2bl w:val="nil"/>
            </w:tcBorders>
            <w:vAlign w:val="center"/>
          </w:tcPr>
          <w:p w14:paraId="57DCB355">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76</w:t>
            </w:r>
          </w:p>
        </w:tc>
        <w:tc>
          <w:tcPr>
            <w:tcW w:w="462" w:type="dxa"/>
            <w:tcBorders>
              <w:tl2br w:val="nil"/>
              <w:tr2bl w:val="nil"/>
            </w:tcBorders>
            <w:vAlign w:val="center"/>
          </w:tcPr>
          <w:p w14:paraId="523CB9F1">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60</w:t>
            </w:r>
          </w:p>
        </w:tc>
        <w:tc>
          <w:tcPr>
            <w:tcW w:w="462" w:type="dxa"/>
            <w:tcBorders>
              <w:tl2br w:val="nil"/>
              <w:tr2bl w:val="nil"/>
            </w:tcBorders>
            <w:vAlign w:val="center"/>
          </w:tcPr>
          <w:p w14:paraId="14D57A6E">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w:t>
            </w:r>
          </w:p>
        </w:tc>
        <w:tc>
          <w:tcPr>
            <w:tcW w:w="462" w:type="dxa"/>
            <w:tcBorders>
              <w:tl2br w:val="nil"/>
              <w:tr2bl w:val="nil"/>
            </w:tcBorders>
            <w:vAlign w:val="center"/>
          </w:tcPr>
          <w:p w14:paraId="26D77520">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6</w:t>
            </w:r>
          </w:p>
        </w:tc>
        <w:tc>
          <w:tcPr>
            <w:tcW w:w="462" w:type="dxa"/>
            <w:tcBorders>
              <w:tl2br w:val="nil"/>
              <w:tr2bl w:val="nil"/>
            </w:tcBorders>
            <w:vAlign w:val="center"/>
          </w:tcPr>
          <w:p w14:paraId="558516B0">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5</w:t>
            </w:r>
          </w:p>
        </w:tc>
        <w:tc>
          <w:tcPr>
            <w:tcW w:w="462" w:type="dxa"/>
            <w:tcBorders>
              <w:tl2br w:val="nil"/>
              <w:tr2bl w:val="nil"/>
            </w:tcBorders>
            <w:vAlign w:val="center"/>
          </w:tcPr>
          <w:p w14:paraId="77A25F85">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10</w:t>
            </w:r>
          </w:p>
        </w:tc>
        <w:tc>
          <w:tcPr>
            <w:tcW w:w="462" w:type="dxa"/>
            <w:tcBorders>
              <w:tl2br w:val="nil"/>
              <w:tr2bl w:val="nil"/>
            </w:tcBorders>
            <w:vAlign w:val="center"/>
          </w:tcPr>
          <w:p w14:paraId="0976C9EC">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5</w:t>
            </w:r>
          </w:p>
        </w:tc>
        <w:tc>
          <w:tcPr>
            <w:tcW w:w="462" w:type="dxa"/>
            <w:tcBorders>
              <w:tl2br w:val="nil"/>
              <w:tr2bl w:val="nil"/>
            </w:tcBorders>
            <w:vAlign w:val="center"/>
          </w:tcPr>
          <w:p w14:paraId="60B4224D">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64.4 </w:t>
            </w:r>
          </w:p>
        </w:tc>
        <w:tc>
          <w:tcPr>
            <w:tcW w:w="462" w:type="dxa"/>
            <w:tcBorders>
              <w:tl2br w:val="nil"/>
              <w:tr2bl w:val="nil"/>
            </w:tcBorders>
            <w:vAlign w:val="center"/>
          </w:tcPr>
          <w:p w14:paraId="5857BD54">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66.0 </w:t>
            </w:r>
          </w:p>
        </w:tc>
        <w:tc>
          <w:tcPr>
            <w:tcW w:w="462" w:type="dxa"/>
            <w:tcBorders>
              <w:tl2br w:val="nil"/>
              <w:tr2bl w:val="nil"/>
            </w:tcBorders>
            <w:vAlign w:val="center"/>
          </w:tcPr>
          <w:p w14:paraId="7DD0AF62">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60.0 </w:t>
            </w:r>
          </w:p>
        </w:tc>
        <w:tc>
          <w:tcPr>
            <w:tcW w:w="462" w:type="dxa"/>
            <w:tcBorders>
              <w:tl2br w:val="nil"/>
              <w:tr2bl w:val="nil"/>
            </w:tcBorders>
            <w:vAlign w:val="center"/>
          </w:tcPr>
          <w:p w14:paraId="53F5AA6B">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66.0 </w:t>
            </w:r>
          </w:p>
        </w:tc>
        <w:tc>
          <w:tcPr>
            <w:tcW w:w="462" w:type="dxa"/>
            <w:tcBorders>
              <w:tl2br w:val="nil"/>
              <w:tr2bl w:val="nil"/>
            </w:tcBorders>
            <w:vAlign w:val="center"/>
          </w:tcPr>
          <w:p w14:paraId="7F8737F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p>
        </w:tc>
        <w:tc>
          <w:tcPr>
            <w:tcW w:w="462" w:type="dxa"/>
            <w:tcBorders>
              <w:tl2br w:val="nil"/>
              <w:tr2bl w:val="nil"/>
            </w:tcBorders>
            <w:vAlign w:val="center"/>
          </w:tcPr>
          <w:p w14:paraId="20952C76">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1A3993BB">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7BFEBB5E">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3F7A05F4">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7EE23AF1">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44.4 </w:t>
            </w:r>
          </w:p>
        </w:tc>
        <w:tc>
          <w:tcPr>
            <w:tcW w:w="462" w:type="dxa"/>
            <w:tcBorders>
              <w:tl2br w:val="nil"/>
              <w:tr2bl w:val="nil"/>
            </w:tcBorders>
            <w:vAlign w:val="center"/>
          </w:tcPr>
          <w:p w14:paraId="742938FB">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46.0 </w:t>
            </w:r>
          </w:p>
        </w:tc>
        <w:tc>
          <w:tcPr>
            <w:tcW w:w="463" w:type="dxa"/>
            <w:tcBorders>
              <w:tl2br w:val="nil"/>
              <w:tr2bl w:val="nil"/>
            </w:tcBorders>
            <w:vAlign w:val="center"/>
          </w:tcPr>
          <w:p w14:paraId="5DD14153">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40.0 </w:t>
            </w:r>
          </w:p>
        </w:tc>
        <w:tc>
          <w:tcPr>
            <w:tcW w:w="463" w:type="dxa"/>
            <w:tcBorders>
              <w:tl2br w:val="nil"/>
              <w:tr2bl w:val="nil"/>
            </w:tcBorders>
            <w:vAlign w:val="center"/>
          </w:tcPr>
          <w:p w14:paraId="0EFA3010">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46.0 </w:t>
            </w:r>
          </w:p>
        </w:tc>
        <w:tc>
          <w:tcPr>
            <w:tcW w:w="482" w:type="dxa"/>
            <w:tcBorders>
              <w:tl2br w:val="nil"/>
              <w:tr2bl w:val="nil"/>
            </w:tcBorders>
            <w:vAlign w:val="center"/>
          </w:tcPr>
          <w:p w14:paraId="41B7F09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1</w:t>
            </w:r>
          </w:p>
        </w:tc>
      </w:tr>
      <w:tr w14:paraId="1401E6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311" w:type="dxa"/>
            <w:tcBorders>
              <w:tl2br w:val="nil"/>
              <w:tr2bl w:val="nil"/>
            </w:tcBorders>
            <w:vAlign w:val="center"/>
          </w:tcPr>
          <w:p w14:paraId="4E157011">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w:t>
            </w:r>
          </w:p>
        </w:tc>
        <w:tc>
          <w:tcPr>
            <w:tcW w:w="793" w:type="dxa"/>
            <w:vMerge w:val="continue"/>
            <w:tcBorders>
              <w:tl2br w:val="nil"/>
              <w:tr2bl w:val="nil"/>
            </w:tcBorders>
            <w:vAlign w:val="center"/>
          </w:tcPr>
          <w:p w14:paraId="6D864C5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p>
        </w:tc>
        <w:tc>
          <w:tcPr>
            <w:tcW w:w="1454" w:type="dxa"/>
            <w:tcBorders>
              <w:tl2br w:val="nil"/>
              <w:tr2bl w:val="nil"/>
            </w:tcBorders>
            <w:vAlign w:val="center"/>
          </w:tcPr>
          <w:p w14:paraId="3845FE12">
            <w:pPr>
              <w:widowControl/>
              <w:snapToGrid w:val="0"/>
              <w:contextualSpacing/>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lang w:val="en-US" w:eastAsia="zh-CN"/>
              </w:rPr>
              <w:t>1台</w:t>
            </w:r>
            <w:r>
              <w:rPr>
                <w:rFonts w:hint="default" w:ascii="Times New Roman" w:hAnsi="Times New Roman" w:eastAsia="宋体" w:cs="Times New Roman"/>
                <w:color w:val="auto"/>
                <w:kern w:val="0"/>
                <w:sz w:val="21"/>
                <w:szCs w:val="21"/>
                <w:lang w:val="en-US" w:eastAsia="zh-CN"/>
              </w:rPr>
              <w:t>全封闭滚动筛分机</w:t>
            </w:r>
          </w:p>
        </w:tc>
        <w:tc>
          <w:tcPr>
            <w:tcW w:w="848" w:type="dxa"/>
            <w:tcBorders>
              <w:tl2br w:val="nil"/>
              <w:tr2bl w:val="nil"/>
            </w:tcBorders>
            <w:vAlign w:val="center"/>
          </w:tcPr>
          <w:p w14:paraId="4B9E1D55">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80</w:t>
            </w:r>
          </w:p>
        </w:tc>
        <w:tc>
          <w:tcPr>
            <w:tcW w:w="1611" w:type="dxa"/>
            <w:tcBorders>
              <w:tl2br w:val="nil"/>
              <w:tr2bl w:val="nil"/>
            </w:tcBorders>
            <w:vAlign w:val="center"/>
          </w:tcPr>
          <w:p w14:paraId="7B8BC4A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sz w:val="21"/>
                <w:szCs w:val="21"/>
              </w:rPr>
            </w:pPr>
            <w:r>
              <w:rPr>
                <w:rFonts w:hint="default" w:ascii="Times New Roman" w:hAnsi="Times New Roman" w:eastAsia="宋体" w:cs="Times New Roman"/>
                <w:color w:val="auto"/>
                <w:spacing w:val="-1"/>
                <w:sz w:val="21"/>
                <w:szCs w:val="21"/>
              </w:rPr>
              <w:t>减振+建筑物隔声</w:t>
            </w:r>
          </w:p>
        </w:tc>
        <w:tc>
          <w:tcPr>
            <w:tcW w:w="461" w:type="dxa"/>
            <w:tcBorders>
              <w:tl2br w:val="nil"/>
              <w:tr2bl w:val="nil"/>
            </w:tcBorders>
            <w:vAlign w:val="center"/>
          </w:tcPr>
          <w:p w14:paraId="75EB18CE">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76</w:t>
            </w:r>
          </w:p>
        </w:tc>
        <w:tc>
          <w:tcPr>
            <w:tcW w:w="462" w:type="dxa"/>
            <w:tcBorders>
              <w:tl2br w:val="nil"/>
              <w:tr2bl w:val="nil"/>
            </w:tcBorders>
            <w:vAlign w:val="center"/>
          </w:tcPr>
          <w:p w14:paraId="70A8977D">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60</w:t>
            </w:r>
          </w:p>
        </w:tc>
        <w:tc>
          <w:tcPr>
            <w:tcW w:w="462" w:type="dxa"/>
            <w:tcBorders>
              <w:tl2br w:val="nil"/>
              <w:tr2bl w:val="nil"/>
            </w:tcBorders>
            <w:vAlign w:val="center"/>
          </w:tcPr>
          <w:p w14:paraId="0B97C8D1">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w:t>
            </w:r>
          </w:p>
        </w:tc>
        <w:tc>
          <w:tcPr>
            <w:tcW w:w="462" w:type="dxa"/>
            <w:tcBorders>
              <w:tl2br w:val="nil"/>
              <w:tr2bl w:val="nil"/>
            </w:tcBorders>
            <w:vAlign w:val="center"/>
          </w:tcPr>
          <w:p w14:paraId="380839C6">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8</w:t>
            </w:r>
          </w:p>
        </w:tc>
        <w:tc>
          <w:tcPr>
            <w:tcW w:w="462" w:type="dxa"/>
            <w:tcBorders>
              <w:tl2br w:val="nil"/>
              <w:tr2bl w:val="nil"/>
            </w:tcBorders>
            <w:vAlign w:val="center"/>
          </w:tcPr>
          <w:p w14:paraId="2DBEA147">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5</w:t>
            </w:r>
          </w:p>
        </w:tc>
        <w:tc>
          <w:tcPr>
            <w:tcW w:w="462" w:type="dxa"/>
            <w:tcBorders>
              <w:tl2br w:val="nil"/>
              <w:tr2bl w:val="nil"/>
            </w:tcBorders>
            <w:vAlign w:val="center"/>
          </w:tcPr>
          <w:p w14:paraId="7FC7144E">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8</w:t>
            </w:r>
          </w:p>
        </w:tc>
        <w:tc>
          <w:tcPr>
            <w:tcW w:w="462" w:type="dxa"/>
            <w:tcBorders>
              <w:tl2br w:val="nil"/>
              <w:tr2bl w:val="nil"/>
            </w:tcBorders>
            <w:vAlign w:val="center"/>
          </w:tcPr>
          <w:p w14:paraId="17BC1990">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5</w:t>
            </w:r>
          </w:p>
        </w:tc>
        <w:tc>
          <w:tcPr>
            <w:tcW w:w="462" w:type="dxa"/>
            <w:tcBorders>
              <w:tl2br w:val="nil"/>
              <w:tr2bl w:val="nil"/>
            </w:tcBorders>
            <w:vAlign w:val="center"/>
          </w:tcPr>
          <w:p w14:paraId="296DA1A2">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61.9 </w:t>
            </w:r>
          </w:p>
        </w:tc>
        <w:tc>
          <w:tcPr>
            <w:tcW w:w="462" w:type="dxa"/>
            <w:tcBorders>
              <w:tl2br w:val="nil"/>
              <w:tr2bl w:val="nil"/>
            </w:tcBorders>
            <w:vAlign w:val="center"/>
          </w:tcPr>
          <w:p w14:paraId="52863BEF">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66.0 </w:t>
            </w:r>
          </w:p>
        </w:tc>
        <w:tc>
          <w:tcPr>
            <w:tcW w:w="462" w:type="dxa"/>
            <w:tcBorders>
              <w:tl2br w:val="nil"/>
              <w:tr2bl w:val="nil"/>
            </w:tcBorders>
            <w:vAlign w:val="center"/>
          </w:tcPr>
          <w:p w14:paraId="55539A8E">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61.9 </w:t>
            </w:r>
          </w:p>
        </w:tc>
        <w:tc>
          <w:tcPr>
            <w:tcW w:w="462" w:type="dxa"/>
            <w:tcBorders>
              <w:tl2br w:val="nil"/>
              <w:tr2bl w:val="nil"/>
            </w:tcBorders>
            <w:vAlign w:val="center"/>
          </w:tcPr>
          <w:p w14:paraId="4F20D332">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66.0 </w:t>
            </w:r>
          </w:p>
        </w:tc>
        <w:tc>
          <w:tcPr>
            <w:tcW w:w="462" w:type="dxa"/>
            <w:tcBorders>
              <w:tl2br w:val="nil"/>
              <w:tr2bl w:val="nil"/>
            </w:tcBorders>
            <w:vAlign w:val="center"/>
          </w:tcPr>
          <w:p w14:paraId="647FB71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p>
        </w:tc>
        <w:tc>
          <w:tcPr>
            <w:tcW w:w="462" w:type="dxa"/>
            <w:tcBorders>
              <w:tl2br w:val="nil"/>
              <w:tr2bl w:val="nil"/>
            </w:tcBorders>
            <w:vAlign w:val="center"/>
          </w:tcPr>
          <w:p w14:paraId="3CCBC763">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24ECEDDD">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5A5F294B">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115483BC">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44C3D17D">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41.9 </w:t>
            </w:r>
          </w:p>
        </w:tc>
        <w:tc>
          <w:tcPr>
            <w:tcW w:w="462" w:type="dxa"/>
            <w:tcBorders>
              <w:tl2br w:val="nil"/>
              <w:tr2bl w:val="nil"/>
            </w:tcBorders>
            <w:vAlign w:val="center"/>
          </w:tcPr>
          <w:p w14:paraId="2BD110A3">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46.0 </w:t>
            </w:r>
          </w:p>
        </w:tc>
        <w:tc>
          <w:tcPr>
            <w:tcW w:w="463" w:type="dxa"/>
            <w:tcBorders>
              <w:tl2br w:val="nil"/>
              <w:tr2bl w:val="nil"/>
            </w:tcBorders>
            <w:vAlign w:val="center"/>
          </w:tcPr>
          <w:p w14:paraId="2FE07BAE">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41.9 </w:t>
            </w:r>
          </w:p>
        </w:tc>
        <w:tc>
          <w:tcPr>
            <w:tcW w:w="463" w:type="dxa"/>
            <w:tcBorders>
              <w:tl2br w:val="nil"/>
              <w:tr2bl w:val="nil"/>
            </w:tcBorders>
            <w:vAlign w:val="center"/>
          </w:tcPr>
          <w:p w14:paraId="139758F0">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46.0 </w:t>
            </w:r>
          </w:p>
        </w:tc>
        <w:tc>
          <w:tcPr>
            <w:tcW w:w="482" w:type="dxa"/>
            <w:tcBorders>
              <w:tl2br w:val="nil"/>
              <w:tr2bl w:val="nil"/>
            </w:tcBorders>
            <w:vAlign w:val="center"/>
          </w:tcPr>
          <w:p w14:paraId="5161C93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1</w:t>
            </w:r>
          </w:p>
        </w:tc>
      </w:tr>
      <w:tr w14:paraId="3FDCEE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311" w:type="dxa"/>
            <w:tcBorders>
              <w:tl2br w:val="nil"/>
              <w:tr2bl w:val="nil"/>
            </w:tcBorders>
            <w:vAlign w:val="center"/>
          </w:tcPr>
          <w:p w14:paraId="150F9959">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w:t>
            </w:r>
          </w:p>
        </w:tc>
        <w:tc>
          <w:tcPr>
            <w:tcW w:w="793" w:type="dxa"/>
            <w:vMerge w:val="continue"/>
            <w:tcBorders>
              <w:tl2br w:val="nil"/>
              <w:tr2bl w:val="nil"/>
            </w:tcBorders>
            <w:vAlign w:val="center"/>
          </w:tcPr>
          <w:p w14:paraId="0CA1FFE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p>
        </w:tc>
        <w:tc>
          <w:tcPr>
            <w:tcW w:w="1454" w:type="dxa"/>
            <w:tcBorders>
              <w:tl2br w:val="nil"/>
              <w:tr2bl w:val="nil"/>
            </w:tcBorders>
            <w:vAlign w:val="center"/>
          </w:tcPr>
          <w:p w14:paraId="03F0EE9D">
            <w:pPr>
              <w:widowControl/>
              <w:snapToGrid w:val="0"/>
              <w:contextualSpacing/>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1台</w:t>
            </w:r>
            <w:r>
              <w:rPr>
                <w:rFonts w:hint="default" w:ascii="Times New Roman" w:hAnsi="Times New Roman" w:eastAsia="宋体" w:cs="Times New Roman"/>
                <w:color w:val="auto"/>
                <w:kern w:val="0"/>
                <w:sz w:val="21"/>
                <w:szCs w:val="21"/>
                <w:lang w:val="en-US" w:eastAsia="zh-CN"/>
              </w:rPr>
              <w:t>筛分粉料出料皮带</w:t>
            </w:r>
          </w:p>
        </w:tc>
        <w:tc>
          <w:tcPr>
            <w:tcW w:w="848" w:type="dxa"/>
            <w:tcBorders>
              <w:tl2br w:val="nil"/>
              <w:tr2bl w:val="nil"/>
            </w:tcBorders>
            <w:vAlign w:val="center"/>
          </w:tcPr>
          <w:p w14:paraId="06545ADC">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80</w:t>
            </w:r>
          </w:p>
        </w:tc>
        <w:tc>
          <w:tcPr>
            <w:tcW w:w="1611" w:type="dxa"/>
            <w:tcBorders>
              <w:tl2br w:val="nil"/>
              <w:tr2bl w:val="nil"/>
            </w:tcBorders>
            <w:vAlign w:val="center"/>
          </w:tcPr>
          <w:p w14:paraId="31F7E45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sz w:val="21"/>
                <w:szCs w:val="21"/>
              </w:rPr>
            </w:pPr>
            <w:r>
              <w:rPr>
                <w:rFonts w:hint="default" w:ascii="Times New Roman" w:hAnsi="Times New Roman" w:eastAsia="宋体" w:cs="Times New Roman"/>
                <w:color w:val="auto"/>
                <w:spacing w:val="-1"/>
                <w:sz w:val="21"/>
                <w:szCs w:val="21"/>
              </w:rPr>
              <w:t>减振+建筑物隔声</w:t>
            </w:r>
          </w:p>
        </w:tc>
        <w:tc>
          <w:tcPr>
            <w:tcW w:w="461" w:type="dxa"/>
            <w:tcBorders>
              <w:tl2br w:val="nil"/>
              <w:tr2bl w:val="nil"/>
            </w:tcBorders>
            <w:vAlign w:val="center"/>
          </w:tcPr>
          <w:p w14:paraId="6BF6C5C9">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76</w:t>
            </w:r>
          </w:p>
        </w:tc>
        <w:tc>
          <w:tcPr>
            <w:tcW w:w="462" w:type="dxa"/>
            <w:tcBorders>
              <w:tl2br w:val="nil"/>
              <w:tr2bl w:val="nil"/>
            </w:tcBorders>
            <w:vAlign w:val="center"/>
          </w:tcPr>
          <w:p w14:paraId="3374DA50">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60</w:t>
            </w:r>
          </w:p>
        </w:tc>
        <w:tc>
          <w:tcPr>
            <w:tcW w:w="462" w:type="dxa"/>
            <w:tcBorders>
              <w:tl2br w:val="nil"/>
              <w:tr2bl w:val="nil"/>
            </w:tcBorders>
            <w:vAlign w:val="center"/>
          </w:tcPr>
          <w:p w14:paraId="4FDDC23C">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w:t>
            </w:r>
          </w:p>
        </w:tc>
        <w:tc>
          <w:tcPr>
            <w:tcW w:w="462" w:type="dxa"/>
            <w:tcBorders>
              <w:tl2br w:val="nil"/>
              <w:tr2bl w:val="nil"/>
            </w:tcBorders>
            <w:vAlign w:val="center"/>
          </w:tcPr>
          <w:p w14:paraId="05420456">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10</w:t>
            </w:r>
          </w:p>
        </w:tc>
        <w:tc>
          <w:tcPr>
            <w:tcW w:w="462" w:type="dxa"/>
            <w:tcBorders>
              <w:tl2br w:val="nil"/>
              <w:tr2bl w:val="nil"/>
            </w:tcBorders>
            <w:vAlign w:val="center"/>
          </w:tcPr>
          <w:p w14:paraId="3C5D1DCE">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5</w:t>
            </w:r>
          </w:p>
        </w:tc>
        <w:tc>
          <w:tcPr>
            <w:tcW w:w="462" w:type="dxa"/>
            <w:tcBorders>
              <w:tl2br w:val="nil"/>
              <w:tr2bl w:val="nil"/>
            </w:tcBorders>
            <w:vAlign w:val="center"/>
          </w:tcPr>
          <w:p w14:paraId="2DBC335E">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6</w:t>
            </w:r>
          </w:p>
        </w:tc>
        <w:tc>
          <w:tcPr>
            <w:tcW w:w="462" w:type="dxa"/>
            <w:tcBorders>
              <w:tl2br w:val="nil"/>
              <w:tr2bl w:val="nil"/>
            </w:tcBorders>
            <w:vAlign w:val="center"/>
          </w:tcPr>
          <w:p w14:paraId="4C247030">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5</w:t>
            </w:r>
          </w:p>
        </w:tc>
        <w:tc>
          <w:tcPr>
            <w:tcW w:w="462" w:type="dxa"/>
            <w:tcBorders>
              <w:tl2br w:val="nil"/>
              <w:tr2bl w:val="nil"/>
            </w:tcBorders>
            <w:vAlign w:val="center"/>
          </w:tcPr>
          <w:p w14:paraId="71ACF1CC">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60.0 </w:t>
            </w:r>
          </w:p>
        </w:tc>
        <w:tc>
          <w:tcPr>
            <w:tcW w:w="462" w:type="dxa"/>
            <w:tcBorders>
              <w:tl2br w:val="nil"/>
              <w:tr2bl w:val="nil"/>
            </w:tcBorders>
            <w:vAlign w:val="center"/>
          </w:tcPr>
          <w:p w14:paraId="371DA117">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66.0 </w:t>
            </w:r>
          </w:p>
        </w:tc>
        <w:tc>
          <w:tcPr>
            <w:tcW w:w="462" w:type="dxa"/>
            <w:tcBorders>
              <w:tl2br w:val="nil"/>
              <w:tr2bl w:val="nil"/>
            </w:tcBorders>
            <w:vAlign w:val="center"/>
          </w:tcPr>
          <w:p w14:paraId="2AE95133">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64.4 </w:t>
            </w:r>
          </w:p>
        </w:tc>
        <w:tc>
          <w:tcPr>
            <w:tcW w:w="462" w:type="dxa"/>
            <w:tcBorders>
              <w:tl2br w:val="nil"/>
              <w:tr2bl w:val="nil"/>
            </w:tcBorders>
            <w:vAlign w:val="center"/>
          </w:tcPr>
          <w:p w14:paraId="1F544A51">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66.0 </w:t>
            </w:r>
          </w:p>
        </w:tc>
        <w:tc>
          <w:tcPr>
            <w:tcW w:w="462" w:type="dxa"/>
            <w:tcBorders>
              <w:tl2br w:val="nil"/>
              <w:tr2bl w:val="nil"/>
            </w:tcBorders>
            <w:vAlign w:val="center"/>
          </w:tcPr>
          <w:p w14:paraId="4EF5980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p>
        </w:tc>
        <w:tc>
          <w:tcPr>
            <w:tcW w:w="462" w:type="dxa"/>
            <w:tcBorders>
              <w:tl2br w:val="nil"/>
              <w:tr2bl w:val="nil"/>
            </w:tcBorders>
            <w:vAlign w:val="center"/>
          </w:tcPr>
          <w:p w14:paraId="38880189">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417CC20D">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33203202">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414E78DA">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2C6192DA">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40.0 </w:t>
            </w:r>
          </w:p>
        </w:tc>
        <w:tc>
          <w:tcPr>
            <w:tcW w:w="462" w:type="dxa"/>
            <w:tcBorders>
              <w:tl2br w:val="nil"/>
              <w:tr2bl w:val="nil"/>
            </w:tcBorders>
            <w:vAlign w:val="center"/>
          </w:tcPr>
          <w:p w14:paraId="598A7DDA">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46.0 </w:t>
            </w:r>
          </w:p>
        </w:tc>
        <w:tc>
          <w:tcPr>
            <w:tcW w:w="463" w:type="dxa"/>
            <w:tcBorders>
              <w:tl2br w:val="nil"/>
              <w:tr2bl w:val="nil"/>
            </w:tcBorders>
            <w:vAlign w:val="center"/>
          </w:tcPr>
          <w:p w14:paraId="24AD603F">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44.4 </w:t>
            </w:r>
          </w:p>
        </w:tc>
        <w:tc>
          <w:tcPr>
            <w:tcW w:w="463" w:type="dxa"/>
            <w:tcBorders>
              <w:tl2br w:val="nil"/>
              <w:tr2bl w:val="nil"/>
            </w:tcBorders>
            <w:vAlign w:val="center"/>
          </w:tcPr>
          <w:p w14:paraId="016A2A5E">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46.0 </w:t>
            </w:r>
          </w:p>
        </w:tc>
        <w:tc>
          <w:tcPr>
            <w:tcW w:w="482" w:type="dxa"/>
            <w:tcBorders>
              <w:tl2br w:val="nil"/>
              <w:tr2bl w:val="nil"/>
            </w:tcBorders>
            <w:vAlign w:val="center"/>
          </w:tcPr>
          <w:p w14:paraId="3FEFC40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1</w:t>
            </w:r>
          </w:p>
        </w:tc>
      </w:tr>
      <w:tr w14:paraId="77A42CE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311" w:type="dxa"/>
            <w:tcBorders>
              <w:tl2br w:val="nil"/>
              <w:tr2bl w:val="nil"/>
            </w:tcBorders>
            <w:vAlign w:val="center"/>
          </w:tcPr>
          <w:p w14:paraId="43C527F6">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w:t>
            </w:r>
          </w:p>
        </w:tc>
        <w:tc>
          <w:tcPr>
            <w:tcW w:w="793" w:type="dxa"/>
            <w:vMerge w:val="continue"/>
            <w:tcBorders>
              <w:tl2br w:val="nil"/>
              <w:tr2bl w:val="nil"/>
            </w:tcBorders>
            <w:vAlign w:val="center"/>
          </w:tcPr>
          <w:p w14:paraId="34BE400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p>
        </w:tc>
        <w:tc>
          <w:tcPr>
            <w:tcW w:w="1454" w:type="dxa"/>
            <w:tcBorders>
              <w:tl2br w:val="nil"/>
              <w:tr2bl w:val="nil"/>
            </w:tcBorders>
            <w:vAlign w:val="center"/>
          </w:tcPr>
          <w:p w14:paraId="254EDF92">
            <w:pPr>
              <w:widowControl/>
              <w:snapToGrid w:val="0"/>
              <w:contextualSpacing/>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1台</w:t>
            </w:r>
            <w:r>
              <w:rPr>
                <w:rFonts w:hint="default" w:ascii="Times New Roman" w:hAnsi="Times New Roman" w:eastAsia="宋体" w:cs="Times New Roman"/>
                <w:color w:val="auto"/>
                <w:kern w:val="0"/>
                <w:sz w:val="21"/>
                <w:szCs w:val="21"/>
                <w:highlight w:val="none"/>
                <w:lang w:val="en-US" w:eastAsia="zh-CN"/>
              </w:rPr>
              <w:t>一体式包装机</w:t>
            </w:r>
          </w:p>
        </w:tc>
        <w:tc>
          <w:tcPr>
            <w:tcW w:w="848" w:type="dxa"/>
            <w:tcBorders>
              <w:tl2br w:val="nil"/>
              <w:tr2bl w:val="nil"/>
            </w:tcBorders>
            <w:vAlign w:val="center"/>
          </w:tcPr>
          <w:p w14:paraId="5E34703B">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75</w:t>
            </w:r>
          </w:p>
        </w:tc>
        <w:tc>
          <w:tcPr>
            <w:tcW w:w="1611" w:type="dxa"/>
            <w:tcBorders>
              <w:tl2br w:val="nil"/>
              <w:tr2bl w:val="nil"/>
            </w:tcBorders>
            <w:vAlign w:val="center"/>
          </w:tcPr>
          <w:p w14:paraId="6DD3834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sz w:val="21"/>
                <w:szCs w:val="21"/>
              </w:rPr>
            </w:pPr>
            <w:r>
              <w:rPr>
                <w:rFonts w:hint="default" w:ascii="Times New Roman" w:hAnsi="Times New Roman" w:eastAsia="宋体" w:cs="Times New Roman"/>
                <w:color w:val="auto"/>
                <w:spacing w:val="-1"/>
                <w:sz w:val="21"/>
                <w:szCs w:val="21"/>
              </w:rPr>
              <w:t>振+建筑物隔声</w:t>
            </w:r>
          </w:p>
        </w:tc>
        <w:tc>
          <w:tcPr>
            <w:tcW w:w="461" w:type="dxa"/>
            <w:tcBorders>
              <w:tl2br w:val="nil"/>
              <w:tr2bl w:val="nil"/>
            </w:tcBorders>
            <w:vAlign w:val="center"/>
          </w:tcPr>
          <w:p w14:paraId="60422BFE">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76</w:t>
            </w:r>
          </w:p>
        </w:tc>
        <w:tc>
          <w:tcPr>
            <w:tcW w:w="462" w:type="dxa"/>
            <w:tcBorders>
              <w:tl2br w:val="nil"/>
              <w:tr2bl w:val="nil"/>
            </w:tcBorders>
            <w:vAlign w:val="center"/>
          </w:tcPr>
          <w:p w14:paraId="7D7F3E37">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60</w:t>
            </w:r>
          </w:p>
        </w:tc>
        <w:tc>
          <w:tcPr>
            <w:tcW w:w="462" w:type="dxa"/>
            <w:tcBorders>
              <w:tl2br w:val="nil"/>
              <w:tr2bl w:val="nil"/>
            </w:tcBorders>
            <w:vAlign w:val="center"/>
          </w:tcPr>
          <w:p w14:paraId="27233AC8">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w:t>
            </w:r>
          </w:p>
        </w:tc>
        <w:tc>
          <w:tcPr>
            <w:tcW w:w="462" w:type="dxa"/>
            <w:tcBorders>
              <w:tl2br w:val="nil"/>
              <w:tr2bl w:val="nil"/>
            </w:tcBorders>
            <w:vAlign w:val="center"/>
          </w:tcPr>
          <w:p w14:paraId="11D29282">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12</w:t>
            </w:r>
          </w:p>
        </w:tc>
        <w:tc>
          <w:tcPr>
            <w:tcW w:w="462" w:type="dxa"/>
            <w:tcBorders>
              <w:tl2br w:val="nil"/>
              <w:tr2bl w:val="nil"/>
            </w:tcBorders>
            <w:vAlign w:val="center"/>
          </w:tcPr>
          <w:p w14:paraId="66306475">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5</w:t>
            </w:r>
          </w:p>
        </w:tc>
        <w:tc>
          <w:tcPr>
            <w:tcW w:w="462" w:type="dxa"/>
            <w:tcBorders>
              <w:tl2br w:val="nil"/>
              <w:tr2bl w:val="nil"/>
            </w:tcBorders>
            <w:vAlign w:val="center"/>
          </w:tcPr>
          <w:p w14:paraId="34CED339">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4</w:t>
            </w:r>
          </w:p>
        </w:tc>
        <w:tc>
          <w:tcPr>
            <w:tcW w:w="462" w:type="dxa"/>
            <w:tcBorders>
              <w:tl2br w:val="nil"/>
              <w:tr2bl w:val="nil"/>
            </w:tcBorders>
            <w:vAlign w:val="center"/>
          </w:tcPr>
          <w:p w14:paraId="5C583BCE">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5</w:t>
            </w:r>
          </w:p>
        </w:tc>
        <w:tc>
          <w:tcPr>
            <w:tcW w:w="462" w:type="dxa"/>
            <w:tcBorders>
              <w:tl2br w:val="nil"/>
              <w:tr2bl w:val="nil"/>
            </w:tcBorders>
            <w:vAlign w:val="center"/>
          </w:tcPr>
          <w:p w14:paraId="786128F3">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53.4 </w:t>
            </w:r>
          </w:p>
        </w:tc>
        <w:tc>
          <w:tcPr>
            <w:tcW w:w="462" w:type="dxa"/>
            <w:tcBorders>
              <w:tl2br w:val="nil"/>
              <w:tr2bl w:val="nil"/>
            </w:tcBorders>
            <w:vAlign w:val="center"/>
          </w:tcPr>
          <w:p w14:paraId="3BC87EF8">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61.0 </w:t>
            </w:r>
          </w:p>
        </w:tc>
        <w:tc>
          <w:tcPr>
            <w:tcW w:w="462" w:type="dxa"/>
            <w:tcBorders>
              <w:tl2br w:val="nil"/>
              <w:tr2bl w:val="nil"/>
            </w:tcBorders>
            <w:vAlign w:val="center"/>
          </w:tcPr>
          <w:p w14:paraId="7C29CE80">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63.0 </w:t>
            </w:r>
          </w:p>
        </w:tc>
        <w:tc>
          <w:tcPr>
            <w:tcW w:w="462" w:type="dxa"/>
            <w:tcBorders>
              <w:tl2br w:val="nil"/>
              <w:tr2bl w:val="nil"/>
            </w:tcBorders>
            <w:vAlign w:val="center"/>
          </w:tcPr>
          <w:p w14:paraId="1A3DB1CB">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61.0 </w:t>
            </w:r>
          </w:p>
        </w:tc>
        <w:tc>
          <w:tcPr>
            <w:tcW w:w="462" w:type="dxa"/>
            <w:tcBorders>
              <w:tl2br w:val="nil"/>
              <w:tr2bl w:val="nil"/>
            </w:tcBorders>
            <w:vAlign w:val="center"/>
          </w:tcPr>
          <w:p w14:paraId="3CC4327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p>
        </w:tc>
        <w:tc>
          <w:tcPr>
            <w:tcW w:w="462" w:type="dxa"/>
            <w:tcBorders>
              <w:tl2br w:val="nil"/>
              <w:tr2bl w:val="nil"/>
            </w:tcBorders>
            <w:vAlign w:val="center"/>
          </w:tcPr>
          <w:p w14:paraId="2BC0DCF3">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7834A35B">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6DA86F56">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03CDCBD6">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526D6FC9">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33.4 </w:t>
            </w:r>
          </w:p>
        </w:tc>
        <w:tc>
          <w:tcPr>
            <w:tcW w:w="462" w:type="dxa"/>
            <w:tcBorders>
              <w:tl2br w:val="nil"/>
              <w:tr2bl w:val="nil"/>
            </w:tcBorders>
            <w:vAlign w:val="center"/>
          </w:tcPr>
          <w:p w14:paraId="2B5C4CCB">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41.0 </w:t>
            </w:r>
          </w:p>
        </w:tc>
        <w:tc>
          <w:tcPr>
            <w:tcW w:w="463" w:type="dxa"/>
            <w:tcBorders>
              <w:tl2br w:val="nil"/>
              <w:tr2bl w:val="nil"/>
            </w:tcBorders>
            <w:vAlign w:val="center"/>
          </w:tcPr>
          <w:p w14:paraId="60D88C5C">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43.0 </w:t>
            </w:r>
          </w:p>
        </w:tc>
        <w:tc>
          <w:tcPr>
            <w:tcW w:w="463" w:type="dxa"/>
            <w:tcBorders>
              <w:tl2br w:val="nil"/>
              <w:tr2bl w:val="nil"/>
            </w:tcBorders>
            <w:vAlign w:val="center"/>
          </w:tcPr>
          <w:p w14:paraId="55EC5CC9">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41.0 </w:t>
            </w:r>
          </w:p>
        </w:tc>
        <w:tc>
          <w:tcPr>
            <w:tcW w:w="482" w:type="dxa"/>
            <w:tcBorders>
              <w:tl2br w:val="nil"/>
              <w:tr2bl w:val="nil"/>
            </w:tcBorders>
            <w:vAlign w:val="center"/>
          </w:tcPr>
          <w:p w14:paraId="403A5B6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1</w:t>
            </w:r>
          </w:p>
        </w:tc>
      </w:tr>
      <w:tr w14:paraId="744CD0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311" w:type="dxa"/>
            <w:tcBorders>
              <w:tl2br w:val="nil"/>
              <w:tr2bl w:val="nil"/>
            </w:tcBorders>
            <w:vAlign w:val="center"/>
          </w:tcPr>
          <w:p w14:paraId="4B402963">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w:t>
            </w:r>
          </w:p>
        </w:tc>
        <w:tc>
          <w:tcPr>
            <w:tcW w:w="793" w:type="dxa"/>
            <w:vMerge w:val="continue"/>
            <w:tcBorders>
              <w:tl2br w:val="nil"/>
              <w:tr2bl w:val="nil"/>
            </w:tcBorders>
            <w:vAlign w:val="center"/>
          </w:tcPr>
          <w:p w14:paraId="3A922F8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z w:val="21"/>
                <w:szCs w:val="21"/>
              </w:rPr>
            </w:pPr>
          </w:p>
        </w:tc>
        <w:tc>
          <w:tcPr>
            <w:tcW w:w="1454" w:type="dxa"/>
            <w:tcBorders>
              <w:tl2br w:val="nil"/>
              <w:tr2bl w:val="nil"/>
            </w:tcBorders>
            <w:vAlign w:val="center"/>
          </w:tcPr>
          <w:p w14:paraId="0116C3B3">
            <w:pPr>
              <w:widowControl/>
              <w:snapToGrid w:val="0"/>
              <w:contextualSpacing/>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1台</w:t>
            </w:r>
            <w:r>
              <w:rPr>
                <w:rFonts w:hint="default" w:ascii="Times New Roman" w:hAnsi="Times New Roman" w:eastAsia="宋体" w:cs="Times New Roman"/>
                <w:color w:val="auto"/>
                <w:kern w:val="0"/>
                <w:sz w:val="21"/>
                <w:szCs w:val="21"/>
                <w:highlight w:val="none"/>
                <w:lang w:val="en-US" w:eastAsia="zh-CN"/>
              </w:rPr>
              <w:t>风机</w:t>
            </w:r>
          </w:p>
        </w:tc>
        <w:tc>
          <w:tcPr>
            <w:tcW w:w="848" w:type="dxa"/>
            <w:tcBorders>
              <w:tl2br w:val="nil"/>
              <w:tr2bl w:val="nil"/>
            </w:tcBorders>
            <w:vAlign w:val="center"/>
          </w:tcPr>
          <w:p w14:paraId="003857AE">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80</w:t>
            </w:r>
          </w:p>
        </w:tc>
        <w:tc>
          <w:tcPr>
            <w:tcW w:w="1611" w:type="dxa"/>
            <w:tcBorders>
              <w:tl2br w:val="nil"/>
              <w:tr2bl w:val="nil"/>
            </w:tcBorders>
            <w:vAlign w:val="center"/>
          </w:tcPr>
          <w:p w14:paraId="12C6739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宋体" w:cs="Times New Roman"/>
                <w:color w:val="auto"/>
                <w:spacing w:val="-1"/>
                <w:sz w:val="21"/>
                <w:szCs w:val="21"/>
              </w:rPr>
            </w:pPr>
            <w:r>
              <w:rPr>
                <w:rFonts w:hint="default" w:ascii="Times New Roman" w:hAnsi="Times New Roman" w:eastAsia="宋体" w:cs="Times New Roman"/>
                <w:color w:val="auto"/>
                <w:spacing w:val="-1"/>
                <w:sz w:val="21"/>
                <w:szCs w:val="21"/>
              </w:rPr>
              <w:t>振+建筑物隔声</w:t>
            </w:r>
          </w:p>
        </w:tc>
        <w:tc>
          <w:tcPr>
            <w:tcW w:w="461" w:type="dxa"/>
            <w:tcBorders>
              <w:tl2br w:val="nil"/>
              <w:tr2bl w:val="nil"/>
            </w:tcBorders>
            <w:vAlign w:val="center"/>
          </w:tcPr>
          <w:p w14:paraId="4417E0DA">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76</w:t>
            </w:r>
          </w:p>
        </w:tc>
        <w:tc>
          <w:tcPr>
            <w:tcW w:w="462" w:type="dxa"/>
            <w:tcBorders>
              <w:tl2br w:val="nil"/>
              <w:tr2bl w:val="nil"/>
            </w:tcBorders>
            <w:vAlign w:val="center"/>
          </w:tcPr>
          <w:p w14:paraId="6A655470">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60</w:t>
            </w:r>
          </w:p>
        </w:tc>
        <w:tc>
          <w:tcPr>
            <w:tcW w:w="462" w:type="dxa"/>
            <w:tcBorders>
              <w:tl2br w:val="nil"/>
              <w:tr2bl w:val="nil"/>
            </w:tcBorders>
            <w:vAlign w:val="center"/>
          </w:tcPr>
          <w:p w14:paraId="0B55FE30">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w:t>
            </w:r>
          </w:p>
        </w:tc>
        <w:tc>
          <w:tcPr>
            <w:tcW w:w="462" w:type="dxa"/>
            <w:tcBorders>
              <w:tl2br w:val="nil"/>
              <w:tr2bl w:val="nil"/>
            </w:tcBorders>
            <w:vAlign w:val="center"/>
          </w:tcPr>
          <w:p w14:paraId="783BAAC4">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14</w:t>
            </w:r>
          </w:p>
        </w:tc>
        <w:tc>
          <w:tcPr>
            <w:tcW w:w="462" w:type="dxa"/>
            <w:tcBorders>
              <w:tl2br w:val="nil"/>
              <w:tr2bl w:val="nil"/>
            </w:tcBorders>
            <w:vAlign w:val="center"/>
          </w:tcPr>
          <w:p w14:paraId="7E70193B">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5</w:t>
            </w:r>
          </w:p>
        </w:tc>
        <w:tc>
          <w:tcPr>
            <w:tcW w:w="462" w:type="dxa"/>
            <w:tcBorders>
              <w:tl2br w:val="nil"/>
              <w:tr2bl w:val="nil"/>
            </w:tcBorders>
            <w:vAlign w:val="center"/>
          </w:tcPr>
          <w:p w14:paraId="4B49D5D5">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w:t>
            </w:r>
          </w:p>
        </w:tc>
        <w:tc>
          <w:tcPr>
            <w:tcW w:w="462" w:type="dxa"/>
            <w:tcBorders>
              <w:tl2br w:val="nil"/>
              <w:tr2bl w:val="nil"/>
            </w:tcBorders>
            <w:vAlign w:val="center"/>
          </w:tcPr>
          <w:p w14:paraId="4550E213">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5</w:t>
            </w:r>
          </w:p>
        </w:tc>
        <w:tc>
          <w:tcPr>
            <w:tcW w:w="462" w:type="dxa"/>
            <w:tcBorders>
              <w:tl2br w:val="nil"/>
              <w:tr2bl w:val="nil"/>
            </w:tcBorders>
            <w:vAlign w:val="center"/>
          </w:tcPr>
          <w:p w14:paraId="39110D30">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57.1 </w:t>
            </w:r>
          </w:p>
        </w:tc>
        <w:tc>
          <w:tcPr>
            <w:tcW w:w="462" w:type="dxa"/>
            <w:tcBorders>
              <w:tl2br w:val="nil"/>
              <w:tr2bl w:val="nil"/>
            </w:tcBorders>
            <w:vAlign w:val="center"/>
          </w:tcPr>
          <w:p w14:paraId="0B52A0CE">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66.0 </w:t>
            </w:r>
          </w:p>
        </w:tc>
        <w:tc>
          <w:tcPr>
            <w:tcW w:w="462" w:type="dxa"/>
            <w:tcBorders>
              <w:tl2br w:val="nil"/>
              <w:tr2bl w:val="nil"/>
            </w:tcBorders>
            <w:vAlign w:val="center"/>
          </w:tcPr>
          <w:p w14:paraId="0C1225AC">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74.0 </w:t>
            </w:r>
          </w:p>
        </w:tc>
        <w:tc>
          <w:tcPr>
            <w:tcW w:w="462" w:type="dxa"/>
            <w:tcBorders>
              <w:tl2br w:val="nil"/>
              <w:tr2bl w:val="nil"/>
            </w:tcBorders>
            <w:vAlign w:val="center"/>
          </w:tcPr>
          <w:p w14:paraId="1F041474">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66.0 </w:t>
            </w:r>
          </w:p>
        </w:tc>
        <w:tc>
          <w:tcPr>
            <w:tcW w:w="462" w:type="dxa"/>
            <w:tcBorders>
              <w:tl2br w:val="nil"/>
              <w:tr2bl w:val="nil"/>
            </w:tcBorders>
            <w:vAlign w:val="center"/>
          </w:tcPr>
          <w:p w14:paraId="07E5F57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p>
        </w:tc>
        <w:tc>
          <w:tcPr>
            <w:tcW w:w="462" w:type="dxa"/>
            <w:tcBorders>
              <w:tl2br w:val="nil"/>
              <w:tr2bl w:val="nil"/>
            </w:tcBorders>
            <w:vAlign w:val="center"/>
          </w:tcPr>
          <w:p w14:paraId="2B3DA80E">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6839B514">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094D7341">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56731539">
            <w:pPr>
              <w:pStyle w:val="42"/>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20</w:t>
            </w:r>
          </w:p>
        </w:tc>
        <w:tc>
          <w:tcPr>
            <w:tcW w:w="462" w:type="dxa"/>
            <w:tcBorders>
              <w:tl2br w:val="nil"/>
              <w:tr2bl w:val="nil"/>
            </w:tcBorders>
            <w:vAlign w:val="center"/>
          </w:tcPr>
          <w:p w14:paraId="13CD097C">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37.1 </w:t>
            </w:r>
          </w:p>
        </w:tc>
        <w:tc>
          <w:tcPr>
            <w:tcW w:w="462" w:type="dxa"/>
            <w:tcBorders>
              <w:tl2br w:val="nil"/>
              <w:tr2bl w:val="nil"/>
            </w:tcBorders>
            <w:vAlign w:val="center"/>
          </w:tcPr>
          <w:p w14:paraId="6C63CC63">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46.0 </w:t>
            </w:r>
          </w:p>
        </w:tc>
        <w:tc>
          <w:tcPr>
            <w:tcW w:w="463" w:type="dxa"/>
            <w:tcBorders>
              <w:tl2br w:val="nil"/>
              <w:tr2bl w:val="nil"/>
            </w:tcBorders>
            <w:vAlign w:val="center"/>
          </w:tcPr>
          <w:p w14:paraId="0879F87B">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54.0 </w:t>
            </w:r>
          </w:p>
        </w:tc>
        <w:tc>
          <w:tcPr>
            <w:tcW w:w="463" w:type="dxa"/>
            <w:tcBorders>
              <w:tl2br w:val="nil"/>
              <w:tr2bl w:val="nil"/>
            </w:tcBorders>
            <w:vAlign w:val="center"/>
          </w:tcPr>
          <w:p w14:paraId="50BA52DB">
            <w:pPr>
              <w:keepNext w:val="0"/>
              <w:keepLines w:val="0"/>
              <w:widowControl/>
              <w:suppressLineNumbers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46.0 </w:t>
            </w:r>
          </w:p>
        </w:tc>
        <w:tc>
          <w:tcPr>
            <w:tcW w:w="482" w:type="dxa"/>
            <w:tcBorders>
              <w:tl2br w:val="nil"/>
              <w:tr2bl w:val="nil"/>
            </w:tcBorders>
            <w:vAlign w:val="center"/>
          </w:tcPr>
          <w:p w14:paraId="6F91FDE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color w:val="auto"/>
                <w:spacing w:val="-2"/>
                <w:sz w:val="21"/>
                <w:szCs w:val="21"/>
                <w:lang w:val="en-US" w:eastAsia="zh-CN"/>
              </w:rPr>
              <w:t>1</w:t>
            </w:r>
          </w:p>
        </w:tc>
      </w:tr>
    </w:tbl>
    <w:p w14:paraId="5D7EE117">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宋体" w:cs="Times New Roman"/>
          <w:b/>
          <w:bCs/>
          <w:color w:val="auto"/>
          <w:sz w:val="24"/>
          <w:szCs w:val="20"/>
          <w:highlight w:val="none"/>
          <w:vertAlign w:val="baseline"/>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tbl>
      <w:tblPr>
        <w:tblStyle w:val="22"/>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34"/>
        <w:gridCol w:w="8637"/>
      </w:tblGrid>
      <w:tr w14:paraId="115F74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72" w:hRule="atLeast"/>
          <w:jc w:val="center"/>
        </w:trPr>
        <w:tc>
          <w:tcPr>
            <w:tcW w:w="434" w:type="dxa"/>
            <w:noWrap w:val="0"/>
            <w:tcMar>
              <w:left w:w="28" w:type="dxa"/>
              <w:right w:w="28" w:type="dxa"/>
            </w:tcMar>
            <w:vAlign w:val="center"/>
          </w:tcPr>
          <w:p w14:paraId="35A39042">
            <w:pPr>
              <w:pStyle w:val="27"/>
              <w:rPr>
                <w:rFonts w:hint="default" w:ascii="Times New Roman" w:hAnsi="Times New Roman" w:eastAsia="宋体" w:cs="Times New Roman"/>
                <w:color w:val="auto"/>
                <w:lang w:val="en-US" w:eastAsia="zh-CN"/>
              </w:rPr>
            </w:pPr>
          </w:p>
        </w:tc>
        <w:tc>
          <w:tcPr>
            <w:tcW w:w="8637" w:type="dxa"/>
            <w:noWrap w:val="0"/>
            <w:vAlign w:val="center"/>
          </w:tcPr>
          <w:p w14:paraId="0984053C">
            <w:pPr>
              <w:keepNext w:val="0"/>
              <w:keepLines w:val="0"/>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b w:val="0"/>
                <w:bCs w:val="0"/>
                <w:color w:val="auto"/>
                <w:kern w:val="2"/>
                <w:sz w:val="24"/>
                <w:szCs w:val="20"/>
                <w:highlight w:val="none"/>
                <w:lang w:val="en-US" w:eastAsia="zh-CN"/>
              </w:rPr>
            </w:pPr>
            <w:r>
              <w:rPr>
                <w:rFonts w:hint="default" w:ascii="Times New Roman" w:hAnsi="Times New Roman" w:eastAsia="宋体" w:cs="Times New Roman"/>
                <w:b w:val="0"/>
                <w:bCs w:val="0"/>
                <w:color w:val="auto"/>
                <w:kern w:val="2"/>
                <w:sz w:val="24"/>
                <w:szCs w:val="20"/>
                <w:highlight w:val="none"/>
                <w:lang w:val="en-US" w:eastAsia="zh-CN"/>
              </w:rPr>
              <w:t>（2）达标分析</w:t>
            </w:r>
          </w:p>
          <w:p w14:paraId="4A21AFFE">
            <w:pPr>
              <w:widowControl w:val="0"/>
              <w:overflowPunct w:val="0"/>
              <w:autoSpaceDE w:val="0"/>
              <w:autoSpaceDN w:val="0"/>
              <w:adjustRightInd w:val="0"/>
              <w:snapToGrid w:val="0"/>
              <w:spacing w:before="0" w:after="0" w:line="500" w:lineRule="exact"/>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采用《环境影响评价技术导则 声环境》（HJ2.4-2021）中推荐模式形式进行分析：</w:t>
            </w:r>
          </w:p>
          <w:p w14:paraId="0FEAEB12">
            <w:pPr>
              <w:widowControl w:val="0"/>
              <w:overflowPunct w:val="0"/>
              <w:autoSpaceDE w:val="0"/>
              <w:autoSpaceDN w:val="0"/>
              <w:adjustRightInd w:val="0"/>
              <w:snapToGrid w:val="0"/>
              <w:spacing w:before="0" w:after="0" w:line="500" w:lineRule="exact"/>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①室外声源</w:t>
            </w:r>
          </w:p>
          <w:p w14:paraId="2D59ADDD">
            <w:pPr>
              <w:widowControl w:val="0"/>
              <w:overflowPunct w:val="0"/>
              <w:autoSpaceDE w:val="0"/>
              <w:autoSpaceDN w:val="0"/>
              <w:adjustRightInd w:val="0"/>
              <w:snapToGrid w:val="0"/>
              <w:spacing w:before="0" w:after="0" w:line="500" w:lineRule="exact"/>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设室外声源为I个，预测点为j个，采用倍频带声压级法：</w:t>
            </w:r>
          </w:p>
          <w:p w14:paraId="0D547167">
            <w:pPr>
              <w:widowControl w:val="0"/>
              <w:overflowPunct w:val="0"/>
              <w:autoSpaceDE w:val="0"/>
              <w:autoSpaceDN w:val="0"/>
              <w:adjustRightInd w:val="0"/>
              <w:snapToGrid w:val="0"/>
              <w:spacing w:before="0" w:after="0" w:line="500" w:lineRule="exact"/>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1）计算第I个噪声源在第j个预测点的倍频带声压级L</w:t>
            </w:r>
            <w:r>
              <w:rPr>
                <w:rFonts w:hint="default" w:ascii="Times New Roman" w:hAnsi="Times New Roman" w:eastAsia="宋体" w:cs="Times New Roman"/>
                <w:color w:val="auto"/>
                <w:kern w:val="2"/>
                <w:sz w:val="24"/>
                <w:szCs w:val="24"/>
                <w:highlight w:val="none"/>
                <w:vertAlign w:val="subscript"/>
                <w:lang w:val="en-US" w:eastAsia="zh-CN" w:bidi="ar-SA"/>
              </w:rPr>
              <w:t>octij</w:t>
            </w:r>
            <w:r>
              <w:rPr>
                <w:rFonts w:hint="default" w:ascii="Times New Roman" w:hAnsi="Times New Roman" w:eastAsia="宋体" w:cs="Times New Roman"/>
                <w:color w:val="auto"/>
                <w:kern w:val="2"/>
                <w:sz w:val="24"/>
                <w:szCs w:val="24"/>
                <w:highlight w:val="none"/>
                <w:lang w:val="en-US" w:eastAsia="zh-CN" w:bidi="ar-SA"/>
              </w:rPr>
              <w:t>（r0）</w:t>
            </w:r>
          </w:p>
          <w:p w14:paraId="4162E073">
            <w:pPr>
              <w:overflowPunct/>
              <w:autoSpaceDE/>
              <w:autoSpaceDN/>
              <w:adjustRightInd/>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L</w:t>
            </w:r>
            <w:r>
              <w:rPr>
                <w:rFonts w:hint="default" w:ascii="Times New Roman" w:hAnsi="Times New Roman" w:eastAsia="宋体" w:cs="Times New Roman"/>
                <w:color w:val="auto"/>
                <w:kern w:val="2"/>
                <w:sz w:val="24"/>
                <w:szCs w:val="24"/>
                <w:highlight w:val="none"/>
                <w:vertAlign w:val="subscript"/>
              </w:rPr>
              <w:t>octij</w:t>
            </w:r>
            <w:r>
              <w:rPr>
                <w:rFonts w:hint="default" w:ascii="Times New Roman" w:hAnsi="Times New Roman" w:eastAsia="宋体" w:cs="Times New Roman"/>
                <w:color w:val="auto"/>
                <w:kern w:val="2"/>
                <w:sz w:val="24"/>
                <w:szCs w:val="24"/>
                <w:highlight w:val="none"/>
              </w:rPr>
              <w:t>=L</w:t>
            </w:r>
            <w:r>
              <w:rPr>
                <w:rFonts w:hint="default" w:ascii="Times New Roman" w:hAnsi="Times New Roman" w:eastAsia="宋体" w:cs="Times New Roman"/>
                <w:color w:val="auto"/>
                <w:kern w:val="2"/>
                <w:sz w:val="24"/>
                <w:szCs w:val="24"/>
                <w:highlight w:val="none"/>
                <w:vertAlign w:val="subscript"/>
              </w:rPr>
              <w:t>octi</w:t>
            </w:r>
            <w:r>
              <w:rPr>
                <w:rFonts w:hint="default" w:ascii="Times New Roman" w:hAnsi="Times New Roman" w:eastAsia="宋体" w:cs="Times New Roman"/>
                <w:color w:val="auto"/>
                <w:kern w:val="2"/>
                <w:sz w:val="24"/>
                <w:szCs w:val="24"/>
                <w:highlight w:val="none"/>
              </w:rPr>
              <w:t>（r0）-（A</w:t>
            </w:r>
            <w:r>
              <w:rPr>
                <w:rFonts w:hint="default" w:ascii="Times New Roman" w:hAnsi="Times New Roman" w:eastAsia="宋体" w:cs="Times New Roman"/>
                <w:color w:val="auto"/>
                <w:kern w:val="2"/>
                <w:sz w:val="24"/>
                <w:szCs w:val="24"/>
                <w:highlight w:val="none"/>
                <w:vertAlign w:val="subscript"/>
              </w:rPr>
              <w:t>octdir</w:t>
            </w:r>
            <w:r>
              <w:rPr>
                <w:rFonts w:hint="default" w:ascii="Times New Roman" w:hAnsi="Times New Roman" w:eastAsia="宋体" w:cs="Times New Roman"/>
                <w:color w:val="auto"/>
                <w:kern w:val="2"/>
                <w:sz w:val="24"/>
                <w:szCs w:val="24"/>
                <w:highlight w:val="none"/>
              </w:rPr>
              <w:t>+A</w:t>
            </w:r>
            <w:r>
              <w:rPr>
                <w:rFonts w:hint="default" w:ascii="Times New Roman" w:hAnsi="Times New Roman" w:eastAsia="宋体" w:cs="Times New Roman"/>
                <w:color w:val="auto"/>
                <w:kern w:val="2"/>
                <w:sz w:val="24"/>
                <w:szCs w:val="24"/>
                <w:highlight w:val="none"/>
                <w:vertAlign w:val="subscript"/>
              </w:rPr>
              <w:t>octbar</w:t>
            </w:r>
            <w:r>
              <w:rPr>
                <w:rFonts w:hint="default" w:ascii="Times New Roman" w:hAnsi="Times New Roman" w:eastAsia="宋体" w:cs="Times New Roman"/>
                <w:color w:val="auto"/>
                <w:kern w:val="2"/>
                <w:sz w:val="24"/>
                <w:szCs w:val="24"/>
                <w:highlight w:val="none"/>
              </w:rPr>
              <w:t>+A</w:t>
            </w:r>
            <w:r>
              <w:rPr>
                <w:rFonts w:hint="default" w:ascii="Times New Roman" w:hAnsi="Times New Roman" w:eastAsia="宋体" w:cs="Times New Roman"/>
                <w:color w:val="auto"/>
                <w:kern w:val="2"/>
                <w:sz w:val="24"/>
                <w:szCs w:val="24"/>
                <w:highlight w:val="none"/>
                <w:vertAlign w:val="subscript"/>
              </w:rPr>
              <w:t>octatm</w:t>
            </w:r>
            <w:r>
              <w:rPr>
                <w:rFonts w:hint="default" w:ascii="Times New Roman" w:hAnsi="Times New Roman" w:eastAsia="宋体" w:cs="Times New Roman"/>
                <w:color w:val="auto"/>
                <w:kern w:val="2"/>
                <w:sz w:val="24"/>
                <w:szCs w:val="24"/>
                <w:highlight w:val="none"/>
              </w:rPr>
              <w:t>+A</w:t>
            </w:r>
            <w:r>
              <w:rPr>
                <w:rFonts w:hint="default" w:ascii="Times New Roman" w:hAnsi="Times New Roman" w:eastAsia="宋体" w:cs="Times New Roman"/>
                <w:color w:val="auto"/>
                <w:kern w:val="2"/>
                <w:sz w:val="24"/>
                <w:szCs w:val="24"/>
                <w:highlight w:val="none"/>
                <w:vertAlign w:val="subscript"/>
              </w:rPr>
              <w:t>octexc</w:t>
            </w:r>
            <w:r>
              <w:rPr>
                <w:rFonts w:hint="default" w:ascii="Times New Roman" w:hAnsi="Times New Roman" w:eastAsia="宋体" w:cs="Times New Roman"/>
                <w:color w:val="auto"/>
                <w:kern w:val="2"/>
                <w:sz w:val="24"/>
                <w:szCs w:val="24"/>
                <w:highlight w:val="none"/>
              </w:rPr>
              <w:t>）</w:t>
            </w:r>
          </w:p>
          <w:p w14:paraId="3DAA2614">
            <w:pPr>
              <w:overflowPunct/>
              <w:autoSpaceDE/>
              <w:autoSpaceDN/>
              <w:adjustRightInd/>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式中：</w:t>
            </w:r>
          </w:p>
          <w:p w14:paraId="6B36F427">
            <w:pPr>
              <w:overflowPunct/>
              <w:autoSpaceDE/>
              <w:autoSpaceDN/>
              <w:adjustRightInd/>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L</w:t>
            </w:r>
            <w:r>
              <w:rPr>
                <w:rFonts w:hint="default" w:ascii="Times New Roman" w:hAnsi="Times New Roman" w:eastAsia="宋体" w:cs="Times New Roman"/>
                <w:color w:val="auto"/>
                <w:kern w:val="2"/>
                <w:sz w:val="24"/>
                <w:szCs w:val="24"/>
                <w:highlight w:val="none"/>
                <w:vertAlign w:val="subscript"/>
              </w:rPr>
              <w:t>octij</w:t>
            </w:r>
            <w:r>
              <w:rPr>
                <w:rFonts w:hint="default" w:ascii="Times New Roman" w:hAnsi="Times New Roman" w:eastAsia="宋体" w:cs="Times New Roman"/>
                <w:color w:val="auto"/>
                <w:kern w:val="2"/>
                <w:sz w:val="24"/>
                <w:szCs w:val="24"/>
                <w:highlight w:val="none"/>
              </w:rPr>
              <w:t>（r0）</w:t>
            </w:r>
            <w:r>
              <w:rPr>
                <w:rFonts w:hint="default" w:ascii="Times New Roman" w:hAnsi="Times New Roman" w:eastAsia="宋体" w:cs="Times New Roman"/>
                <w:color w:val="auto"/>
                <w:kern w:val="2"/>
                <w:sz w:val="24"/>
                <w:szCs w:val="24"/>
                <w:highlight w:val="none"/>
              </w:rPr>
              <w:softHyphen/>
            </w:r>
            <w:r>
              <w:rPr>
                <w:rFonts w:hint="default" w:ascii="Times New Roman" w:hAnsi="Times New Roman" w:eastAsia="宋体" w:cs="Times New Roman"/>
                <w:color w:val="auto"/>
                <w:kern w:val="2"/>
                <w:sz w:val="24"/>
                <w:szCs w:val="24"/>
                <w:highlight w:val="none"/>
              </w:rPr>
              <w:t>—第I个噪声源在参考位置r0处的倍频带声压级,dB；</w:t>
            </w:r>
          </w:p>
          <w:p w14:paraId="00C4035F">
            <w:pPr>
              <w:overflowPunct/>
              <w:autoSpaceDE/>
              <w:autoSpaceDN/>
              <w:adjustRightInd/>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A</w:t>
            </w:r>
            <w:r>
              <w:rPr>
                <w:rFonts w:hint="default" w:ascii="Times New Roman" w:hAnsi="Times New Roman" w:eastAsia="宋体" w:cs="Times New Roman"/>
                <w:color w:val="auto"/>
                <w:kern w:val="2"/>
                <w:sz w:val="24"/>
                <w:szCs w:val="24"/>
                <w:highlight w:val="none"/>
                <w:vertAlign w:val="subscript"/>
              </w:rPr>
              <w:t>octdir</w:t>
            </w:r>
            <w:r>
              <w:rPr>
                <w:rFonts w:hint="default" w:ascii="Times New Roman" w:hAnsi="Times New Roman" w:eastAsia="宋体" w:cs="Times New Roman"/>
                <w:color w:val="auto"/>
                <w:kern w:val="2"/>
                <w:sz w:val="24"/>
                <w:szCs w:val="24"/>
                <w:highlight w:val="none"/>
              </w:rPr>
              <w:t>—发散衰减量,dB；</w:t>
            </w:r>
          </w:p>
          <w:p w14:paraId="72AB9671">
            <w:pPr>
              <w:overflowPunct/>
              <w:autoSpaceDE/>
              <w:autoSpaceDN/>
              <w:adjustRightInd/>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A</w:t>
            </w:r>
            <w:r>
              <w:rPr>
                <w:rFonts w:hint="default" w:ascii="Times New Roman" w:hAnsi="Times New Roman" w:eastAsia="宋体" w:cs="Times New Roman"/>
                <w:color w:val="auto"/>
                <w:kern w:val="2"/>
                <w:sz w:val="24"/>
                <w:szCs w:val="24"/>
                <w:highlight w:val="none"/>
                <w:vertAlign w:val="subscript"/>
              </w:rPr>
              <w:t>octbar</w:t>
            </w:r>
            <w:r>
              <w:rPr>
                <w:rFonts w:hint="default" w:ascii="Times New Roman" w:hAnsi="Times New Roman" w:eastAsia="宋体" w:cs="Times New Roman"/>
                <w:color w:val="auto"/>
                <w:kern w:val="2"/>
                <w:sz w:val="24"/>
                <w:szCs w:val="24"/>
                <w:highlight w:val="none"/>
              </w:rPr>
              <w:t>—屏障衰减量,dB；</w:t>
            </w:r>
          </w:p>
          <w:p w14:paraId="0E4B19EB">
            <w:pPr>
              <w:overflowPunct/>
              <w:autoSpaceDE/>
              <w:autoSpaceDN/>
              <w:adjustRightInd/>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A</w:t>
            </w:r>
            <w:r>
              <w:rPr>
                <w:rFonts w:hint="default" w:ascii="Times New Roman" w:hAnsi="Times New Roman" w:eastAsia="宋体" w:cs="Times New Roman"/>
                <w:color w:val="auto"/>
                <w:kern w:val="2"/>
                <w:sz w:val="24"/>
                <w:szCs w:val="24"/>
                <w:highlight w:val="none"/>
                <w:vertAlign w:val="subscript"/>
              </w:rPr>
              <w:t>octatm</w:t>
            </w:r>
            <w:r>
              <w:rPr>
                <w:rFonts w:hint="default" w:ascii="Times New Roman" w:hAnsi="Times New Roman" w:eastAsia="宋体" w:cs="Times New Roman"/>
                <w:color w:val="auto"/>
                <w:kern w:val="2"/>
                <w:sz w:val="24"/>
                <w:szCs w:val="24"/>
                <w:highlight w:val="none"/>
              </w:rPr>
              <w:t>—空气吸收衰减量,dB；</w:t>
            </w:r>
          </w:p>
          <w:p w14:paraId="3BDD3036">
            <w:pPr>
              <w:overflowPunct/>
              <w:autoSpaceDE/>
              <w:autoSpaceDN/>
              <w:adjustRightInd/>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A</w:t>
            </w:r>
            <w:r>
              <w:rPr>
                <w:rFonts w:hint="default" w:ascii="Times New Roman" w:hAnsi="Times New Roman" w:eastAsia="宋体" w:cs="Times New Roman"/>
                <w:color w:val="auto"/>
                <w:kern w:val="2"/>
                <w:sz w:val="24"/>
                <w:szCs w:val="24"/>
                <w:highlight w:val="none"/>
                <w:vertAlign w:val="subscript"/>
              </w:rPr>
              <w:t>octexc</w:t>
            </w:r>
            <w:r>
              <w:rPr>
                <w:rFonts w:hint="default" w:ascii="Times New Roman" w:hAnsi="Times New Roman" w:eastAsia="宋体" w:cs="Times New Roman"/>
                <w:color w:val="auto"/>
                <w:kern w:val="2"/>
                <w:sz w:val="24"/>
                <w:szCs w:val="24"/>
                <w:highlight w:val="none"/>
              </w:rPr>
              <w:t>—附加衰减量,dB；</w:t>
            </w:r>
          </w:p>
          <w:p w14:paraId="33C1F078">
            <w:pPr>
              <w:overflowPunct/>
              <w:autoSpaceDE/>
              <w:autoSpaceDN/>
              <w:adjustRightInd/>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假设已知噪声源的倍频带声功率级为L</w:t>
            </w:r>
            <w:r>
              <w:rPr>
                <w:rFonts w:hint="default" w:ascii="Times New Roman" w:hAnsi="Times New Roman" w:eastAsia="宋体" w:cs="Times New Roman"/>
                <w:color w:val="auto"/>
                <w:kern w:val="2"/>
                <w:sz w:val="24"/>
                <w:szCs w:val="24"/>
                <w:highlight w:val="none"/>
                <w:vertAlign w:val="subscript"/>
              </w:rPr>
              <w:t>wiact</w:t>
            </w:r>
            <w:r>
              <w:rPr>
                <w:rFonts w:hint="default" w:ascii="Times New Roman" w:hAnsi="Times New Roman" w:eastAsia="宋体" w:cs="Times New Roman"/>
                <w:color w:val="auto"/>
                <w:kern w:val="2"/>
                <w:sz w:val="24"/>
                <w:szCs w:val="24"/>
                <w:highlight w:val="none"/>
              </w:rPr>
              <w:t>，并假设声源位于地面上（半自由场），则：</w:t>
            </w:r>
          </w:p>
          <w:p w14:paraId="356EAFFE">
            <w:pPr>
              <w:overflowPunct/>
              <w:autoSpaceDE/>
              <w:autoSpaceDN/>
              <w:adjustRightInd/>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L</w:t>
            </w:r>
            <w:r>
              <w:rPr>
                <w:rFonts w:hint="default" w:ascii="Times New Roman" w:hAnsi="Times New Roman" w:eastAsia="宋体" w:cs="Times New Roman"/>
                <w:color w:val="auto"/>
                <w:kern w:val="2"/>
                <w:sz w:val="24"/>
                <w:szCs w:val="24"/>
                <w:highlight w:val="none"/>
                <w:vertAlign w:val="subscript"/>
              </w:rPr>
              <w:t>octi</w:t>
            </w:r>
            <w:r>
              <w:rPr>
                <w:rFonts w:hint="default" w:ascii="Times New Roman" w:hAnsi="Times New Roman" w:eastAsia="宋体" w:cs="Times New Roman"/>
                <w:color w:val="auto"/>
                <w:kern w:val="2"/>
                <w:sz w:val="24"/>
                <w:szCs w:val="24"/>
                <w:highlight w:val="none"/>
              </w:rPr>
              <w:t>（r0）=L</w:t>
            </w:r>
            <w:r>
              <w:rPr>
                <w:rFonts w:hint="default" w:ascii="Times New Roman" w:hAnsi="Times New Roman" w:eastAsia="宋体" w:cs="Times New Roman"/>
                <w:color w:val="auto"/>
                <w:kern w:val="2"/>
                <w:sz w:val="24"/>
                <w:szCs w:val="24"/>
                <w:highlight w:val="none"/>
                <w:vertAlign w:val="subscript"/>
              </w:rPr>
              <w:t>wiact</w:t>
            </w:r>
            <w:r>
              <w:rPr>
                <w:rFonts w:hint="default" w:ascii="Times New Roman" w:hAnsi="Times New Roman" w:eastAsia="宋体" w:cs="Times New Roman"/>
                <w:color w:val="auto"/>
                <w:kern w:val="2"/>
                <w:sz w:val="24"/>
                <w:szCs w:val="24"/>
                <w:highlight w:val="none"/>
              </w:rPr>
              <w:t>-20lgr0-8</w:t>
            </w:r>
          </w:p>
          <w:p w14:paraId="49A9B28D">
            <w:pPr>
              <w:overflowPunct/>
              <w:autoSpaceDE/>
              <w:autoSpaceDN/>
              <w:adjustRightInd/>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2）由上式计算的倍频带声压级合成为A声级</w:t>
            </w:r>
          </w:p>
          <w:p w14:paraId="1F5D1B43">
            <w:pPr>
              <w:overflowPunct/>
              <w:autoSpaceDE/>
              <w:autoSpaceDN/>
              <w:adjustRightInd/>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L</w:t>
            </w:r>
            <w:r>
              <w:rPr>
                <w:rFonts w:hint="default" w:ascii="Times New Roman" w:hAnsi="Times New Roman" w:eastAsia="宋体" w:cs="Times New Roman"/>
                <w:color w:val="auto"/>
                <w:kern w:val="2"/>
                <w:sz w:val="24"/>
                <w:szCs w:val="24"/>
                <w:highlight w:val="none"/>
                <w:vertAlign w:val="subscript"/>
              </w:rPr>
              <w:t>aij</w:t>
            </w:r>
            <w:r>
              <w:rPr>
                <w:rFonts w:hint="default" w:ascii="Times New Roman" w:hAnsi="Times New Roman" w:eastAsia="宋体" w:cs="Times New Roman"/>
                <w:color w:val="auto"/>
                <w:kern w:val="2"/>
                <w:sz w:val="24"/>
                <w:szCs w:val="24"/>
                <w:highlight w:val="none"/>
              </w:rPr>
              <w:t>=L</w:t>
            </w:r>
            <w:r>
              <w:rPr>
                <w:rFonts w:hint="default" w:ascii="Times New Roman" w:hAnsi="Times New Roman" w:eastAsia="宋体" w:cs="Times New Roman"/>
                <w:color w:val="auto"/>
                <w:kern w:val="2"/>
                <w:sz w:val="24"/>
                <w:szCs w:val="24"/>
                <w:highlight w:val="none"/>
                <w:vertAlign w:val="subscript"/>
              </w:rPr>
              <w:t>wai</w:t>
            </w:r>
            <w:r>
              <w:rPr>
                <w:rFonts w:hint="default" w:ascii="Times New Roman" w:hAnsi="Times New Roman" w:eastAsia="宋体" w:cs="Times New Roman"/>
                <w:color w:val="auto"/>
                <w:kern w:val="2"/>
                <w:sz w:val="24"/>
                <w:szCs w:val="24"/>
                <w:highlight w:val="none"/>
              </w:rPr>
              <w:t>-20lgr0-8</w:t>
            </w:r>
          </w:p>
          <w:p w14:paraId="0EF852AD">
            <w:pPr>
              <w:overflowPunct/>
              <w:autoSpaceDE/>
              <w:autoSpaceDN/>
              <w:adjustRightInd/>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lang w:val="en-US" w:eastAsia="zh-CN"/>
              </w:rPr>
              <w:t>②</w:t>
            </w:r>
            <w:r>
              <w:rPr>
                <w:rFonts w:hint="default" w:ascii="Times New Roman" w:hAnsi="Times New Roman" w:eastAsia="宋体" w:cs="Times New Roman"/>
                <w:color w:val="auto"/>
                <w:kern w:val="2"/>
                <w:sz w:val="24"/>
                <w:szCs w:val="24"/>
                <w:highlight w:val="none"/>
              </w:rPr>
              <w:t>室内声源</w:t>
            </w:r>
          </w:p>
          <w:p w14:paraId="417B7062">
            <w:pPr>
              <w:overflowPunct/>
              <w:autoSpaceDE/>
              <w:autoSpaceDN/>
              <w:adjustRightInd/>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假如某厂房内有K个噪声源，对预测点的影响相当于若干个等效室外声源，其计算如下：</w:t>
            </w:r>
          </w:p>
          <w:p w14:paraId="42226F94">
            <w:pPr>
              <w:overflowPunct/>
              <w:autoSpaceDE/>
              <w:autoSpaceDN/>
              <w:adjustRightInd/>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1）计算厂房内第I个声源在室内靠近围护结构处的声级L</w:t>
            </w:r>
            <w:r>
              <w:rPr>
                <w:rFonts w:hint="default" w:ascii="Times New Roman" w:hAnsi="Times New Roman" w:eastAsia="宋体" w:cs="Times New Roman"/>
                <w:color w:val="auto"/>
                <w:kern w:val="2"/>
                <w:sz w:val="24"/>
                <w:szCs w:val="24"/>
                <w:highlight w:val="none"/>
                <w:vertAlign w:val="subscript"/>
              </w:rPr>
              <w:t>pil</w:t>
            </w:r>
            <w:r>
              <w:rPr>
                <w:rFonts w:hint="default" w:ascii="Times New Roman" w:hAnsi="Times New Roman" w:eastAsia="宋体" w:cs="Times New Roman"/>
                <w:color w:val="auto"/>
                <w:kern w:val="2"/>
                <w:sz w:val="24"/>
                <w:szCs w:val="24"/>
                <w:highlight w:val="none"/>
              </w:rPr>
              <w:t>：</w:t>
            </w:r>
          </w:p>
          <w:p w14:paraId="1612BBAD">
            <w:pPr>
              <w:overflowPunct/>
              <w:autoSpaceDE/>
              <w:autoSpaceDN/>
              <w:adjustRightInd/>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L</w:t>
            </w:r>
            <w:r>
              <w:rPr>
                <w:rFonts w:hint="default" w:ascii="Times New Roman" w:hAnsi="Times New Roman" w:eastAsia="宋体" w:cs="Times New Roman"/>
                <w:color w:val="auto"/>
                <w:kern w:val="2"/>
                <w:sz w:val="24"/>
                <w:szCs w:val="24"/>
                <w:highlight w:val="none"/>
                <w:vertAlign w:val="subscript"/>
              </w:rPr>
              <w:t>pil</w:t>
            </w:r>
            <w:r>
              <w:rPr>
                <w:rFonts w:hint="default" w:ascii="Times New Roman" w:hAnsi="Times New Roman" w:eastAsia="宋体" w:cs="Times New Roman"/>
                <w:color w:val="auto"/>
                <w:kern w:val="2"/>
                <w:sz w:val="24"/>
                <w:szCs w:val="24"/>
                <w:highlight w:val="none"/>
              </w:rPr>
              <w:t>=L</w:t>
            </w:r>
            <w:r>
              <w:rPr>
                <w:rFonts w:hint="default" w:ascii="Times New Roman" w:hAnsi="Times New Roman" w:eastAsia="宋体" w:cs="Times New Roman"/>
                <w:color w:val="auto"/>
                <w:kern w:val="2"/>
                <w:sz w:val="24"/>
                <w:szCs w:val="24"/>
                <w:highlight w:val="none"/>
                <w:vertAlign w:val="subscript"/>
              </w:rPr>
              <w:t>wi</w:t>
            </w:r>
            <w:r>
              <w:rPr>
                <w:rFonts w:hint="default" w:ascii="Times New Roman" w:hAnsi="Times New Roman" w:eastAsia="宋体" w:cs="Times New Roman"/>
                <w:color w:val="auto"/>
                <w:kern w:val="2"/>
                <w:sz w:val="24"/>
                <w:szCs w:val="24"/>
                <w:highlight w:val="none"/>
              </w:rPr>
              <w:t>+10lg（Qπr</w:t>
            </w:r>
            <w:r>
              <w:rPr>
                <w:rFonts w:hint="default" w:ascii="Times New Roman" w:hAnsi="Times New Roman" w:eastAsia="宋体" w:cs="Times New Roman"/>
                <w:color w:val="auto"/>
                <w:kern w:val="2"/>
                <w:sz w:val="24"/>
                <w:szCs w:val="24"/>
                <w:highlight w:val="none"/>
                <w:vertAlign w:val="subscript"/>
              </w:rPr>
              <w:t>i</w:t>
            </w:r>
            <w:r>
              <w:rPr>
                <w:rFonts w:hint="default" w:ascii="Times New Roman" w:hAnsi="Times New Roman" w:eastAsia="宋体" w:cs="Times New Roman"/>
                <w:color w:val="auto"/>
                <w:kern w:val="2"/>
                <w:sz w:val="24"/>
                <w:szCs w:val="24"/>
                <w:highlight w:val="none"/>
              </w:rPr>
              <w:t>/4+4/R）</w:t>
            </w:r>
          </w:p>
          <w:p w14:paraId="2DAE70D6">
            <w:pPr>
              <w:overflowPunct/>
              <w:autoSpaceDE/>
              <w:autoSpaceDN/>
              <w:adjustRightInd/>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式中：</w:t>
            </w:r>
          </w:p>
          <w:p w14:paraId="1D3B6230">
            <w:pPr>
              <w:overflowPunct/>
              <w:autoSpaceDE/>
              <w:autoSpaceDN/>
              <w:adjustRightInd/>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L</w:t>
            </w:r>
            <w:r>
              <w:rPr>
                <w:rFonts w:hint="default" w:ascii="Times New Roman" w:hAnsi="Times New Roman" w:eastAsia="宋体" w:cs="Times New Roman"/>
                <w:color w:val="auto"/>
                <w:kern w:val="2"/>
                <w:sz w:val="24"/>
                <w:szCs w:val="24"/>
                <w:highlight w:val="none"/>
                <w:vertAlign w:val="subscript"/>
              </w:rPr>
              <w:t>wi</w:t>
            </w:r>
            <w:r>
              <w:rPr>
                <w:rFonts w:hint="default" w:ascii="Times New Roman" w:hAnsi="Times New Roman" w:eastAsia="宋体" w:cs="Times New Roman"/>
                <w:color w:val="auto"/>
                <w:kern w:val="2"/>
                <w:sz w:val="24"/>
                <w:szCs w:val="24"/>
                <w:highlight w:val="none"/>
              </w:rPr>
              <w:t>—该厂房内第i个声源的声功率级；</w:t>
            </w:r>
          </w:p>
          <w:p w14:paraId="45002205">
            <w:pPr>
              <w:overflowPunct/>
              <w:autoSpaceDE/>
              <w:autoSpaceDN/>
              <w:adjustRightInd/>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Q—声源的方向性因素；</w:t>
            </w:r>
          </w:p>
          <w:p w14:paraId="4DE7A261">
            <w:pPr>
              <w:overflowPunct/>
              <w:autoSpaceDE/>
              <w:autoSpaceDN/>
              <w:adjustRightInd/>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r</w:t>
            </w:r>
            <w:r>
              <w:rPr>
                <w:rFonts w:hint="default" w:ascii="Times New Roman" w:hAnsi="Times New Roman" w:eastAsia="宋体" w:cs="Times New Roman"/>
                <w:color w:val="auto"/>
                <w:kern w:val="2"/>
                <w:sz w:val="24"/>
                <w:szCs w:val="24"/>
                <w:highlight w:val="none"/>
                <w:vertAlign w:val="subscript"/>
              </w:rPr>
              <w:t>i</w:t>
            </w:r>
            <w:r>
              <w:rPr>
                <w:rFonts w:hint="default" w:ascii="Times New Roman" w:hAnsi="Times New Roman" w:eastAsia="宋体" w:cs="Times New Roman"/>
                <w:color w:val="auto"/>
                <w:kern w:val="2"/>
                <w:sz w:val="24"/>
                <w:szCs w:val="24"/>
                <w:highlight w:val="none"/>
              </w:rPr>
              <w:t>—室内点距声源的距离；</w:t>
            </w:r>
          </w:p>
          <w:p w14:paraId="6BA08E2C">
            <w:pPr>
              <w:overflowPunct/>
              <w:autoSpaceDE/>
              <w:autoSpaceDN/>
              <w:adjustRightInd/>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R—房间常数。</w:t>
            </w:r>
          </w:p>
          <w:p w14:paraId="2BC87D24">
            <w:pPr>
              <w:overflowPunct/>
              <w:autoSpaceDE/>
              <w:autoSpaceDN/>
              <w:adjustRightInd/>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2）计算厂房内K个声源在靠近围护结构处的声级L</w:t>
            </w:r>
            <w:r>
              <w:rPr>
                <w:rFonts w:hint="default" w:ascii="Times New Roman" w:hAnsi="Times New Roman" w:eastAsia="宋体" w:cs="Times New Roman"/>
                <w:color w:val="auto"/>
                <w:kern w:val="2"/>
                <w:sz w:val="24"/>
                <w:szCs w:val="24"/>
                <w:highlight w:val="none"/>
                <w:vertAlign w:val="subscript"/>
              </w:rPr>
              <w:t>p1</w:t>
            </w:r>
            <w:r>
              <w:rPr>
                <w:rFonts w:hint="default" w:ascii="Times New Roman" w:hAnsi="Times New Roman" w:eastAsia="宋体" w:cs="Times New Roman"/>
                <w:color w:val="auto"/>
                <w:kern w:val="2"/>
                <w:sz w:val="24"/>
                <w:szCs w:val="24"/>
                <w:highlight w:val="none"/>
              </w:rPr>
              <w:t>：</w:t>
            </w:r>
          </w:p>
          <w:p w14:paraId="27C3A185">
            <w:pPr>
              <w:overflowPunct/>
              <w:autoSpaceDE/>
              <w:autoSpaceDN/>
              <w:adjustRightInd/>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L</w:t>
            </w:r>
            <w:r>
              <w:rPr>
                <w:rFonts w:hint="default" w:ascii="Times New Roman" w:hAnsi="Times New Roman" w:eastAsia="宋体" w:cs="Times New Roman"/>
                <w:color w:val="auto"/>
                <w:kern w:val="2"/>
                <w:sz w:val="24"/>
                <w:szCs w:val="24"/>
                <w:highlight w:val="none"/>
                <w:vertAlign w:val="subscript"/>
              </w:rPr>
              <w:t>p1</w:t>
            </w:r>
            <w:r>
              <w:rPr>
                <w:rFonts w:hint="default" w:ascii="Times New Roman" w:hAnsi="Times New Roman" w:eastAsia="宋体" w:cs="Times New Roman"/>
                <w:color w:val="auto"/>
                <w:kern w:val="2"/>
                <w:sz w:val="24"/>
                <w:szCs w:val="24"/>
                <w:highlight w:val="none"/>
              </w:rPr>
              <w:t>=10lgΣ100.1L</w:t>
            </w:r>
            <w:r>
              <w:rPr>
                <w:rFonts w:hint="default" w:ascii="Times New Roman" w:hAnsi="Times New Roman" w:eastAsia="宋体" w:cs="Times New Roman"/>
                <w:color w:val="auto"/>
                <w:kern w:val="2"/>
                <w:sz w:val="24"/>
                <w:szCs w:val="24"/>
                <w:highlight w:val="none"/>
                <w:vertAlign w:val="subscript"/>
              </w:rPr>
              <w:t>pi1</w:t>
            </w:r>
          </w:p>
          <w:p w14:paraId="0016D9F9">
            <w:pPr>
              <w:overflowPunct/>
              <w:autoSpaceDE/>
              <w:autoSpaceDN/>
              <w:adjustRightInd/>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3）计算厂房外靠近围护结构处的声级L</w:t>
            </w:r>
            <w:r>
              <w:rPr>
                <w:rFonts w:hint="default" w:ascii="Times New Roman" w:hAnsi="Times New Roman" w:eastAsia="宋体" w:cs="Times New Roman"/>
                <w:color w:val="auto"/>
                <w:kern w:val="2"/>
                <w:sz w:val="24"/>
                <w:szCs w:val="24"/>
                <w:highlight w:val="none"/>
                <w:vertAlign w:val="subscript"/>
              </w:rPr>
              <w:t>p2</w:t>
            </w:r>
            <w:r>
              <w:rPr>
                <w:rFonts w:hint="default" w:ascii="Times New Roman" w:hAnsi="Times New Roman" w:eastAsia="宋体" w:cs="Times New Roman"/>
                <w:color w:val="auto"/>
                <w:kern w:val="2"/>
                <w:sz w:val="24"/>
                <w:szCs w:val="24"/>
                <w:highlight w:val="none"/>
              </w:rPr>
              <w:t>: L</w:t>
            </w:r>
            <w:r>
              <w:rPr>
                <w:rFonts w:hint="default" w:ascii="Times New Roman" w:hAnsi="Times New Roman" w:eastAsia="宋体" w:cs="Times New Roman"/>
                <w:color w:val="auto"/>
                <w:kern w:val="2"/>
                <w:sz w:val="24"/>
                <w:szCs w:val="24"/>
                <w:highlight w:val="none"/>
                <w:vertAlign w:val="subscript"/>
              </w:rPr>
              <w:t>p2</w:t>
            </w:r>
            <w:r>
              <w:rPr>
                <w:rFonts w:hint="default" w:ascii="Times New Roman" w:hAnsi="Times New Roman" w:eastAsia="宋体" w:cs="Times New Roman"/>
                <w:color w:val="auto"/>
                <w:kern w:val="2"/>
                <w:sz w:val="24"/>
                <w:szCs w:val="24"/>
                <w:highlight w:val="none"/>
              </w:rPr>
              <w:t>=L</w:t>
            </w:r>
            <w:r>
              <w:rPr>
                <w:rFonts w:hint="default" w:ascii="Times New Roman" w:hAnsi="Times New Roman" w:eastAsia="宋体" w:cs="Times New Roman"/>
                <w:color w:val="auto"/>
                <w:kern w:val="2"/>
                <w:sz w:val="24"/>
                <w:szCs w:val="24"/>
                <w:highlight w:val="none"/>
                <w:vertAlign w:val="subscript"/>
              </w:rPr>
              <w:t>p1</w:t>
            </w:r>
            <w:r>
              <w:rPr>
                <w:rFonts w:hint="default" w:ascii="Times New Roman" w:hAnsi="Times New Roman" w:eastAsia="宋体" w:cs="Times New Roman"/>
                <w:color w:val="auto"/>
                <w:kern w:val="2"/>
                <w:sz w:val="24"/>
                <w:szCs w:val="24"/>
                <w:highlight w:val="none"/>
              </w:rPr>
              <w:t>-（TL+6）</w:t>
            </w:r>
          </w:p>
          <w:p w14:paraId="430170C2">
            <w:pPr>
              <w:overflowPunct/>
              <w:autoSpaceDE/>
              <w:autoSpaceDN/>
              <w:adjustRightInd/>
              <w:snapToGrid w:val="0"/>
              <w:spacing w:before="0" w:after="0" w:line="520" w:lineRule="exact"/>
              <w:ind w:left="0" w:right="0" w:firstLine="480" w:firstLineChars="200"/>
              <w:jc w:val="both"/>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kern w:val="2"/>
                <w:sz w:val="24"/>
                <w:szCs w:val="24"/>
                <w:highlight w:val="none"/>
              </w:rPr>
              <w:t>式中:TL—围护结构的传声损失。</w:t>
            </w:r>
          </w:p>
          <w:p w14:paraId="67CDAB5A">
            <w:pPr>
              <w:widowControl w:val="0"/>
              <w:overflowPunct w:val="0"/>
              <w:autoSpaceDE w:val="0"/>
              <w:autoSpaceDN w:val="0"/>
              <w:adjustRightInd w:val="0"/>
              <w:snapToGrid w:val="0"/>
              <w:spacing w:before="0" w:after="0" w:line="500" w:lineRule="exact"/>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4）把围护结构当作等效室外声源，再根据声级L</w:t>
            </w:r>
            <w:r>
              <w:rPr>
                <w:rFonts w:hint="default" w:ascii="Times New Roman" w:hAnsi="Times New Roman" w:eastAsia="宋体" w:cs="Times New Roman"/>
                <w:color w:val="auto"/>
                <w:kern w:val="2"/>
                <w:sz w:val="24"/>
                <w:szCs w:val="24"/>
                <w:highlight w:val="none"/>
                <w:vertAlign w:val="subscript"/>
                <w:lang w:val="en-US" w:eastAsia="zh-CN" w:bidi="ar-SA"/>
              </w:rPr>
              <w:t>p2</w:t>
            </w:r>
            <w:r>
              <w:rPr>
                <w:rFonts w:hint="default" w:ascii="Times New Roman" w:hAnsi="Times New Roman" w:eastAsia="宋体" w:cs="Times New Roman"/>
                <w:color w:val="auto"/>
                <w:kern w:val="2"/>
                <w:sz w:val="24"/>
                <w:szCs w:val="24"/>
                <w:highlight w:val="none"/>
                <w:lang w:val="en-US" w:eastAsia="zh-CN" w:bidi="ar-SA"/>
              </w:rPr>
              <w:t>和围护结构（一般为门、窗）的面积，计算等效室外的声功率级。</w:t>
            </w:r>
          </w:p>
          <w:p w14:paraId="33B16B09">
            <w:pPr>
              <w:widowControl w:val="0"/>
              <w:overflowPunct w:val="0"/>
              <w:autoSpaceDE w:val="0"/>
              <w:autoSpaceDN w:val="0"/>
              <w:adjustRightInd w:val="0"/>
              <w:snapToGrid w:val="0"/>
              <w:spacing w:before="0" w:after="0" w:line="500" w:lineRule="exact"/>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5）按照上述室外声源的计算方法，计算该等效室外声源在第i个预测点的声级L</w:t>
            </w:r>
            <w:r>
              <w:rPr>
                <w:rFonts w:hint="default" w:ascii="Times New Roman" w:hAnsi="Times New Roman" w:eastAsia="宋体" w:cs="Times New Roman"/>
                <w:color w:val="auto"/>
                <w:kern w:val="2"/>
                <w:sz w:val="24"/>
                <w:szCs w:val="24"/>
                <w:highlight w:val="none"/>
                <w:vertAlign w:val="subscript"/>
                <w:lang w:val="en-US" w:eastAsia="zh-CN" w:bidi="ar-SA"/>
              </w:rPr>
              <w:t>akj</w:t>
            </w:r>
            <w:r>
              <w:rPr>
                <w:rFonts w:hint="default" w:ascii="Times New Roman" w:hAnsi="Times New Roman" w:eastAsia="宋体" w:cs="Times New Roman"/>
                <w:color w:val="auto"/>
                <w:kern w:val="2"/>
                <w:sz w:val="24"/>
                <w:szCs w:val="24"/>
                <w:highlight w:val="none"/>
                <w:lang w:val="en-US" w:eastAsia="zh-CN" w:bidi="ar-SA"/>
              </w:rPr>
              <w:t>（in）。</w:t>
            </w:r>
          </w:p>
          <w:p w14:paraId="7AD59179">
            <w:pPr>
              <w:widowControl w:val="0"/>
              <w:overflowPunct w:val="0"/>
              <w:autoSpaceDE w:val="0"/>
              <w:autoSpaceDN w:val="0"/>
              <w:adjustRightInd w:val="0"/>
              <w:snapToGrid w:val="0"/>
              <w:spacing w:before="0" w:after="0" w:line="500" w:lineRule="exact"/>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③噪声预测值</w:t>
            </w:r>
          </w:p>
          <w:p w14:paraId="60C41001">
            <w:pPr>
              <w:widowControl w:val="0"/>
              <w:overflowPunct w:val="0"/>
              <w:autoSpaceDE w:val="0"/>
              <w:autoSpaceDN w:val="0"/>
              <w:adjustRightInd w:val="0"/>
              <w:snapToGrid w:val="0"/>
              <w:spacing w:before="0" w:after="0" w:line="500" w:lineRule="exact"/>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预测点的贡献值和背景值按能量叠加方法计算得到的声级。</w:t>
            </w:r>
          </w:p>
          <w:p w14:paraId="4288B63F">
            <w:pPr>
              <w:widowControl w:val="0"/>
              <w:overflowPunct w:val="0"/>
              <w:autoSpaceDE w:val="0"/>
              <w:autoSpaceDN w:val="0"/>
              <w:adjustRightInd w:val="0"/>
              <w:snapToGrid w:val="0"/>
              <w:spacing w:before="0" w:after="0" w:line="500" w:lineRule="exact"/>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④计算受声点的布设</w:t>
            </w:r>
          </w:p>
          <w:p w14:paraId="378F8219">
            <w:pPr>
              <w:widowControl w:val="0"/>
              <w:overflowPunct w:val="0"/>
              <w:autoSpaceDE w:val="0"/>
              <w:autoSpaceDN w:val="0"/>
              <w:adjustRightInd w:val="0"/>
              <w:snapToGrid w:val="0"/>
              <w:spacing w:before="0" w:after="0" w:line="500" w:lineRule="exact"/>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根据工程规模及建设地点环境噪声特点，参照《环境影响评价技术导则 声环境》（HJ2.4-2021）的有关规定，预测计算影响到厂界范围</w:t>
            </w:r>
            <w:r>
              <w:rPr>
                <w:rFonts w:hint="eastAsia" w:cs="Times New Roman"/>
                <w:color w:val="auto"/>
                <w:kern w:val="2"/>
                <w:sz w:val="24"/>
                <w:szCs w:val="24"/>
                <w:highlight w:val="none"/>
                <w:lang w:val="en-US" w:eastAsia="zh-CN" w:bidi="ar-SA"/>
              </w:rPr>
              <w:t>的</w:t>
            </w:r>
            <w:r>
              <w:rPr>
                <w:rFonts w:hint="default" w:ascii="Times New Roman" w:hAnsi="Times New Roman" w:eastAsia="宋体" w:cs="Times New Roman"/>
                <w:color w:val="auto"/>
                <w:kern w:val="2"/>
                <w:sz w:val="24"/>
                <w:szCs w:val="24"/>
                <w:highlight w:val="none"/>
                <w:lang w:val="en-US" w:eastAsia="zh-CN" w:bidi="ar-SA"/>
              </w:rPr>
              <w:t>声场分布状况，根据计算结果说明项目建成后，对周围环境的噪声影响情况。</w:t>
            </w:r>
          </w:p>
          <w:p w14:paraId="598FCDB1">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⑤计算结果</w:t>
            </w:r>
          </w:p>
          <w:p w14:paraId="60F10AB7">
            <w:pPr>
              <w:widowControl w:val="0"/>
              <w:overflowPunct w:val="0"/>
              <w:autoSpaceDE w:val="0"/>
              <w:autoSpaceDN w:val="0"/>
              <w:adjustRightInd w:val="0"/>
              <w:snapToGrid w:val="0"/>
              <w:spacing w:before="0" w:after="0" w:line="500" w:lineRule="exact"/>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在本次声环境影响达标分析预测结果见表4.7-2。</w:t>
            </w:r>
          </w:p>
          <w:p w14:paraId="1F5F6FA2">
            <w:pPr>
              <w:pageBreakBefore w:val="0"/>
              <w:widowControl w:val="0"/>
              <w:kinsoku/>
              <w:wordWrap/>
              <w:overflowPunct/>
              <w:topLinePunct w:val="0"/>
              <w:autoSpaceDE/>
              <w:autoSpaceDN/>
              <w:bidi w:val="0"/>
              <w:adjustRightInd/>
              <w:snapToGrid/>
              <w:spacing w:before="0" w:after="0" w:line="480" w:lineRule="exact"/>
              <w:ind w:left="0" w:right="0" w:firstLine="422" w:firstLineChars="200"/>
              <w:jc w:val="center"/>
              <w:textAlignment w:val="auto"/>
              <w:rPr>
                <w:rFonts w:hint="default" w:ascii="Times New Roman" w:hAnsi="Times New Roman" w:eastAsia="宋体" w:cs="Times New Roman"/>
                <w:b/>
                <w:bCs/>
                <w:color w:val="auto"/>
                <w:kern w:val="2"/>
                <w:sz w:val="21"/>
                <w:szCs w:val="16"/>
                <w:highlight w:val="none"/>
                <w:vertAlign w:val="baseline"/>
                <w:lang w:val="en-US" w:eastAsia="zh-CN"/>
              </w:rPr>
            </w:pPr>
            <w:r>
              <w:rPr>
                <w:rFonts w:hint="default" w:ascii="Times New Roman" w:hAnsi="Times New Roman" w:eastAsia="宋体" w:cs="Times New Roman"/>
                <w:b/>
                <w:bCs/>
                <w:color w:val="auto"/>
                <w:kern w:val="2"/>
                <w:sz w:val="21"/>
                <w:szCs w:val="16"/>
                <w:highlight w:val="none"/>
                <w:vertAlign w:val="baseline"/>
                <w:lang w:val="en-US" w:eastAsia="zh-CN"/>
              </w:rPr>
              <w:t>表4.7-2厂界噪声预测结果一览表   单位：dB（A）</w:t>
            </w:r>
          </w:p>
          <w:tbl>
            <w:tblPr>
              <w:tblStyle w:val="22"/>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41"/>
              <w:gridCol w:w="857"/>
              <w:gridCol w:w="857"/>
              <w:gridCol w:w="858"/>
              <w:gridCol w:w="858"/>
              <w:gridCol w:w="858"/>
              <w:gridCol w:w="858"/>
              <w:gridCol w:w="858"/>
              <w:gridCol w:w="859"/>
            </w:tblGrid>
            <w:tr w14:paraId="455D33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1" w:type="dxa"/>
                  <w:vMerge w:val="restart"/>
                  <w:noWrap w:val="0"/>
                  <w:vAlign w:val="center"/>
                </w:tcPr>
                <w:p w14:paraId="0E81733D">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厂界噪声</w:t>
                  </w:r>
                </w:p>
                <w:p w14:paraId="46361006">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dB（A）</w:t>
                  </w:r>
                </w:p>
              </w:tc>
              <w:tc>
                <w:tcPr>
                  <w:tcW w:w="1714" w:type="dxa"/>
                  <w:gridSpan w:val="2"/>
                  <w:noWrap w:val="0"/>
                  <w:vAlign w:val="center"/>
                </w:tcPr>
                <w:p w14:paraId="1E505530">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东厂界</w:t>
                  </w:r>
                </w:p>
              </w:tc>
              <w:tc>
                <w:tcPr>
                  <w:tcW w:w="1716" w:type="dxa"/>
                  <w:gridSpan w:val="2"/>
                  <w:noWrap w:val="0"/>
                  <w:vAlign w:val="center"/>
                </w:tcPr>
                <w:p w14:paraId="19FBB413">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南厂界</w:t>
                  </w:r>
                </w:p>
              </w:tc>
              <w:tc>
                <w:tcPr>
                  <w:tcW w:w="1716" w:type="dxa"/>
                  <w:gridSpan w:val="2"/>
                  <w:noWrap w:val="0"/>
                  <w:vAlign w:val="center"/>
                </w:tcPr>
                <w:p w14:paraId="549BE94D">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西厂界</w:t>
                  </w:r>
                </w:p>
              </w:tc>
              <w:tc>
                <w:tcPr>
                  <w:tcW w:w="1717" w:type="dxa"/>
                  <w:gridSpan w:val="2"/>
                  <w:noWrap w:val="0"/>
                  <w:vAlign w:val="center"/>
                </w:tcPr>
                <w:p w14:paraId="79B719BF">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北厂界</w:t>
                  </w:r>
                </w:p>
              </w:tc>
            </w:tr>
            <w:tr w14:paraId="2E4249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1" w:type="dxa"/>
                  <w:vMerge w:val="continue"/>
                  <w:noWrap w:val="0"/>
                  <w:vAlign w:val="center"/>
                </w:tcPr>
                <w:p w14:paraId="51F2E91B">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p>
              </w:tc>
              <w:tc>
                <w:tcPr>
                  <w:tcW w:w="857" w:type="dxa"/>
                  <w:noWrap w:val="0"/>
                  <w:vAlign w:val="center"/>
                </w:tcPr>
                <w:p w14:paraId="378C2A80">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昼</w:t>
                  </w:r>
                </w:p>
              </w:tc>
              <w:tc>
                <w:tcPr>
                  <w:tcW w:w="857" w:type="dxa"/>
                  <w:noWrap w:val="0"/>
                  <w:vAlign w:val="center"/>
                </w:tcPr>
                <w:p w14:paraId="4F37CAA6">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夜</w:t>
                  </w:r>
                </w:p>
              </w:tc>
              <w:tc>
                <w:tcPr>
                  <w:tcW w:w="858" w:type="dxa"/>
                  <w:noWrap w:val="0"/>
                  <w:vAlign w:val="center"/>
                </w:tcPr>
                <w:p w14:paraId="5DC3B224">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昼</w:t>
                  </w:r>
                </w:p>
              </w:tc>
              <w:tc>
                <w:tcPr>
                  <w:tcW w:w="858" w:type="dxa"/>
                  <w:noWrap w:val="0"/>
                  <w:vAlign w:val="center"/>
                </w:tcPr>
                <w:p w14:paraId="6A059E95">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夜</w:t>
                  </w:r>
                </w:p>
              </w:tc>
              <w:tc>
                <w:tcPr>
                  <w:tcW w:w="858" w:type="dxa"/>
                  <w:noWrap w:val="0"/>
                  <w:vAlign w:val="center"/>
                </w:tcPr>
                <w:p w14:paraId="62AC80E2">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昼</w:t>
                  </w:r>
                </w:p>
              </w:tc>
              <w:tc>
                <w:tcPr>
                  <w:tcW w:w="858" w:type="dxa"/>
                  <w:noWrap w:val="0"/>
                  <w:vAlign w:val="center"/>
                </w:tcPr>
                <w:p w14:paraId="40AF8598">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夜</w:t>
                  </w:r>
                </w:p>
              </w:tc>
              <w:tc>
                <w:tcPr>
                  <w:tcW w:w="858" w:type="dxa"/>
                  <w:noWrap w:val="0"/>
                  <w:vAlign w:val="center"/>
                </w:tcPr>
                <w:p w14:paraId="79002739">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昼</w:t>
                  </w:r>
                </w:p>
              </w:tc>
              <w:tc>
                <w:tcPr>
                  <w:tcW w:w="859" w:type="dxa"/>
                  <w:noWrap w:val="0"/>
                  <w:vAlign w:val="center"/>
                </w:tcPr>
                <w:p w14:paraId="5B2BDF76">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夜</w:t>
                  </w:r>
                </w:p>
              </w:tc>
            </w:tr>
            <w:tr w14:paraId="6B7620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1" w:type="dxa"/>
                  <w:noWrap w:val="0"/>
                  <w:vAlign w:val="center"/>
                </w:tcPr>
                <w:p w14:paraId="3EDAB954">
                  <w:pPr>
                    <w:keepNext w:val="0"/>
                    <w:keepLines w:val="0"/>
                    <w:pageBreakBefore w:val="0"/>
                    <w:widowControl w:val="0"/>
                    <w:kinsoku/>
                    <w:wordWrap/>
                    <w:overflowPunct/>
                    <w:topLinePunct w:val="0"/>
                    <w:autoSpaceDE/>
                    <w:autoSpaceDN/>
                    <w:bidi w:val="0"/>
                    <w:adjustRightInd/>
                    <w:snapToGrid/>
                    <w:spacing w:before="0" w:after="0" w:line="360" w:lineRule="exact"/>
                    <w:ind w:left="0" w:right="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贡献值</w:t>
                  </w:r>
                </w:p>
              </w:tc>
              <w:tc>
                <w:tcPr>
                  <w:tcW w:w="857" w:type="dxa"/>
                  <w:noWrap w:val="0"/>
                  <w:vAlign w:val="center"/>
                </w:tcPr>
                <w:p w14:paraId="6FFABDC5">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45.3</w:t>
                  </w:r>
                </w:p>
              </w:tc>
              <w:tc>
                <w:tcPr>
                  <w:tcW w:w="857" w:type="dxa"/>
                  <w:noWrap w:val="0"/>
                  <w:vAlign w:val="center"/>
                </w:tcPr>
                <w:p w14:paraId="7EBB15BA">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45.3</w:t>
                  </w:r>
                </w:p>
              </w:tc>
              <w:tc>
                <w:tcPr>
                  <w:tcW w:w="858" w:type="dxa"/>
                  <w:noWrap w:val="0"/>
                  <w:vAlign w:val="center"/>
                </w:tcPr>
                <w:p w14:paraId="79B696B8">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21.4</w:t>
                  </w:r>
                </w:p>
              </w:tc>
              <w:tc>
                <w:tcPr>
                  <w:tcW w:w="858" w:type="dxa"/>
                  <w:noWrap w:val="0"/>
                  <w:vAlign w:val="center"/>
                </w:tcPr>
                <w:p w14:paraId="60A2A201">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21.4</w:t>
                  </w:r>
                </w:p>
              </w:tc>
              <w:tc>
                <w:tcPr>
                  <w:tcW w:w="858" w:type="dxa"/>
                  <w:shd w:val="clear" w:color="auto" w:fill="auto"/>
                  <w:noWrap w:val="0"/>
                  <w:vAlign w:val="center"/>
                </w:tcPr>
                <w:p w14:paraId="61F7B116">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rPr>
                    <w:t>39.1</w:t>
                  </w:r>
                </w:p>
              </w:tc>
              <w:tc>
                <w:tcPr>
                  <w:tcW w:w="858" w:type="dxa"/>
                  <w:shd w:val="clear" w:color="auto" w:fill="auto"/>
                  <w:noWrap w:val="0"/>
                  <w:vAlign w:val="center"/>
                </w:tcPr>
                <w:p w14:paraId="2ED934E6">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rPr>
                    <w:t>39.1</w:t>
                  </w:r>
                </w:p>
              </w:tc>
              <w:tc>
                <w:tcPr>
                  <w:tcW w:w="858" w:type="dxa"/>
                  <w:noWrap w:val="0"/>
                  <w:vAlign w:val="center"/>
                </w:tcPr>
                <w:p w14:paraId="06D8D1B7">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47.2</w:t>
                  </w:r>
                </w:p>
              </w:tc>
              <w:tc>
                <w:tcPr>
                  <w:tcW w:w="859" w:type="dxa"/>
                  <w:noWrap w:val="0"/>
                  <w:vAlign w:val="center"/>
                </w:tcPr>
                <w:p w14:paraId="499A5C05">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47.2</w:t>
                  </w:r>
                </w:p>
              </w:tc>
            </w:tr>
            <w:tr w14:paraId="406D1A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1" w:type="dxa"/>
                  <w:noWrap w:val="0"/>
                  <w:vAlign w:val="center"/>
                </w:tcPr>
                <w:p w14:paraId="12B1DB7B">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标准值</w:t>
                  </w:r>
                </w:p>
              </w:tc>
              <w:tc>
                <w:tcPr>
                  <w:tcW w:w="857" w:type="dxa"/>
                  <w:noWrap w:val="0"/>
                  <w:vAlign w:val="center"/>
                </w:tcPr>
                <w:p w14:paraId="2D5535E6">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60</w:t>
                  </w:r>
                </w:p>
              </w:tc>
              <w:tc>
                <w:tcPr>
                  <w:tcW w:w="857" w:type="dxa"/>
                  <w:noWrap w:val="0"/>
                  <w:vAlign w:val="center"/>
                </w:tcPr>
                <w:p w14:paraId="42B390E8">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50</w:t>
                  </w:r>
                </w:p>
              </w:tc>
              <w:tc>
                <w:tcPr>
                  <w:tcW w:w="858" w:type="dxa"/>
                  <w:noWrap w:val="0"/>
                  <w:vAlign w:val="center"/>
                </w:tcPr>
                <w:p w14:paraId="2F8D8D31">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60</w:t>
                  </w:r>
                </w:p>
              </w:tc>
              <w:tc>
                <w:tcPr>
                  <w:tcW w:w="858" w:type="dxa"/>
                  <w:noWrap w:val="0"/>
                  <w:vAlign w:val="center"/>
                </w:tcPr>
                <w:p w14:paraId="64508556">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50</w:t>
                  </w:r>
                </w:p>
              </w:tc>
              <w:tc>
                <w:tcPr>
                  <w:tcW w:w="858" w:type="dxa"/>
                  <w:noWrap w:val="0"/>
                  <w:vAlign w:val="center"/>
                </w:tcPr>
                <w:p w14:paraId="7938D81B">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60</w:t>
                  </w:r>
                </w:p>
              </w:tc>
              <w:tc>
                <w:tcPr>
                  <w:tcW w:w="858" w:type="dxa"/>
                  <w:noWrap w:val="0"/>
                  <w:vAlign w:val="center"/>
                </w:tcPr>
                <w:p w14:paraId="3766D1CE">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50</w:t>
                  </w:r>
                </w:p>
              </w:tc>
              <w:tc>
                <w:tcPr>
                  <w:tcW w:w="858" w:type="dxa"/>
                  <w:noWrap w:val="0"/>
                  <w:vAlign w:val="center"/>
                </w:tcPr>
                <w:p w14:paraId="099791FF">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60</w:t>
                  </w:r>
                </w:p>
              </w:tc>
              <w:tc>
                <w:tcPr>
                  <w:tcW w:w="859" w:type="dxa"/>
                  <w:noWrap w:val="0"/>
                  <w:vAlign w:val="center"/>
                </w:tcPr>
                <w:p w14:paraId="1E244C8F">
                  <w:pPr>
                    <w:keepNext w:val="0"/>
                    <w:keepLines w:val="0"/>
                    <w:pageBreakBefore w:val="0"/>
                    <w:widowControl w:val="0"/>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4"/>
                      <w:highlight w:val="none"/>
                      <w:lang w:val="en-US" w:eastAsia="zh-CN"/>
                    </w:rPr>
                  </w:pPr>
                  <w:r>
                    <w:rPr>
                      <w:rFonts w:hint="default" w:ascii="Times New Roman" w:hAnsi="Times New Roman" w:eastAsia="宋体" w:cs="Times New Roman"/>
                      <w:color w:val="auto"/>
                      <w:kern w:val="2"/>
                      <w:sz w:val="21"/>
                      <w:szCs w:val="24"/>
                      <w:highlight w:val="none"/>
                      <w:lang w:val="en-US" w:eastAsia="zh-CN"/>
                    </w:rPr>
                    <w:t>50</w:t>
                  </w:r>
                </w:p>
              </w:tc>
            </w:tr>
          </w:tbl>
          <w:p w14:paraId="3615FC0C">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color w:val="auto"/>
                <w:kern w:val="2"/>
                <w:sz w:val="24"/>
                <w:szCs w:val="20"/>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本项目噪声计算结果显示：本项目建成运行后厂界贡献值噪声满足《工业企业厂界环境噪声排放标准（GB12348-2008）》中2类标准（昼间60dB，夜间50dB），实现厂界噪声稳定达标。</w:t>
            </w:r>
          </w:p>
          <w:p w14:paraId="60E7D0B6">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b w:val="0"/>
                <w:bCs w:val="0"/>
                <w:color w:val="auto"/>
                <w:kern w:val="2"/>
                <w:sz w:val="24"/>
                <w:szCs w:val="20"/>
                <w:highlight w:val="none"/>
                <w:lang w:val="en-US" w:eastAsia="zh-CN"/>
              </w:rPr>
            </w:pPr>
            <w:r>
              <w:rPr>
                <w:rFonts w:hint="default" w:ascii="Times New Roman" w:hAnsi="Times New Roman" w:eastAsia="宋体" w:cs="Times New Roman"/>
                <w:b w:val="0"/>
                <w:bCs w:val="0"/>
                <w:color w:val="auto"/>
                <w:kern w:val="2"/>
                <w:sz w:val="24"/>
                <w:szCs w:val="20"/>
                <w:highlight w:val="none"/>
                <w:lang w:val="en-US" w:eastAsia="zh-CN"/>
              </w:rPr>
              <w:t>（3）噪声监测制度</w:t>
            </w:r>
          </w:p>
          <w:p w14:paraId="247AE71D">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color w:val="auto"/>
                <w:kern w:val="2"/>
                <w:sz w:val="24"/>
                <w:szCs w:val="20"/>
                <w:highlight w:val="none"/>
                <w:lang w:val="en-US" w:eastAsia="zh-CN"/>
              </w:rPr>
            </w:pPr>
            <w:r>
              <w:rPr>
                <w:rFonts w:hint="default" w:ascii="Times New Roman" w:hAnsi="Times New Roman" w:eastAsia="宋体" w:cs="Times New Roman"/>
                <w:color w:val="auto"/>
                <w:kern w:val="2"/>
                <w:sz w:val="24"/>
                <w:szCs w:val="20"/>
                <w:highlight w:val="none"/>
                <w:lang w:val="en-US" w:eastAsia="zh-CN"/>
              </w:rPr>
              <w:t>根据《排污单位自行监测技术指南 总则》（HJ819-2017）、《排污单位自行监测技术指南 磷肥、钾肥、复混肥料、有机肥料和微生物肥料》（HJ 1088-2020）监测要求，本项目全场噪声监测制度见表4.7-3。</w:t>
            </w:r>
          </w:p>
          <w:p w14:paraId="76D84F37">
            <w:pPr>
              <w:pageBreakBefore w:val="0"/>
              <w:widowControl w:val="0"/>
              <w:kinsoku/>
              <w:wordWrap/>
              <w:overflowPunct/>
              <w:topLinePunct w:val="0"/>
              <w:autoSpaceDE/>
              <w:autoSpaceDN/>
              <w:bidi w:val="0"/>
              <w:adjustRightInd/>
              <w:snapToGrid/>
              <w:spacing w:before="0" w:after="0" w:line="480" w:lineRule="exact"/>
              <w:ind w:left="0" w:right="0" w:firstLine="422" w:firstLineChars="200"/>
              <w:jc w:val="center"/>
              <w:textAlignment w:val="auto"/>
              <w:rPr>
                <w:rFonts w:hint="default" w:ascii="Times New Roman" w:hAnsi="Times New Roman" w:eastAsia="宋体" w:cs="Times New Roman"/>
                <w:b/>
                <w:bCs/>
                <w:color w:val="auto"/>
                <w:kern w:val="2"/>
                <w:sz w:val="21"/>
                <w:szCs w:val="16"/>
                <w:highlight w:val="none"/>
                <w:vertAlign w:val="baseline"/>
                <w:lang w:val="en-US" w:eastAsia="zh-CN"/>
              </w:rPr>
            </w:pPr>
            <w:r>
              <w:rPr>
                <w:rFonts w:hint="default" w:ascii="Times New Roman" w:hAnsi="Times New Roman" w:eastAsia="宋体" w:cs="Times New Roman"/>
                <w:b/>
                <w:bCs/>
                <w:color w:val="auto"/>
                <w:kern w:val="2"/>
                <w:sz w:val="21"/>
                <w:szCs w:val="16"/>
                <w:highlight w:val="none"/>
                <w:vertAlign w:val="baseline"/>
                <w:lang w:val="en-US" w:eastAsia="zh-CN"/>
              </w:rPr>
              <w:t>表4.7-3本项目噪声监测制度一览表</w:t>
            </w:r>
          </w:p>
          <w:tbl>
            <w:tblPr>
              <w:tblStyle w:val="22"/>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061"/>
              <w:gridCol w:w="2255"/>
              <w:gridCol w:w="5188"/>
            </w:tblGrid>
            <w:tr w14:paraId="0AA392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988" w:type="dxa"/>
                  <w:tcBorders>
                    <w:tl2br w:val="nil"/>
                    <w:tr2bl w:val="nil"/>
                  </w:tcBorders>
                  <w:noWrap w:val="0"/>
                  <w:vAlign w:val="center"/>
                </w:tcPr>
                <w:p w14:paraId="7DF3991C">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rPr>
                    <w:t>项目</w:t>
                  </w:r>
                </w:p>
              </w:tc>
              <w:tc>
                <w:tcPr>
                  <w:tcW w:w="6930" w:type="dxa"/>
                  <w:gridSpan w:val="2"/>
                  <w:tcBorders>
                    <w:tl2br w:val="nil"/>
                    <w:tr2bl w:val="nil"/>
                  </w:tcBorders>
                  <w:noWrap w:val="0"/>
                  <w:vAlign w:val="center"/>
                </w:tcPr>
                <w:p w14:paraId="0EFF3384">
                  <w:pPr>
                    <w:keepNext w:val="0"/>
                    <w:keepLines w:val="0"/>
                    <w:widowControl w:val="0"/>
                    <w:suppressLineNumbers w:val="0"/>
                    <w:overflowPunct/>
                    <w:autoSpaceDE/>
                    <w:autoSpaceDN/>
                    <w:adjustRightInd w:val="0"/>
                    <w:snapToGrid w:val="0"/>
                    <w:spacing w:before="0" w:beforeAutospacing="0" w:after="0" w:afterAutospacing="0" w:line="280" w:lineRule="exact"/>
                    <w:ind w:left="0" w:right="0" w:firstLine="0" w:firstLineChars="0"/>
                    <w:jc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kern w:val="2"/>
                      <w:sz w:val="21"/>
                      <w:szCs w:val="21"/>
                      <w:highlight w:val="none"/>
                      <w:lang w:val="en-US" w:eastAsia="zh-CN" w:bidi="ar"/>
                    </w:rPr>
                    <w:t>监测制度</w:t>
                  </w:r>
                </w:p>
              </w:tc>
            </w:tr>
            <w:tr w14:paraId="60D53A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988" w:type="dxa"/>
                  <w:vMerge w:val="restart"/>
                  <w:tcBorders>
                    <w:tl2br w:val="nil"/>
                    <w:tr2bl w:val="nil"/>
                  </w:tcBorders>
                  <w:noWrap w:val="0"/>
                  <w:vAlign w:val="center"/>
                </w:tcPr>
                <w:p w14:paraId="1C4DD9ED">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rPr>
                    <w:t>噪声</w:t>
                  </w:r>
                </w:p>
              </w:tc>
              <w:tc>
                <w:tcPr>
                  <w:tcW w:w="2100" w:type="dxa"/>
                  <w:tcBorders>
                    <w:tl2br w:val="nil"/>
                    <w:tr2bl w:val="nil"/>
                  </w:tcBorders>
                  <w:noWrap w:val="0"/>
                  <w:vAlign w:val="center"/>
                </w:tcPr>
                <w:p w14:paraId="1DCDEBE7">
                  <w:pPr>
                    <w:keepNext w:val="0"/>
                    <w:keepLines w:val="0"/>
                    <w:widowControl/>
                    <w:suppressLineNumbers w:val="0"/>
                    <w:overflowPunct/>
                    <w:autoSpaceDE/>
                    <w:autoSpaceDN/>
                    <w:adjustRightInd/>
                    <w:snapToGrid/>
                    <w:spacing w:before="0" w:after="0" w:line="240" w:lineRule="auto"/>
                    <w:ind w:left="0" w:right="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kern w:val="2"/>
                      <w:sz w:val="21"/>
                      <w:szCs w:val="21"/>
                      <w:highlight w:val="none"/>
                      <w:lang w:val="en-US" w:eastAsia="zh-CN" w:bidi="ar"/>
                    </w:rPr>
                    <w:t>监测项目</w:t>
                  </w:r>
                </w:p>
              </w:tc>
              <w:tc>
                <w:tcPr>
                  <w:tcW w:w="4830" w:type="dxa"/>
                  <w:tcBorders>
                    <w:tl2br w:val="nil"/>
                    <w:tr2bl w:val="nil"/>
                  </w:tcBorders>
                  <w:noWrap w:val="0"/>
                  <w:vAlign w:val="center"/>
                </w:tcPr>
                <w:p w14:paraId="6121F967">
                  <w:pPr>
                    <w:keepNext w:val="0"/>
                    <w:keepLines w:val="0"/>
                    <w:widowControl/>
                    <w:suppressLineNumbers w:val="0"/>
                    <w:overflowPunct/>
                    <w:autoSpaceDE/>
                    <w:autoSpaceDN/>
                    <w:adjustRightInd/>
                    <w:snapToGrid/>
                    <w:spacing w:before="0" w:after="0" w:line="240" w:lineRule="auto"/>
                    <w:ind w:left="0" w:right="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kern w:val="2"/>
                      <w:sz w:val="21"/>
                      <w:szCs w:val="21"/>
                      <w:highlight w:val="none"/>
                      <w:lang w:val="en-US" w:eastAsia="zh-CN" w:bidi="ar"/>
                    </w:rPr>
                    <w:t>Lep（A）</w:t>
                  </w:r>
                </w:p>
              </w:tc>
            </w:tr>
            <w:tr w14:paraId="7AF9C1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988" w:type="dxa"/>
                  <w:vMerge w:val="continue"/>
                  <w:tcBorders>
                    <w:tl2br w:val="nil"/>
                    <w:tr2bl w:val="nil"/>
                  </w:tcBorders>
                  <w:noWrap w:val="0"/>
                  <w:vAlign w:val="center"/>
                </w:tcPr>
                <w:p w14:paraId="26B1895C">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p>
              </w:tc>
              <w:tc>
                <w:tcPr>
                  <w:tcW w:w="2100" w:type="dxa"/>
                  <w:tcBorders>
                    <w:tl2br w:val="nil"/>
                    <w:tr2bl w:val="nil"/>
                  </w:tcBorders>
                  <w:noWrap w:val="0"/>
                  <w:vAlign w:val="center"/>
                </w:tcPr>
                <w:p w14:paraId="7B817D90">
                  <w:pPr>
                    <w:keepNext w:val="0"/>
                    <w:keepLines w:val="0"/>
                    <w:widowControl/>
                    <w:suppressLineNumbers w:val="0"/>
                    <w:overflowPunct/>
                    <w:autoSpaceDE/>
                    <w:autoSpaceDN/>
                    <w:adjustRightInd/>
                    <w:snapToGrid/>
                    <w:spacing w:before="0" w:after="0" w:line="240" w:lineRule="auto"/>
                    <w:ind w:left="0" w:right="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kern w:val="2"/>
                      <w:sz w:val="21"/>
                      <w:szCs w:val="21"/>
                      <w:highlight w:val="none"/>
                      <w:lang w:val="en-US" w:eastAsia="zh-CN" w:bidi="ar"/>
                    </w:rPr>
                    <w:t>监测点位</w:t>
                  </w:r>
                </w:p>
              </w:tc>
              <w:tc>
                <w:tcPr>
                  <w:tcW w:w="4830" w:type="dxa"/>
                  <w:tcBorders>
                    <w:tl2br w:val="nil"/>
                    <w:tr2bl w:val="nil"/>
                  </w:tcBorders>
                  <w:noWrap w:val="0"/>
                  <w:vAlign w:val="center"/>
                </w:tcPr>
                <w:p w14:paraId="60975DD8">
                  <w:pPr>
                    <w:keepNext w:val="0"/>
                    <w:keepLines w:val="0"/>
                    <w:widowControl/>
                    <w:suppressLineNumbers w:val="0"/>
                    <w:overflowPunct/>
                    <w:autoSpaceDE/>
                    <w:autoSpaceDN/>
                    <w:adjustRightInd/>
                    <w:snapToGrid/>
                    <w:spacing w:before="0" w:after="0" w:line="240" w:lineRule="auto"/>
                    <w:ind w:left="0" w:right="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kern w:val="2"/>
                      <w:sz w:val="21"/>
                      <w:szCs w:val="21"/>
                      <w:highlight w:val="none"/>
                      <w:lang w:val="en-US" w:eastAsia="zh-CN" w:bidi="ar"/>
                    </w:rPr>
                    <w:t>东、南、西、北厂界外1m</w:t>
                  </w:r>
                </w:p>
              </w:tc>
            </w:tr>
            <w:tr w14:paraId="1F39D1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988" w:type="dxa"/>
                  <w:vMerge w:val="continue"/>
                  <w:tcBorders>
                    <w:tl2br w:val="nil"/>
                    <w:tr2bl w:val="nil"/>
                  </w:tcBorders>
                  <w:noWrap w:val="0"/>
                  <w:vAlign w:val="center"/>
                </w:tcPr>
                <w:p w14:paraId="49DBDC06">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p>
              </w:tc>
              <w:tc>
                <w:tcPr>
                  <w:tcW w:w="2100" w:type="dxa"/>
                  <w:tcBorders>
                    <w:tl2br w:val="nil"/>
                    <w:tr2bl w:val="nil"/>
                  </w:tcBorders>
                  <w:noWrap w:val="0"/>
                  <w:vAlign w:val="center"/>
                </w:tcPr>
                <w:p w14:paraId="6A55B227">
                  <w:pPr>
                    <w:keepNext w:val="0"/>
                    <w:keepLines w:val="0"/>
                    <w:widowControl/>
                    <w:suppressLineNumbers w:val="0"/>
                    <w:overflowPunct/>
                    <w:autoSpaceDE/>
                    <w:autoSpaceDN/>
                    <w:adjustRightInd/>
                    <w:snapToGrid/>
                    <w:spacing w:before="0" w:after="0" w:line="240" w:lineRule="auto"/>
                    <w:ind w:left="0" w:right="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kern w:val="2"/>
                      <w:sz w:val="21"/>
                      <w:szCs w:val="21"/>
                      <w:highlight w:val="none"/>
                      <w:lang w:val="en-US" w:eastAsia="zh-CN" w:bidi="ar"/>
                    </w:rPr>
                    <w:t>监测频次</w:t>
                  </w:r>
                </w:p>
              </w:tc>
              <w:tc>
                <w:tcPr>
                  <w:tcW w:w="4830" w:type="dxa"/>
                  <w:tcBorders>
                    <w:tl2br w:val="nil"/>
                    <w:tr2bl w:val="nil"/>
                  </w:tcBorders>
                  <w:noWrap w:val="0"/>
                  <w:vAlign w:val="center"/>
                </w:tcPr>
                <w:p w14:paraId="6639EE9E">
                  <w:pPr>
                    <w:keepNext w:val="0"/>
                    <w:keepLines w:val="0"/>
                    <w:widowControl/>
                    <w:suppressLineNumbers w:val="0"/>
                    <w:overflowPunct/>
                    <w:autoSpaceDE/>
                    <w:autoSpaceDN/>
                    <w:adjustRightInd/>
                    <w:snapToGrid/>
                    <w:spacing w:before="0" w:after="0" w:line="240" w:lineRule="auto"/>
                    <w:ind w:left="0" w:right="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kern w:val="2"/>
                      <w:sz w:val="21"/>
                      <w:szCs w:val="21"/>
                      <w:highlight w:val="none"/>
                      <w:lang w:val="en-US" w:eastAsia="zh-CN" w:bidi="ar"/>
                    </w:rPr>
                    <w:t>每季度监测一次</w:t>
                  </w:r>
                </w:p>
              </w:tc>
            </w:tr>
            <w:tr w14:paraId="4E19E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988" w:type="dxa"/>
                  <w:vMerge w:val="continue"/>
                  <w:tcBorders>
                    <w:tl2br w:val="nil"/>
                    <w:tr2bl w:val="nil"/>
                  </w:tcBorders>
                  <w:noWrap w:val="0"/>
                  <w:vAlign w:val="center"/>
                </w:tcPr>
                <w:p w14:paraId="41000F54">
                  <w:pPr>
                    <w:keepNext w:val="0"/>
                    <w:keepLines w:val="0"/>
                    <w:widowControl w:val="0"/>
                    <w:suppressLineNumbers w:val="0"/>
                    <w:overflowPunct/>
                    <w:autoSpaceDE/>
                    <w:autoSpaceDN/>
                    <w:adjustRightInd w:val="0"/>
                    <w:snapToGrid w:val="0"/>
                    <w:spacing w:before="0" w:beforeAutospacing="0" w:after="0" w:afterAutospacing="0" w:line="28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rPr>
                  </w:pPr>
                </w:p>
              </w:tc>
              <w:tc>
                <w:tcPr>
                  <w:tcW w:w="2100" w:type="dxa"/>
                  <w:tcBorders>
                    <w:tl2br w:val="nil"/>
                    <w:tr2bl w:val="nil"/>
                  </w:tcBorders>
                  <w:noWrap w:val="0"/>
                  <w:vAlign w:val="center"/>
                </w:tcPr>
                <w:p w14:paraId="5303A8DC">
                  <w:pPr>
                    <w:keepNext w:val="0"/>
                    <w:keepLines w:val="0"/>
                    <w:widowControl/>
                    <w:suppressLineNumbers w:val="0"/>
                    <w:overflowPunct/>
                    <w:autoSpaceDE/>
                    <w:autoSpaceDN/>
                    <w:adjustRightInd/>
                    <w:snapToGrid/>
                    <w:spacing w:before="0" w:after="0" w:line="240" w:lineRule="auto"/>
                    <w:ind w:left="0" w:right="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kern w:val="2"/>
                      <w:sz w:val="21"/>
                      <w:szCs w:val="21"/>
                      <w:highlight w:val="none"/>
                      <w:lang w:val="en-US" w:eastAsia="zh-CN"/>
                    </w:rPr>
                    <w:t>监测方法</w:t>
                  </w:r>
                </w:p>
              </w:tc>
              <w:tc>
                <w:tcPr>
                  <w:tcW w:w="4830" w:type="dxa"/>
                  <w:tcBorders>
                    <w:tl2br w:val="nil"/>
                    <w:tr2bl w:val="nil"/>
                  </w:tcBorders>
                  <w:noWrap w:val="0"/>
                  <w:vAlign w:val="center"/>
                </w:tcPr>
                <w:p w14:paraId="0141530A">
                  <w:pPr>
                    <w:keepNext w:val="0"/>
                    <w:keepLines w:val="0"/>
                    <w:widowControl/>
                    <w:suppressLineNumbers w:val="0"/>
                    <w:overflowPunct/>
                    <w:autoSpaceDE/>
                    <w:autoSpaceDN/>
                    <w:adjustRightInd/>
                    <w:snapToGrid/>
                    <w:spacing w:before="0" w:after="0" w:line="240" w:lineRule="auto"/>
                    <w:ind w:left="0" w:right="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
                    </w:rPr>
                  </w:pPr>
                  <w:r>
                    <w:rPr>
                      <w:rFonts w:hint="default" w:ascii="Times New Roman" w:hAnsi="Times New Roman" w:eastAsia="宋体" w:cs="Times New Roman"/>
                      <w:color w:val="auto"/>
                      <w:kern w:val="2"/>
                      <w:sz w:val="21"/>
                      <w:szCs w:val="21"/>
                      <w:highlight w:val="none"/>
                      <w:lang w:val="en-US" w:eastAsia="zh-CN" w:bidi="ar"/>
                    </w:rPr>
                    <w:t>按照《工业企业厂界环境噪声排放标准》(GB12348-2008)的有关规定进行</w:t>
                  </w:r>
                </w:p>
              </w:tc>
            </w:tr>
          </w:tbl>
          <w:p w14:paraId="5D1DA772">
            <w:pPr>
              <w:pageBreakBefore w:val="0"/>
              <w:widowControl w:val="0"/>
              <w:kinsoku/>
              <w:wordWrap/>
              <w:overflowPunct/>
              <w:topLinePunct w:val="0"/>
              <w:autoSpaceDE/>
              <w:autoSpaceDN/>
              <w:bidi w:val="0"/>
              <w:adjustRightInd/>
              <w:snapToGrid/>
              <w:spacing w:before="0" w:after="0" w:line="480" w:lineRule="exact"/>
              <w:ind w:right="0"/>
              <w:jc w:val="both"/>
              <w:textAlignment w:val="auto"/>
              <w:rPr>
                <w:rFonts w:hint="default" w:ascii="Times New Roman" w:hAnsi="Times New Roman" w:eastAsia="宋体" w:cs="Times New Roman"/>
                <w:color w:val="auto"/>
                <w:kern w:val="2"/>
                <w:sz w:val="28"/>
                <w:szCs w:val="28"/>
                <w:highlight w:val="none"/>
                <w:lang w:val="en-US" w:eastAsia="zh-CN"/>
              </w:rPr>
            </w:pPr>
            <w:r>
              <w:rPr>
                <w:rFonts w:hint="eastAsia" w:cs="Times New Roman"/>
                <w:b/>
                <w:color w:val="auto"/>
                <w:kern w:val="2"/>
                <w:sz w:val="28"/>
                <w:szCs w:val="28"/>
                <w:highlight w:val="none"/>
                <w:lang w:val="en-US" w:eastAsia="zh-CN" w:bidi="ar-SA"/>
              </w:rPr>
              <w:t>4、</w:t>
            </w:r>
            <w:r>
              <w:rPr>
                <w:rFonts w:hint="default" w:ascii="Times New Roman" w:hAnsi="Times New Roman" w:eastAsia="宋体" w:cs="Times New Roman"/>
                <w:b/>
                <w:color w:val="auto"/>
                <w:kern w:val="2"/>
                <w:sz w:val="28"/>
                <w:szCs w:val="28"/>
                <w:highlight w:val="none"/>
                <w:lang w:val="en-US" w:eastAsia="zh-CN" w:bidi="ar-SA"/>
              </w:rPr>
              <w:t>固废</w:t>
            </w:r>
          </w:p>
          <w:p w14:paraId="67C89B7A">
            <w:pPr>
              <w:pageBreakBefore w:val="0"/>
              <w:widowControl w:val="0"/>
              <w:kinsoku/>
              <w:wordWrap/>
              <w:overflowPunct/>
              <w:topLinePunct w:val="0"/>
              <w:autoSpaceDE/>
              <w:autoSpaceDN/>
              <w:bidi w:val="0"/>
              <w:adjustRightInd/>
              <w:snapToGrid/>
              <w:spacing w:before="0" w:after="0" w:line="480" w:lineRule="exact"/>
              <w:ind w:left="0" w:right="0" w:firstLine="482" w:firstLineChars="200"/>
              <w:jc w:val="both"/>
              <w:textAlignment w:val="auto"/>
              <w:rPr>
                <w:rFonts w:hint="default" w:ascii="Times New Roman" w:hAnsi="Times New Roman" w:eastAsia="宋体" w:cs="Times New Roman"/>
                <w:b/>
                <w:bCs/>
                <w:color w:val="auto"/>
                <w:kern w:val="2"/>
                <w:sz w:val="24"/>
                <w:szCs w:val="20"/>
                <w:highlight w:val="none"/>
                <w:lang w:val="en-US" w:eastAsia="zh-CN"/>
              </w:rPr>
            </w:pPr>
            <w:r>
              <w:rPr>
                <w:rFonts w:hint="eastAsia" w:cs="Times New Roman"/>
                <w:b/>
                <w:bCs/>
                <w:color w:val="auto"/>
                <w:kern w:val="2"/>
                <w:sz w:val="24"/>
                <w:szCs w:val="20"/>
                <w:highlight w:val="none"/>
                <w:lang w:val="en-US" w:eastAsia="zh-CN"/>
              </w:rPr>
              <w:t>4.1</w:t>
            </w:r>
            <w:r>
              <w:rPr>
                <w:rFonts w:hint="default" w:ascii="Times New Roman" w:hAnsi="Times New Roman" w:eastAsia="宋体" w:cs="Times New Roman"/>
                <w:b/>
                <w:bCs/>
                <w:color w:val="auto"/>
                <w:kern w:val="2"/>
                <w:sz w:val="24"/>
                <w:szCs w:val="20"/>
                <w:highlight w:val="none"/>
                <w:lang w:val="en-US" w:eastAsia="zh-CN"/>
              </w:rPr>
              <w:t>固体废物产生情况</w:t>
            </w:r>
          </w:p>
          <w:p w14:paraId="0E9FADC3">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①生活垃圾</w:t>
            </w:r>
          </w:p>
          <w:p w14:paraId="179F0004">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本项目生活垃圾产生量以每人0.5kg/d计，年工作365天，故本项目生活垃圾产生量为1.825t/a，厂区内集中收集后委托环卫部门定期清运。</w:t>
            </w:r>
          </w:p>
          <w:p w14:paraId="7CF34490">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②一般工业固废</w:t>
            </w:r>
          </w:p>
          <w:p w14:paraId="548BF880">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eastAsia"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（1）除尘器粉尘</w:t>
            </w:r>
          </w:p>
          <w:p w14:paraId="23D216FF">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本项目除尘器收集粉尘产生量约为</w:t>
            </w:r>
            <w:r>
              <w:rPr>
                <w:rFonts w:hint="eastAsia" w:cs="Times New Roman"/>
                <w:color w:val="auto"/>
                <w:kern w:val="2"/>
                <w:sz w:val="24"/>
                <w:szCs w:val="24"/>
                <w:highlight w:val="none"/>
                <w:lang w:val="en-US" w:eastAsia="zh-CN" w:bidi="ar-SA"/>
              </w:rPr>
              <w:t>6.5268</w:t>
            </w:r>
            <w:r>
              <w:rPr>
                <w:rFonts w:hint="default" w:ascii="Times New Roman" w:hAnsi="Times New Roman" w:eastAsia="宋体" w:cs="Times New Roman"/>
                <w:color w:val="auto"/>
                <w:kern w:val="2"/>
                <w:sz w:val="24"/>
                <w:szCs w:val="24"/>
                <w:highlight w:val="none"/>
                <w:lang w:val="en-US" w:eastAsia="zh-CN" w:bidi="ar-SA"/>
              </w:rPr>
              <w:t>t/a，经收集后回用于生产</w:t>
            </w:r>
            <w:r>
              <w:rPr>
                <w:rFonts w:hint="eastAsia" w:cs="Times New Roman"/>
                <w:color w:val="auto"/>
                <w:lang w:val="en-US" w:eastAsia="zh-CN"/>
              </w:rPr>
              <w:t>，用作“干调理料”，调节含水率、提高有机质含量；粉尘需无异物、无结块、无霉变；回投比例一般 ≤5%–10%（湿基），避免C/N与养分波动过大；</w:t>
            </w:r>
          </w:p>
          <w:p w14:paraId="453F6C94">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cs="Times New Roman"/>
                <w:snapToGrid w:val="0"/>
                <w:color w:val="auto"/>
                <w:sz w:val="24"/>
                <w:szCs w:val="24"/>
                <w:highlight w:val="none"/>
                <w:lang w:val="en-US" w:eastAsia="zh-CN" w:bidi="ar-SA"/>
              </w:rPr>
            </w:pPr>
            <w:r>
              <w:rPr>
                <w:rFonts w:hint="eastAsia" w:cs="Times New Roman"/>
                <w:snapToGrid w:val="0"/>
                <w:color w:val="auto"/>
                <w:sz w:val="24"/>
                <w:szCs w:val="24"/>
                <w:highlight w:val="none"/>
                <w:lang w:val="en-US" w:eastAsia="zh-CN" w:bidi="ar-SA"/>
              </w:rPr>
              <w:t>（2）废包装袋</w:t>
            </w:r>
          </w:p>
          <w:p w14:paraId="4F9EEC35">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snapToGrid w:val="0"/>
                <w:color w:val="auto"/>
                <w:sz w:val="24"/>
                <w:szCs w:val="24"/>
                <w:highlight w:val="none"/>
                <w:lang w:val="en-US" w:eastAsia="zh-CN" w:bidi="ar-SA"/>
              </w:rPr>
              <w:t>本项目</w:t>
            </w:r>
            <w:r>
              <w:rPr>
                <w:rFonts w:hint="default" w:ascii="Times New Roman" w:hAnsi="Times New Roman" w:eastAsia="宋体" w:cs="Times New Roman"/>
                <w:color w:val="auto"/>
                <w:kern w:val="2"/>
                <w:sz w:val="24"/>
                <w:szCs w:val="24"/>
                <w:highlight w:val="none"/>
                <w:lang w:val="en-US" w:eastAsia="zh-CN" w:bidi="ar-SA"/>
              </w:rPr>
              <w:t>废包装材料（主要为废编织袋）产生量为0.1t/a，属于一般固废，收集后暂存于生产车间内，定期外售回收单位综合利用。</w:t>
            </w:r>
          </w:p>
          <w:p w14:paraId="2C997B9A">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eastAsia"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（3）不合格产品</w:t>
            </w:r>
          </w:p>
          <w:p w14:paraId="189A5478">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本项目筛分会产生一定量的不合格品，产生量约100t/a，集中收集后回用于生产</w:t>
            </w:r>
            <w:r>
              <w:rPr>
                <w:rFonts w:hint="eastAsia" w:cs="Times New Roman"/>
                <w:color w:val="auto"/>
                <w:kern w:val="2"/>
                <w:sz w:val="24"/>
                <w:szCs w:val="24"/>
                <w:highlight w:val="none"/>
                <w:lang w:val="en-US" w:eastAsia="zh-CN" w:bidi="ar-SA"/>
              </w:rPr>
              <w:t>，在回配料段（与新料混合）→ 重新进入一次发酵。</w:t>
            </w:r>
          </w:p>
          <w:p w14:paraId="635CF757">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eastAsia"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（4）废填料</w:t>
            </w:r>
          </w:p>
          <w:p w14:paraId="4758FCCC">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snapToGrid w:val="0"/>
                <w:color w:val="auto"/>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本项目废气处理会产生一定的废填料，产量为约1t/a，</w:t>
            </w:r>
            <w:r>
              <w:rPr>
                <w:rFonts w:hint="default" w:ascii="Times New Roman" w:hAnsi="Times New Roman" w:eastAsia="宋体" w:cs="Times New Roman"/>
                <w:snapToGrid w:val="0"/>
                <w:color w:val="auto"/>
                <w:sz w:val="24"/>
                <w:szCs w:val="24"/>
                <w:highlight w:val="none"/>
                <w:lang w:val="en-US" w:eastAsia="zh-CN" w:bidi="ar-SA"/>
              </w:rPr>
              <w:t>填料主要为聚丙烯小球、陶瓷、木炭等惰性填料，由于微生物对恶臭污染物气体进行脱除，微生物在降解过程中形成代谢污染物滤除干净，因此废填料不含有有毒有害气体，属于一般固废，集中收集后暂存于生产车间内，</w:t>
            </w:r>
            <w:r>
              <w:rPr>
                <w:rFonts w:hint="eastAsia" w:cs="Times New Roman"/>
                <w:snapToGrid w:val="0"/>
                <w:color w:val="auto"/>
                <w:sz w:val="24"/>
                <w:szCs w:val="24"/>
                <w:highlight w:val="none"/>
                <w:lang w:val="en-US" w:eastAsia="zh-CN" w:bidi="ar-SA"/>
              </w:rPr>
              <w:t>由</w:t>
            </w:r>
            <w:r>
              <w:rPr>
                <w:rFonts w:hint="default" w:ascii="Times New Roman" w:hAnsi="Times New Roman" w:eastAsia="宋体" w:cs="Times New Roman"/>
                <w:snapToGrid w:val="0"/>
                <w:color w:val="auto"/>
                <w:sz w:val="24"/>
                <w:szCs w:val="24"/>
                <w:highlight w:val="none"/>
                <w:lang w:val="en-US" w:eastAsia="zh-CN" w:bidi="ar-SA"/>
              </w:rPr>
              <w:t>厂家定期更换。</w:t>
            </w:r>
          </w:p>
          <w:p w14:paraId="4F8D3F64">
            <w:pPr>
              <w:keepNext w:val="0"/>
              <w:keepLines w:val="0"/>
              <w:pageBreakBefore w:val="0"/>
              <w:widowControl w:val="0"/>
              <w:kinsoku/>
              <w:wordWrap/>
              <w:overflowPunct/>
              <w:topLinePunct w:val="0"/>
              <w:autoSpaceDE/>
              <w:autoSpaceDN/>
              <w:bidi w:val="0"/>
              <w:adjustRightInd/>
              <w:snapToGrid/>
              <w:spacing w:line="480" w:lineRule="exact"/>
              <w:ind w:leftChars="0" w:firstLine="480" w:firstLineChars="200"/>
              <w:textAlignment w:val="auto"/>
              <w:rPr>
                <w:rFonts w:hint="default"/>
                <w:color w:val="auto"/>
                <w:highlight w:val="none"/>
                <w:lang w:val="en-US" w:eastAsia="zh-CN"/>
              </w:rPr>
            </w:pPr>
            <w:r>
              <w:rPr>
                <w:rFonts w:hint="eastAsia"/>
                <w:color w:val="auto"/>
                <w:highlight w:val="none"/>
                <w:lang w:eastAsia="zh-CN"/>
              </w:rPr>
              <w:t>（</w:t>
            </w:r>
            <w:r>
              <w:rPr>
                <w:rFonts w:hint="eastAsia"/>
                <w:color w:val="auto"/>
                <w:highlight w:val="none"/>
                <w:lang w:val="en-US" w:eastAsia="zh-CN"/>
              </w:rPr>
              <w:t>5</w:t>
            </w:r>
            <w:r>
              <w:rPr>
                <w:rFonts w:hint="eastAsia"/>
                <w:color w:val="auto"/>
                <w:highlight w:val="none"/>
                <w:lang w:eastAsia="zh-CN"/>
              </w:rPr>
              <w:t>）</w:t>
            </w:r>
            <w:r>
              <w:rPr>
                <w:rFonts w:hint="eastAsia"/>
                <w:color w:val="auto"/>
                <w:highlight w:val="none"/>
                <w:lang w:val="en-US" w:eastAsia="zh-CN"/>
              </w:rPr>
              <w:t>废布袋</w:t>
            </w:r>
          </w:p>
          <w:p w14:paraId="61828B8C">
            <w:pPr>
              <w:keepNext w:val="0"/>
              <w:keepLines w:val="0"/>
              <w:pageBreakBefore w:val="0"/>
              <w:widowControl w:val="0"/>
              <w:kinsoku/>
              <w:wordWrap/>
              <w:overflowPunct/>
              <w:topLinePunct w:val="0"/>
              <w:autoSpaceDE/>
              <w:autoSpaceDN/>
              <w:bidi w:val="0"/>
              <w:adjustRightInd/>
              <w:snapToGrid/>
              <w:spacing w:line="480" w:lineRule="exact"/>
              <w:ind w:leftChars="0" w:firstLine="480" w:firstLineChars="200"/>
              <w:textAlignment w:val="auto"/>
              <w:rPr>
                <w:rFonts w:hint="eastAsia" w:cs="Times New Roman"/>
                <w:color w:val="auto"/>
                <w:sz w:val="24"/>
                <w:szCs w:val="24"/>
                <w:highlight w:val="none"/>
                <w:lang w:val="en-US" w:eastAsia="zh-CN" w:bidi="ar-SA"/>
              </w:rPr>
            </w:pPr>
            <w:r>
              <w:rPr>
                <w:rFonts w:hint="eastAsia" w:cs="Times New Roman"/>
                <w:color w:val="auto"/>
                <w:sz w:val="24"/>
                <w:szCs w:val="24"/>
                <w:highlight w:val="none"/>
                <w:lang w:val="en-US" w:eastAsia="zh-CN" w:bidi="ar-SA"/>
              </w:rPr>
              <w:t>本项目设备在检修或维护过程中会产生更换的废布袋，产生量约为0.01t/a。该部分可交由厂家回收处置。</w:t>
            </w:r>
          </w:p>
          <w:p w14:paraId="35E606F5">
            <w:pPr>
              <w:keepNext w:val="0"/>
              <w:keepLines w:val="0"/>
              <w:pageBreakBefore w:val="0"/>
              <w:widowControl w:val="0"/>
              <w:kinsoku/>
              <w:wordWrap/>
              <w:overflowPunct/>
              <w:topLinePunct w:val="0"/>
              <w:autoSpaceDE/>
              <w:autoSpaceDN/>
              <w:bidi w:val="0"/>
              <w:adjustRightInd/>
              <w:snapToGrid/>
              <w:spacing w:line="480" w:lineRule="exact"/>
              <w:ind w:leftChars="0" w:firstLine="480" w:firstLineChars="200"/>
              <w:textAlignment w:val="auto"/>
              <w:rPr>
                <w:rFonts w:hint="eastAsia" w:cs="Times New Roman"/>
                <w:snapToGrid w:val="0"/>
                <w:color w:val="0000FF"/>
                <w:sz w:val="24"/>
                <w:szCs w:val="24"/>
                <w:highlight w:val="none"/>
                <w:lang w:val="en-US" w:eastAsia="zh-CN" w:bidi="ar-SA"/>
              </w:rPr>
            </w:pPr>
            <w:r>
              <w:rPr>
                <w:rFonts w:hint="eastAsia" w:cs="Times New Roman"/>
                <w:snapToGrid w:val="0"/>
                <w:color w:val="0000FF"/>
                <w:sz w:val="24"/>
                <w:szCs w:val="24"/>
                <w:highlight w:val="none"/>
                <w:lang w:val="en-US" w:eastAsia="zh-CN" w:bidi="ar-SA"/>
              </w:rPr>
              <w:t>③危险废物</w:t>
            </w:r>
          </w:p>
          <w:p w14:paraId="785657E8">
            <w:pPr>
              <w:keepNext w:val="0"/>
              <w:keepLines w:val="0"/>
              <w:pageBreakBefore w:val="0"/>
              <w:widowControl w:val="0"/>
              <w:kinsoku/>
              <w:wordWrap/>
              <w:overflowPunct/>
              <w:topLinePunct w:val="0"/>
              <w:autoSpaceDE/>
              <w:autoSpaceDN/>
              <w:bidi w:val="0"/>
              <w:adjustRightInd/>
              <w:snapToGrid/>
              <w:spacing w:line="480" w:lineRule="exact"/>
              <w:ind w:leftChars="0" w:firstLine="480" w:firstLineChars="200"/>
              <w:textAlignment w:val="auto"/>
              <w:rPr>
                <w:rFonts w:hint="default"/>
                <w:color w:val="0000FF"/>
                <w:highlight w:val="none"/>
                <w:lang w:val="en-US" w:eastAsia="zh-CN"/>
              </w:rPr>
            </w:pPr>
            <w:r>
              <w:rPr>
                <w:rFonts w:hint="eastAsia" w:cs="Times New Roman"/>
                <w:color w:val="0000FF"/>
                <w:sz w:val="24"/>
                <w:szCs w:val="24"/>
                <w:highlight w:val="none"/>
                <w:lang w:val="en-US" w:eastAsia="zh-CN" w:bidi="ar-SA"/>
              </w:rPr>
              <w:t>本项目发酵罐设备由于内置搅拌器，因此设备在检修或维护过程中会产生少量的废润滑油，产生量约为0.01t/a。根据《国家危险废物名录》，属名录中HW08废矿物油与含矿物油废物，行业来源为非特定行业，废物代码分别为900-217-08，属齿轮设备、机械维修和拆解过程中产生的废润滑油，危险特性为T，I。</w:t>
            </w:r>
            <w:r>
              <w:rPr>
                <w:rFonts w:hint="eastAsia"/>
                <w:color w:val="0000FF"/>
                <w:highlight w:val="none"/>
                <w:lang w:val="en-US" w:eastAsia="zh-CN"/>
              </w:rPr>
              <w:t>废机油暂存厂区新建5m</w:t>
            </w:r>
            <w:r>
              <w:rPr>
                <w:rFonts w:hint="eastAsia"/>
                <w:color w:val="0000FF"/>
                <w:highlight w:val="none"/>
                <w:vertAlign w:val="superscript"/>
                <w:lang w:val="en-US" w:eastAsia="zh-CN"/>
              </w:rPr>
              <w:t>2</w:t>
            </w:r>
            <w:r>
              <w:rPr>
                <w:rFonts w:hint="eastAsia"/>
                <w:color w:val="0000FF"/>
                <w:highlight w:val="none"/>
                <w:lang w:val="en-US" w:eastAsia="zh-CN"/>
              </w:rPr>
              <w:t>危废间，定期交由资质单位处置。</w:t>
            </w:r>
          </w:p>
          <w:p w14:paraId="1232EA16">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default" w:ascii="Times New Roman" w:hAnsi="Times New Roman" w:eastAsia="宋体" w:cs="Times New Roman"/>
                <w:b/>
                <w:bCs/>
                <w:color w:val="auto"/>
                <w:kern w:val="2"/>
                <w:sz w:val="21"/>
                <w:szCs w:val="16"/>
                <w:highlight w:val="none"/>
                <w:vertAlign w:val="baseline"/>
                <w:lang w:val="en-US" w:eastAsia="zh-CN"/>
              </w:rPr>
            </w:pPr>
            <w:r>
              <w:rPr>
                <w:rFonts w:hint="default" w:ascii="Times New Roman" w:hAnsi="Times New Roman" w:eastAsia="宋体" w:cs="Times New Roman"/>
                <w:b/>
                <w:bCs/>
                <w:color w:val="auto"/>
                <w:kern w:val="2"/>
                <w:sz w:val="21"/>
                <w:szCs w:val="16"/>
                <w:highlight w:val="none"/>
                <w:vertAlign w:val="baseline"/>
                <w:lang w:val="en-US" w:eastAsia="zh-CN"/>
              </w:rPr>
              <w:t>表4.8-1本项目固体废物产生情况一览表</w:t>
            </w:r>
          </w:p>
          <w:tbl>
            <w:tblPr>
              <w:tblStyle w:val="22"/>
              <w:tblW w:w="850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383"/>
              <w:gridCol w:w="775"/>
              <w:gridCol w:w="572"/>
              <w:gridCol w:w="930"/>
              <w:gridCol w:w="775"/>
              <w:gridCol w:w="749"/>
              <w:gridCol w:w="812"/>
              <w:gridCol w:w="600"/>
              <w:gridCol w:w="382"/>
              <w:gridCol w:w="447"/>
              <w:gridCol w:w="525"/>
              <w:gridCol w:w="416"/>
              <w:gridCol w:w="1138"/>
            </w:tblGrid>
            <w:tr w14:paraId="6E2C83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3" w:hRule="atLeast"/>
                <w:jc w:val="center"/>
              </w:trPr>
              <w:tc>
                <w:tcPr>
                  <w:tcW w:w="225" w:type="pct"/>
                  <w:noWrap w:val="0"/>
                  <w:vAlign w:val="center"/>
                </w:tcPr>
                <w:p w14:paraId="42195532">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bidi="ar"/>
                    </w:rPr>
                  </w:pPr>
                  <w:r>
                    <w:rPr>
                      <w:rFonts w:hint="default" w:ascii="Times New Roman" w:hAnsi="Times New Roman" w:eastAsia="宋体" w:cs="Times New Roman"/>
                      <w:color w:val="auto"/>
                      <w:kern w:val="0"/>
                      <w:sz w:val="21"/>
                      <w:szCs w:val="21"/>
                      <w:highlight w:val="none"/>
                      <w:lang w:bidi="ar"/>
                    </w:rPr>
                    <w:t>序号</w:t>
                  </w:r>
                </w:p>
              </w:tc>
              <w:tc>
                <w:tcPr>
                  <w:tcW w:w="455" w:type="pct"/>
                  <w:noWrap w:val="0"/>
                  <w:vAlign w:val="center"/>
                </w:tcPr>
                <w:p w14:paraId="5BAD83E5">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名称</w:t>
                  </w:r>
                </w:p>
              </w:tc>
              <w:tc>
                <w:tcPr>
                  <w:tcW w:w="336" w:type="pct"/>
                  <w:noWrap w:val="0"/>
                  <w:vAlign w:val="center"/>
                </w:tcPr>
                <w:p w14:paraId="07A0B274">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产生环节</w:t>
                  </w:r>
                </w:p>
              </w:tc>
              <w:tc>
                <w:tcPr>
                  <w:tcW w:w="546" w:type="pct"/>
                  <w:noWrap w:val="0"/>
                  <w:vAlign w:val="center"/>
                </w:tcPr>
                <w:p w14:paraId="1E5A6EA5">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属性</w:t>
                  </w:r>
                </w:p>
              </w:tc>
              <w:tc>
                <w:tcPr>
                  <w:tcW w:w="455" w:type="pct"/>
                  <w:noWrap w:val="0"/>
                  <w:vAlign w:val="center"/>
                </w:tcPr>
                <w:p w14:paraId="6489BF95">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一般固体废物分类代码</w:t>
                  </w:r>
                </w:p>
              </w:tc>
              <w:tc>
                <w:tcPr>
                  <w:tcW w:w="440" w:type="pct"/>
                  <w:noWrap w:val="0"/>
                  <w:vAlign w:val="center"/>
                </w:tcPr>
                <w:p w14:paraId="421E3637">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废物代码</w:t>
                  </w:r>
                </w:p>
              </w:tc>
              <w:tc>
                <w:tcPr>
                  <w:tcW w:w="477" w:type="pct"/>
                  <w:noWrap w:val="0"/>
                  <w:vAlign w:val="center"/>
                </w:tcPr>
                <w:p w14:paraId="2A60F980">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产生量（t/a）</w:t>
                  </w:r>
                </w:p>
              </w:tc>
              <w:tc>
                <w:tcPr>
                  <w:tcW w:w="352" w:type="pct"/>
                  <w:noWrap w:val="0"/>
                  <w:vAlign w:val="center"/>
                </w:tcPr>
                <w:p w14:paraId="2F84352C">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最大储存量（t）</w:t>
                  </w:r>
                </w:p>
              </w:tc>
              <w:tc>
                <w:tcPr>
                  <w:tcW w:w="224" w:type="pct"/>
                  <w:noWrap w:val="0"/>
                  <w:vAlign w:val="center"/>
                </w:tcPr>
                <w:p w14:paraId="356D1F84">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形态</w:t>
                  </w:r>
                </w:p>
              </w:tc>
              <w:tc>
                <w:tcPr>
                  <w:tcW w:w="262" w:type="pct"/>
                  <w:noWrap w:val="0"/>
                  <w:vAlign w:val="center"/>
                </w:tcPr>
                <w:p w14:paraId="761160A1">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有害成分</w:t>
                  </w:r>
                </w:p>
              </w:tc>
              <w:tc>
                <w:tcPr>
                  <w:tcW w:w="308" w:type="pct"/>
                  <w:noWrap w:val="0"/>
                  <w:vAlign w:val="center"/>
                </w:tcPr>
                <w:p w14:paraId="15B783F7">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危险特性</w:t>
                  </w:r>
                </w:p>
              </w:tc>
              <w:tc>
                <w:tcPr>
                  <w:tcW w:w="244" w:type="pct"/>
                  <w:noWrap w:val="0"/>
                  <w:vAlign w:val="center"/>
                </w:tcPr>
                <w:p w14:paraId="279A15E5">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包装方式</w:t>
                  </w:r>
                </w:p>
              </w:tc>
              <w:tc>
                <w:tcPr>
                  <w:tcW w:w="669" w:type="pct"/>
                  <w:noWrap w:val="0"/>
                  <w:vAlign w:val="center"/>
                </w:tcPr>
                <w:p w14:paraId="694A69F8">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处置方式</w:t>
                  </w:r>
                </w:p>
              </w:tc>
            </w:tr>
            <w:tr w14:paraId="435885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14" w:hRule="atLeast"/>
                <w:jc w:val="center"/>
              </w:trPr>
              <w:tc>
                <w:tcPr>
                  <w:tcW w:w="225" w:type="pct"/>
                  <w:noWrap w:val="0"/>
                  <w:vAlign w:val="center"/>
                </w:tcPr>
                <w:p w14:paraId="25FA1559">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1</w:t>
                  </w:r>
                </w:p>
              </w:tc>
              <w:tc>
                <w:tcPr>
                  <w:tcW w:w="455" w:type="pct"/>
                  <w:noWrap w:val="0"/>
                  <w:vAlign w:val="center"/>
                </w:tcPr>
                <w:p w14:paraId="31DB5473">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生活垃圾</w:t>
                  </w:r>
                </w:p>
              </w:tc>
              <w:tc>
                <w:tcPr>
                  <w:tcW w:w="336" w:type="pct"/>
                  <w:noWrap w:val="0"/>
                  <w:vAlign w:val="center"/>
                </w:tcPr>
                <w:p w14:paraId="5F8C14CF">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办公生活区</w:t>
                  </w:r>
                </w:p>
              </w:tc>
              <w:tc>
                <w:tcPr>
                  <w:tcW w:w="546" w:type="pct"/>
                  <w:noWrap w:val="0"/>
                  <w:vAlign w:val="center"/>
                </w:tcPr>
                <w:p w14:paraId="46F4195F">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w:t>
                  </w:r>
                </w:p>
              </w:tc>
              <w:tc>
                <w:tcPr>
                  <w:tcW w:w="455" w:type="pct"/>
                  <w:noWrap w:val="0"/>
                  <w:vAlign w:val="center"/>
                </w:tcPr>
                <w:p w14:paraId="47F61E51">
                  <w:pPr>
                    <w:pStyle w:val="48"/>
                    <w:keepNext w:val="0"/>
                    <w:keepLines w:val="0"/>
                    <w:suppressLineNumbers w:val="0"/>
                    <w:spacing w:before="0" w:beforeAutospacing="0" w:after="0" w:afterAutospacing="0"/>
                    <w:ind w:left="0" w:right="0" w:firstLine="0" w:firstLineChars="0"/>
                    <w:jc w:val="center"/>
                    <w:rPr>
                      <w:rFonts w:hint="eastAsia" w:cs="宋体"/>
                      <w:color w:val="auto"/>
                      <w:sz w:val="21"/>
                      <w:szCs w:val="21"/>
                      <w:lang w:val="en-US" w:eastAsia="zh-CN"/>
                    </w:rPr>
                  </w:pPr>
                  <w:r>
                    <w:rPr>
                      <w:rFonts w:hint="eastAsia" w:cs="宋体"/>
                      <w:color w:val="auto"/>
                      <w:sz w:val="21"/>
                      <w:szCs w:val="21"/>
                      <w:lang w:val="en-US" w:eastAsia="zh-CN"/>
                    </w:rPr>
                    <w:t>900-002-S61</w:t>
                  </w:r>
                </w:p>
                <w:p w14:paraId="25FDA427">
                  <w:pPr>
                    <w:pStyle w:val="48"/>
                    <w:keepNext w:val="0"/>
                    <w:keepLines w:val="0"/>
                    <w:suppressLineNumbers w:val="0"/>
                    <w:spacing w:before="0" w:beforeAutospacing="0" w:after="0" w:afterAutospacing="0"/>
                    <w:ind w:left="0" w:right="0" w:firstLine="0" w:firstLineChars="0"/>
                    <w:jc w:val="center"/>
                    <w:rPr>
                      <w:rFonts w:hint="eastAsia" w:cs="宋体"/>
                      <w:color w:val="auto"/>
                      <w:sz w:val="21"/>
                      <w:szCs w:val="21"/>
                      <w:lang w:val="en-US" w:eastAsia="zh-CN"/>
                    </w:rPr>
                  </w:pPr>
                  <w:r>
                    <w:rPr>
                      <w:rFonts w:hint="eastAsia" w:cs="宋体"/>
                      <w:color w:val="auto"/>
                      <w:sz w:val="21"/>
                      <w:szCs w:val="21"/>
                      <w:lang w:val="en-US" w:eastAsia="zh-CN"/>
                    </w:rPr>
                    <w:t>900-001-S62</w:t>
                  </w:r>
                </w:p>
                <w:p w14:paraId="6449274E">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宋体"/>
                      <w:color w:val="auto"/>
                      <w:sz w:val="21"/>
                      <w:szCs w:val="21"/>
                      <w:lang w:val="en-US" w:eastAsia="zh-CN"/>
                    </w:rPr>
                    <w:t>900-002-S62</w:t>
                  </w:r>
                </w:p>
              </w:tc>
              <w:tc>
                <w:tcPr>
                  <w:tcW w:w="440" w:type="pct"/>
                  <w:noWrap w:val="0"/>
                  <w:vAlign w:val="center"/>
                </w:tcPr>
                <w:p w14:paraId="3121DDFE">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SW61厨余垃圾</w:t>
                  </w:r>
                </w:p>
                <w:p w14:paraId="6F8F083F">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SW62可回收物</w:t>
                  </w:r>
                </w:p>
              </w:tc>
              <w:tc>
                <w:tcPr>
                  <w:tcW w:w="477" w:type="pct"/>
                  <w:noWrap w:val="0"/>
                  <w:vAlign w:val="center"/>
                </w:tcPr>
                <w:p w14:paraId="6907AFA0">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1.825</w:t>
                  </w:r>
                </w:p>
              </w:tc>
              <w:tc>
                <w:tcPr>
                  <w:tcW w:w="352" w:type="pct"/>
                  <w:noWrap w:val="0"/>
                  <w:vAlign w:val="center"/>
                </w:tcPr>
                <w:p w14:paraId="4C5552D7">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0.5</w:t>
                  </w:r>
                </w:p>
              </w:tc>
              <w:tc>
                <w:tcPr>
                  <w:tcW w:w="224" w:type="pct"/>
                  <w:noWrap w:val="0"/>
                  <w:vAlign w:val="center"/>
                </w:tcPr>
                <w:p w14:paraId="37D66AA4">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固</w:t>
                  </w:r>
                </w:p>
              </w:tc>
              <w:tc>
                <w:tcPr>
                  <w:tcW w:w="262" w:type="pct"/>
                  <w:noWrap w:val="0"/>
                  <w:vAlign w:val="center"/>
                </w:tcPr>
                <w:p w14:paraId="2EE9A111">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w:t>
                  </w:r>
                </w:p>
              </w:tc>
              <w:tc>
                <w:tcPr>
                  <w:tcW w:w="308" w:type="pct"/>
                  <w:noWrap w:val="0"/>
                  <w:vAlign w:val="center"/>
                </w:tcPr>
                <w:p w14:paraId="24487FC6">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w:t>
                  </w:r>
                </w:p>
              </w:tc>
              <w:tc>
                <w:tcPr>
                  <w:tcW w:w="244" w:type="pct"/>
                  <w:noWrap w:val="0"/>
                  <w:vAlign w:val="center"/>
                </w:tcPr>
                <w:p w14:paraId="0CC1EBDA">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桶装</w:t>
                  </w:r>
                </w:p>
              </w:tc>
              <w:tc>
                <w:tcPr>
                  <w:tcW w:w="669" w:type="pct"/>
                  <w:noWrap w:val="0"/>
                  <w:vAlign w:val="center"/>
                </w:tcPr>
                <w:p w14:paraId="63657C9D">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暂存于垃圾箱内，委托环卫部门定期清运</w:t>
                  </w:r>
                </w:p>
              </w:tc>
            </w:tr>
            <w:tr w14:paraId="6D1776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14" w:hRule="atLeast"/>
                <w:jc w:val="center"/>
              </w:trPr>
              <w:tc>
                <w:tcPr>
                  <w:tcW w:w="225" w:type="pct"/>
                  <w:noWrap w:val="0"/>
                  <w:vAlign w:val="center"/>
                </w:tcPr>
                <w:p w14:paraId="4F2DB3B1">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2</w:t>
                  </w:r>
                </w:p>
              </w:tc>
              <w:tc>
                <w:tcPr>
                  <w:tcW w:w="455" w:type="pct"/>
                  <w:noWrap w:val="0"/>
                  <w:vAlign w:val="center"/>
                </w:tcPr>
                <w:p w14:paraId="3A9F7FE5">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废气治理</w:t>
                  </w:r>
                </w:p>
              </w:tc>
              <w:tc>
                <w:tcPr>
                  <w:tcW w:w="336" w:type="pct"/>
                  <w:noWrap w:val="0"/>
                  <w:vAlign w:val="center"/>
                </w:tcPr>
                <w:p w14:paraId="364D83DC">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除尘灰</w:t>
                  </w:r>
                </w:p>
              </w:tc>
              <w:tc>
                <w:tcPr>
                  <w:tcW w:w="546" w:type="pct"/>
                  <w:noWrap w:val="0"/>
                  <w:vAlign w:val="center"/>
                </w:tcPr>
                <w:p w14:paraId="7C4A02E8">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一般固废</w:t>
                  </w:r>
                </w:p>
              </w:tc>
              <w:tc>
                <w:tcPr>
                  <w:tcW w:w="455" w:type="pct"/>
                  <w:noWrap w:val="0"/>
                  <w:vAlign w:val="center"/>
                </w:tcPr>
                <w:p w14:paraId="74E79410">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宋体"/>
                      <w:color w:val="auto"/>
                      <w:sz w:val="21"/>
                      <w:szCs w:val="21"/>
                      <w:highlight w:val="none"/>
                      <w:lang w:val="en-US" w:eastAsia="zh-CN"/>
                    </w:rPr>
                    <w:t>900-099-S59</w:t>
                  </w:r>
                </w:p>
              </w:tc>
              <w:tc>
                <w:tcPr>
                  <w:tcW w:w="440" w:type="pct"/>
                  <w:noWrap w:val="0"/>
                  <w:vAlign w:val="center"/>
                </w:tcPr>
                <w:p w14:paraId="5836E5A4">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SW59其他工业固体废物</w:t>
                  </w:r>
                </w:p>
              </w:tc>
              <w:tc>
                <w:tcPr>
                  <w:tcW w:w="477" w:type="pct"/>
                  <w:noWrap w:val="0"/>
                  <w:vAlign w:val="center"/>
                </w:tcPr>
                <w:p w14:paraId="6366CC8D">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6.5268</w:t>
                  </w:r>
                </w:p>
              </w:tc>
              <w:tc>
                <w:tcPr>
                  <w:tcW w:w="352" w:type="pct"/>
                  <w:noWrap w:val="0"/>
                  <w:vAlign w:val="center"/>
                </w:tcPr>
                <w:p w14:paraId="64636E99">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w:t>
                  </w:r>
                </w:p>
              </w:tc>
              <w:tc>
                <w:tcPr>
                  <w:tcW w:w="224" w:type="pct"/>
                  <w:noWrap w:val="0"/>
                  <w:vAlign w:val="center"/>
                </w:tcPr>
                <w:p w14:paraId="2EE05BAA">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固</w:t>
                  </w:r>
                </w:p>
              </w:tc>
              <w:tc>
                <w:tcPr>
                  <w:tcW w:w="262" w:type="pct"/>
                  <w:noWrap w:val="0"/>
                  <w:vAlign w:val="center"/>
                </w:tcPr>
                <w:p w14:paraId="73A17C5B">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w:t>
                  </w:r>
                </w:p>
              </w:tc>
              <w:tc>
                <w:tcPr>
                  <w:tcW w:w="308" w:type="pct"/>
                  <w:noWrap w:val="0"/>
                  <w:vAlign w:val="center"/>
                </w:tcPr>
                <w:p w14:paraId="518FF09D">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w:t>
                  </w:r>
                </w:p>
              </w:tc>
              <w:tc>
                <w:tcPr>
                  <w:tcW w:w="244" w:type="pct"/>
                  <w:noWrap w:val="0"/>
                  <w:vAlign w:val="center"/>
                </w:tcPr>
                <w:p w14:paraId="3A2481BE">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w:t>
                  </w:r>
                </w:p>
              </w:tc>
              <w:tc>
                <w:tcPr>
                  <w:tcW w:w="669" w:type="pct"/>
                  <w:noWrap w:val="0"/>
                  <w:vAlign w:val="center"/>
                </w:tcPr>
                <w:p w14:paraId="0DE03E41">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暂存于</w:t>
                  </w:r>
                  <w:r>
                    <w:rPr>
                      <w:rFonts w:hint="eastAsia" w:cs="Times New Roman"/>
                      <w:color w:val="auto"/>
                      <w:kern w:val="0"/>
                      <w:sz w:val="21"/>
                      <w:szCs w:val="21"/>
                      <w:highlight w:val="none"/>
                      <w:lang w:val="en-US" w:eastAsia="zh-CN" w:bidi="ar"/>
                    </w:rPr>
                    <w:t>生产车间</w:t>
                  </w:r>
                  <w:r>
                    <w:rPr>
                      <w:rFonts w:hint="default" w:ascii="Times New Roman" w:hAnsi="Times New Roman" w:eastAsia="宋体" w:cs="Times New Roman"/>
                      <w:color w:val="auto"/>
                      <w:kern w:val="0"/>
                      <w:sz w:val="21"/>
                      <w:szCs w:val="21"/>
                      <w:highlight w:val="none"/>
                      <w:lang w:val="en-US" w:eastAsia="zh-CN" w:bidi="ar"/>
                    </w:rPr>
                    <w:t>，回用于生产</w:t>
                  </w:r>
                </w:p>
              </w:tc>
            </w:tr>
            <w:tr w14:paraId="638865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14" w:hRule="atLeast"/>
                <w:jc w:val="center"/>
              </w:trPr>
              <w:tc>
                <w:tcPr>
                  <w:tcW w:w="225" w:type="pct"/>
                  <w:noWrap w:val="0"/>
                  <w:vAlign w:val="center"/>
                </w:tcPr>
                <w:p w14:paraId="49E27C8D">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3</w:t>
                  </w:r>
                </w:p>
              </w:tc>
              <w:tc>
                <w:tcPr>
                  <w:tcW w:w="455" w:type="pct"/>
                  <w:noWrap w:val="0"/>
                  <w:vAlign w:val="center"/>
                </w:tcPr>
                <w:p w14:paraId="15CB3434">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投料生产</w:t>
                  </w:r>
                </w:p>
              </w:tc>
              <w:tc>
                <w:tcPr>
                  <w:tcW w:w="336" w:type="pct"/>
                  <w:noWrap w:val="0"/>
                  <w:vAlign w:val="center"/>
                </w:tcPr>
                <w:p w14:paraId="7E0FB9D9">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废包装袋</w:t>
                  </w:r>
                </w:p>
              </w:tc>
              <w:tc>
                <w:tcPr>
                  <w:tcW w:w="546" w:type="pct"/>
                  <w:noWrap w:val="0"/>
                  <w:vAlign w:val="center"/>
                </w:tcPr>
                <w:p w14:paraId="69514320">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一般固废</w:t>
                  </w:r>
                </w:p>
              </w:tc>
              <w:tc>
                <w:tcPr>
                  <w:tcW w:w="455" w:type="pct"/>
                  <w:noWrap w:val="0"/>
                  <w:vAlign w:val="center"/>
                </w:tcPr>
                <w:p w14:paraId="2CC98087">
                  <w:pPr>
                    <w:pStyle w:val="48"/>
                    <w:keepNext w:val="0"/>
                    <w:keepLines w:val="0"/>
                    <w:pageBreakBefore w:val="0"/>
                    <w:kinsoku/>
                    <w:wordWrap/>
                    <w:topLinePunct w:val="0"/>
                    <w:autoSpaceDE w:val="0"/>
                    <w:autoSpaceDN w:val="0"/>
                    <w:bidi w:val="0"/>
                    <w:adjustRightInd w:val="0"/>
                    <w:snapToGrid w:val="0"/>
                    <w:ind w:firstLine="0" w:firstLineChars="0"/>
                    <w:jc w:val="center"/>
                    <w:rPr>
                      <w:rFonts w:hint="eastAsia" w:cs="宋体"/>
                      <w:color w:val="auto"/>
                      <w:sz w:val="21"/>
                      <w:szCs w:val="21"/>
                      <w:highlight w:val="none"/>
                      <w:lang w:val="en-US" w:eastAsia="zh-CN"/>
                    </w:rPr>
                  </w:pPr>
                  <w:r>
                    <w:rPr>
                      <w:rFonts w:hint="eastAsia" w:cs="宋体"/>
                      <w:color w:val="auto"/>
                      <w:sz w:val="21"/>
                      <w:szCs w:val="21"/>
                      <w:highlight w:val="none"/>
                      <w:lang w:val="en-US" w:eastAsia="zh-CN"/>
                    </w:rPr>
                    <w:t>900-003-S17</w:t>
                  </w:r>
                </w:p>
                <w:p w14:paraId="45B64BF3">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宋体"/>
                      <w:color w:val="auto"/>
                      <w:sz w:val="21"/>
                      <w:szCs w:val="21"/>
                      <w:highlight w:val="none"/>
                      <w:lang w:val="en-US" w:eastAsia="zh-CN"/>
                    </w:rPr>
                    <w:t>900-005-S17</w:t>
                  </w:r>
                </w:p>
              </w:tc>
              <w:tc>
                <w:tcPr>
                  <w:tcW w:w="440" w:type="pct"/>
                  <w:noWrap w:val="0"/>
                  <w:vAlign w:val="center"/>
                </w:tcPr>
                <w:p w14:paraId="354FF2CB">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SW17可再生类废物</w:t>
                  </w:r>
                </w:p>
              </w:tc>
              <w:tc>
                <w:tcPr>
                  <w:tcW w:w="477" w:type="pct"/>
                  <w:noWrap w:val="0"/>
                  <w:vAlign w:val="center"/>
                </w:tcPr>
                <w:p w14:paraId="789409DB">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0.1</w:t>
                  </w:r>
                </w:p>
              </w:tc>
              <w:tc>
                <w:tcPr>
                  <w:tcW w:w="352" w:type="pct"/>
                  <w:noWrap w:val="0"/>
                  <w:vAlign w:val="center"/>
                </w:tcPr>
                <w:p w14:paraId="5CDC9E2B">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w:t>
                  </w:r>
                </w:p>
              </w:tc>
              <w:tc>
                <w:tcPr>
                  <w:tcW w:w="224" w:type="pct"/>
                  <w:noWrap w:val="0"/>
                  <w:vAlign w:val="center"/>
                </w:tcPr>
                <w:p w14:paraId="1886D553">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固</w:t>
                  </w:r>
                </w:p>
              </w:tc>
              <w:tc>
                <w:tcPr>
                  <w:tcW w:w="262" w:type="pct"/>
                  <w:noWrap w:val="0"/>
                  <w:vAlign w:val="center"/>
                </w:tcPr>
                <w:p w14:paraId="553C8578">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w:t>
                  </w:r>
                </w:p>
              </w:tc>
              <w:tc>
                <w:tcPr>
                  <w:tcW w:w="308" w:type="pct"/>
                  <w:noWrap w:val="0"/>
                  <w:vAlign w:val="center"/>
                </w:tcPr>
                <w:p w14:paraId="3F2BDE55">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w:t>
                  </w:r>
                </w:p>
              </w:tc>
              <w:tc>
                <w:tcPr>
                  <w:tcW w:w="244" w:type="pct"/>
                  <w:noWrap w:val="0"/>
                  <w:vAlign w:val="center"/>
                </w:tcPr>
                <w:p w14:paraId="33E60FFA">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w:t>
                  </w:r>
                </w:p>
              </w:tc>
              <w:tc>
                <w:tcPr>
                  <w:tcW w:w="669" w:type="pct"/>
                  <w:noWrap w:val="0"/>
                  <w:vAlign w:val="center"/>
                </w:tcPr>
                <w:p w14:paraId="1D53CB59">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暂存于生产车间，外售综合利用</w:t>
                  </w:r>
                </w:p>
              </w:tc>
            </w:tr>
            <w:tr w14:paraId="15D118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14" w:hRule="atLeast"/>
                <w:jc w:val="center"/>
              </w:trPr>
              <w:tc>
                <w:tcPr>
                  <w:tcW w:w="225" w:type="pct"/>
                  <w:noWrap w:val="0"/>
                  <w:vAlign w:val="center"/>
                </w:tcPr>
                <w:p w14:paraId="493A8CE9">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4</w:t>
                  </w:r>
                </w:p>
              </w:tc>
              <w:tc>
                <w:tcPr>
                  <w:tcW w:w="455" w:type="pct"/>
                  <w:noWrap w:val="0"/>
                  <w:vAlign w:val="center"/>
                </w:tcPr>
                <w:p w14:paraId="3D54528A">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不合格品</w:t>
                  </w:r>
                </w:p>
              </w:tc>
              <w:tc>
                <w:tcPr>
                  <w:tcW w:w="336" w:type="pct"/>
                  <w:noWrap w:val="0"/>
                  <w:vAlign w:val="center"/>
                </w:tcPr>
                <w:p w14:paraId="2004EE24">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筛分</w:t>
                  </w:r>
                </w:p>
              </w:tc>
              <w:tc>
                <w:tcPr>
                  <w:tcW w:w="546" w:type="pct"/>
                  <w:noWrap w:val="0"/>
                  <w:vAlign w:val="center"/>
                </w:tcPr>
                <w:p w14:paraId="1ACE254B">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一般固废</w:t>
                  </w:r>
                </w:p>
              </w:tc>
              <w:tc>
                <w:tcPr>
                  <w:tcW w:w="455" w:type="pct"/>
                  <w:noWrap w:val="0"/>
                  <w:vAlign w:val="center"/>
                </w:tcPr>
                <w:p w14:paraId="6FC3673A">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宋体"/>
                      <w:color w:val="auto"/>
                      <w:sz w:val="21"/>
                      <w:szCs w:val="21"/>
                      <w:highlight w:val="none"/>
                      <w:lang w:val="en-US" w:eastAsia="zh-CN"/>
                    </w:rPr>
                    <w:t>900-099-S59</w:t>
                  </w:r>
                </w:p>
              </w:tc>
              <w:tc>
                <w:tcPr>
                  <w:tcW w:w="440" w:type="pct"/>
                  <w:noWrap w:val="0"/>
                  <w:vAlign w:val="center"/>
                </w:tcPr>
                <w:p w14:paraId="1AEF73C6">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SW59其他工业固体废物</w:t>
                  </w:r>
                </w:p>
              </w:tc>
              <w:tc>
                <w:tcPr>
                  <w:tcW w:w="477" w:type="pct"/>
                  <w:noWrap w:val="0"/>
                  <w:vAlign w:val="center"/>
                </w:tcPr>
                <w:p w14:paraId="23DE527D">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100</w:t>
                  </w:r>
                </w:p>
              </w:tc>
              <w:tc>
                <w:tcPr>
                  <w:tcW w:w="352" w:type="pct"/>
                  <w:noWrap w:val="0"/>
                  <w:vAlign w:val="center"/>
                </w:tcPr>
                <w:p w14:paraId="6292D49D">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10000</w:t>
                  </w:r>
                </w:p>
              </w:tc>
              <w:tc>
                <w:tcPr>
                  <w:tcW w:w="224" w:type="pct"/>
                  <w:noWrap w:val="0"/>
                  <w:vAlign w:val="center"/>
                </w:tcPr>
                <w:p w14:paraId="0F347D19">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固</w:t>
                  </w:r>
                </w:p>
              </w:tc>
              <w:tc>
                <w:tcPr>
                  <w:tcW w:w="262" w:type="pct"/>
                  <w:noWrap w:val="0"/>
                  <w:vAlign w:val="center"/>
                </w:tcPr>
                <w:p w14:paraId="1B068FCC">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w:t>
                  </w:r>
                </w:p>
              </w:tc>
              <w:tc>
                <w:tcPr>
                  <w:tcW w:w="308" w:type="pct"/>
                  <w:noWrap w:val="0"/>
                  <w:vAlign w:val="center"/>
                </w:tcPr>
                <w:p w14:paraId="5AF2F2D8">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w:t>
                  </w:r>
                </w:p>
              </w:tc>
              <w:tc>
                <w:tcPr>
                  <w:tcW w:w="244" w:type="pct"/>
                  <w:noWrap w:val="0"/>
                  <w:vAlign w:val="center"/>
                </w:tcPr>
                <w:p w14:paraId="0A488138">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w:t>
                  </w:r>
                </w:p>
              </w:tc>
              <w:tc>
                <w:tcPr>
                  <w:tcW w:w="669" w:type="pct"/>
                  <w:noWrap w:val="0"/>
                  <w:vAlign w:val="center"/>
                </w:tcPr>
                <w:p w14:paraId="4F5947B4">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暂存于</w:t>
                  </w:r>
                  <w:r>
                    <w:rPr>
                      <w:rFonts w:hint="eastAsia" w:cs="Times New Roman"/>
                      <w:color w:val="auto"/>
                      <w:kern w:val="0"/>
                      <w:sz w:val="21"/>
                      <w:szCs w:val="21"/>
                      <w:highlight w:val="none"/>
                      <w:lang w:val="en-US" w:eastAsia="zh-CN" w:bidi="ar"/>
                    </w:rPr>
                    <w:t>生产车间</w:t>
                  </w:r>
                  <w:r>
                    <w:rPr>
                      <w:rFonts w:hint="default" w:ascii="Times New Roman" w:hAnsi="Times New Roman" w:eastAsia="宋体" w:cs="Times New Roman"/>
                      <w:color w:val="auto"/>
                      <w:kern w:val="0"/>
                      <w:sz w:val="21"/>
                      <w:szCs w:val="21"/>
                      <w:highlight w:val="none"/>
                      <w:lang w:val="en-US" w:eastAsia="zh-CN" w:bidi="ar"/>
                    </w:rPr>
                    <w:t>，回用于生产</w:t>
                  </w:r>
                </w:p>
              </w:tc>
            </w:tr>
            <w:tr w14:paraId="3362D5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14" w:hRule="atLeast"/>
                <w:jc w:val="center"/>
              </w:trPr>
              <w:tc>
                <w:tcPr>
                  <w:tcW w:w="225" w:type="pct"/>
                  <w:noWrap w:val="0"/>
                  <w:vAlign w:val="center"/>
                </w:tcPr>
                <w:p w14:paraId="2B398168">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5</w:t>
                  </w:r>
                </w:p>
              </w:tc>
              <w:tc>
                <w:tcPr>
                  <w:tcW w:w="455" w:type="pct"/>
                  <w:noWrap w:val="0"/>
                  <w:vAlign w:val="center"/>
                </w:tcPr>
                <w:p w14:paraId="18E415EA">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废填料</w:t>
                  </w:r>
                </w:p>
              </w:tc>
              <w:tc>
                <w:tcPr>
                  <w:tcW w:w="336" w:type="pct"/>
                  <w:noWrap w:val="0"/>
                  <w:vAlign w:val="center"/>
                </w:tcPr>
                <w:p w14:paraId="6BDCFC25">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废气处理</w:t>
                  </w:r>
                </w:p>
              </w:tc>
              <w:tc>
                <w:tcPr>
                  <w:tcW w:w="546" w:type="pct"/>
                  <w:noWrap w:val="0"/>
                  <w:vAlign w:val="center"/>
                </w:tcPr>
                <w:p w14:paraId="7F92D4BE">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一般固废</w:t>
                  </w:r>
                </w:p>
              </w:tc>
              <w:tc>
                <w:tcPr>
                  <w:tcW w:w="455" w:type="pct"/>
                  <w:noWrap w:val="0"/>
                  <w:vAlign w:val="center"/>
                </w:tcPr>
                <w:p w14:paraId="5A559BEF">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900-009-S59</w:t>
                  </w:r>
                </w:p>
              </w:tc>
              <w:tc>
                <w:tcPr>
                  <w:tcW w:w="440" w:type="pct"/>
                  <w:noWrap w:val="0"/>
                  <w:vAlign w:val="center"/>
                </w:tcPr>
                <w:p w14:paraId="38438FFF">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SW59其他工业固体废物</w:t>
                  </w:r>
                </w:p>
              </w:tc>
              <w:tc>
                <w:tcPr>
                  <w:tcW w:w="477" w:type="pct"/>
                  <w:noWrap w:val="0"/>
                  <w:vAlign w:val="center"/>
                </w:tcPr>
                <w:p w14:paraId="4331243D">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1</w:t>
                  </w:r>
                </w:p>
              </w:tc>
              <w:tc>
                <w:tcPr>
                  <w:tcW w:w="352" w:type="pct"/>
                  <w:noWrap w:val="0"/>
                  <w:vAlign w:val="center"/>
                </w:tcPr>
                <w:p w14:paraId="7303CE95">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w:t>
                  </w:r>
                </w:p>
              </w:tc>
              <w:tc>
                <w:tcPr>
                  <w:tcW w:w="224" w:type="pct"/>
                  <w:noWrap w:val="0"/>
                  <w:vAlign w:val="center"/>
                </w:tcPr>
                <w:p w14:paraId="37713C3E">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固</w:t>
                  </w:r>
                </w:p>
              </w:tc>
              <w:tc>
                <w:tcPr>
                  <w:tcW w:w="262" w:type="pct"/>
                  <w:noWrap w:val="0"/>
                  <w:vAlign w:val="center"/>
                </w:tcPr>
                <w:p w14:paraId="2455280B">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w:t>
                  </w:r>
                </w:p>
              </w:tc>
              <w:tc>
                <w:tcPr>
                  <w:tcW w:w="308" w:type="pct"/>
                  <w:noWrap w:val="0"/>
                  <w:vAlign w:val="center"/>
                </w:tcPr>
                <w:p w14:paraId="0602AE59">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w:t>
                  </w:r>
                </w:p>
              </w:tc>
              <w:tc>
                <w:tcPr>
                  <w:tcW w:w="244" w:type="pct"/>
                  <w:noWrap w:val="0"/>
                  <w:vAlign w:val="center"/>
                </w:tcPr>
                <w:p w14:paraId="110D7C07">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w:t>
                  </w:r>
                </w:p>
              </w:tc>
              <w:tc>
                <w:tcPr>
                  <w:tcW w:w="669" w:type="pct"/>
                  <w:noWrap w:val="0"/>
                  <w:vAlign w:val="center"/>
                </w:tcPr>
                <w:p w14:paraId="4DB187CE">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暂存于一般固废暂存间，</w:t>
                  </w:r>
                  <w:r>
                    <w:rPr>
                      <w:rFonts w:hint="eastAsia" w:ascii="Times New Roman" w:hAnsi="Times New Roman" w:eastAsia="宋体" w:cs="Times New Roman"/>
                      <w:color w:val="auto"/>
                      <w:kern w:val="0"/>
                      <w:sz w:val="21"/>
                      <w:szCs w:val="21"/>
                      <w:highlight w:val="none"/>
                      <w:lang w:val="en-US" w:eastAsia="zh-CN" w:bidi="ar"/>
                    </w:rPr>
                    <w:t>由厂家定期更换</w:t>
                  </w:r>
                </w:p>
              </w:tc>
            </w:tr>
            <w:tr w14:paraId="12DBFC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14" w:hRule="atLeast"/>
                <w:jc w:val="center"/>
              </w:trPr>
              <w:tc>
                <w:tcPr>
                  <w:tcW w:w="225" w:type="pct"/>
                  <w:noWrap w:val="0"/>
                  <w:vAlign w:val="center"/>
                </w:tcPr>
                <w:p w14:paraId="13F0B78D">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6</w:t>
                  </w:r>
                </w:p>
              </w:tc>
              <w:tc>
                <w:tcPr>
                  <w:tcW w:w="455" w:type="pct"/>
                  <w:noWrap w:val="0"/>
                  <w:vAlign w:val="center"/>
                </w:tcPr>
                <w:p w14:paraId="7404A932">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废布袋</w:t>
                  </w:r>
                </w:p>
              </w:tc>
              <w:tc>
                <w:tcPr>
                  <w:tcW w:w="336" w:type="pct"/>
                  <w:noWrap w:val="0"/>
                  <w:vAlign w:val="center"/>
                </w:tcPr>
                <w:p w14:paraId="5503D6ED">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废气处理</w:t>
                  </w:r>
                </w:p>
              </w:tc>
              <w:tc>
                <w:tcPr>
                  <w:tcW w:w="546" w:type="pct"/>
                  <w:noWrap w:val="0"/>
                  <w:vAlign w:val="center"/>
                </w:tcPr>
                <w:p w14:paraId="6B3BA606">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一般固废</w:t>
                  </w:r>
                </w:p>
              </w:tc>
              <w:tc>
                <w:tcPr>
                  <w:tcW w:w="455" w:type="pct"/>
                  <w:noWrap w:val="0"/>
                  <w:vAlign w:val="center"/>
                </w:tcPr>
                <w:p w14:paraId="5C468F8A">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900-009-S59</w:t>
                  </w:r>
                </w:p>
              </w:tc>
              <w:tc>
                <w:tcPr>
                  <w:tcW w:w="440" w:type="pct"/>
                  <w:noWrap w:val="0"/>
                  <w:vAlign w:val="center"/>
                </w:tcPr>
                <w:p w14:paraId="0F4E210A">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SW59其他工业固体废物</w:t>
                  </w:r>
                </w:p>
              </w:tc>
              <w:tc>
                <w:tcPr>
                  <w:tcW w:w="477" w:type="pct"/>
                  <w:noWrap w:val="0"/>
                  <w:vAlign w:val="center"/>
                </w:tcPr>
                <w:p w14:paraId="03515DB5">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0.01</w:t>
                  </w:r>
                </w:p>
              </w:tc>
              <w:tc>
                <w:tcPr>
                  <w:tcW w:w="352" w:type="pct"/>
                  <w:noWrap w:val="0"/>
                  <w:vAlign w:val="center"/>
                </w:tcPr>
                <w:p w14:paraId="65A44F39">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w:t>
                  </w:r>
                </w:p>
              </w:tc>
              <w:tc>
                <w:tcPr>
                  <w:tcW w:w="224" w:type="pct"/>
                  <w:noWrap w:val="0"/>
                  <w:vAlign w:val="center"/>
                </w:tcPr>
                <w:p w14:paraId="7F7FB576">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固</w:t>
                  </w:r>
                </w:p>
              </w:tc>
              <w:tc>
                <w:tcPr>
                  <w:tcW w:w="262" w:type="pct"/>
                  <w:noWrap w:val="0"/>
                  <w:vAlign w:val="center"/>
                </w:tcPr>
                <w:p w14:paraId="0BEFE2C2">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w:t>
                  </w:r>
                </w:p>
              </w:tc>
              <w:tc>
                <w:tcPr>
                  <w:tcW w:w="308" w:type="pct"/>
                  <w:noWrap w:val="0"/>
                  <w:vAlign w:val="center"/>
                </w:tcPr>
                <w:p w14:paraId="39985EEB">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w:t>
                  </w:r>
                </w:p>
              </w:tc>
              <w:tc>
                <w:tcPr>
                  <w:tcW w:w="244" w:type="pct"/>
                  <w:noWrap w:val="0"/>
                  <w:vAlign w:val="center"/>
                </w:tcPr>
                <w:p w14:paraId="1F216873">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w:t>
                  </w:r>
                </w:p>
              </w:tc>
              <w:tc>
                <w:tcPr>
                  <w:tcW w:w="669" w:type="pct"/>
                  <w:noWrap w:val="0"/>
                  <w:vAlign w:val="center"/>
                </w:tcPr>
                <w:p w14:paraId="257E005A">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暂存于一般固废暂存间，</w:t>
                  </w:r>
                  <w:r>
                    <w:rPr>
                      <w:rFonts w:hint="eastAsia" w:ascii="Times New Roman" w:hAnsi="Times New Roman" w:eastAsia="宋体" w:cs="Times New Roman"/>
                      <w:color w:val="auto"/>
                      <w:kern w:val="0"/>
                      <w:sz w:val="21"/>
                      <w:szCs w:val="21"/>
                      <w:highlight w:val="none"/>
                      <w:lang w:val="en-US" w:eastAsia="zh-CN" w:bidi="ar"/>
                    </w:rPr>
                    <w:t>由厂家定期更换</w:t>
                  </w:r>
                </w:p>
              </w:tc>
            </w:tr>
            <w:tr w14:paraId="536B09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14" w:hRule="atLeast"/>
                <w:jc w:val="center"/>
              </w:trPr>
              <w:tc>
                <w:tcPr>
                  <w:tcW w:w="225" w:type="pct"/>
                  <w:noWrap w:val="0"/>
                  <w:vAlign w:val="center"/>
                </w:tcPr>
                <w:p w14:paraId="38740CC4">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7</w:t>
                  </w:r>
                </w:p>
              </w:tc>
              <w:tc>
                <w:tcPr>
                  <w:tcW w:w="455" w:type="pct"/>
                  <w:noWrap w:val="0"/>
                  <w:vAlign w:val="center"/>
                </w:tcPr>
                <w:p w14:paraId="79DE00B9">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废矿物油</w:t>
                  </w:r>
                </w:p>
              </w:tc>
              <w:tc>
                <w:tcPr>
                  <w:tcW w:w="336" w:type="pct"/>
                  <w:noWrap w:val="0"/>
                  <w:vAlign w:val="center"/>
                </w:tcPr>
                <w:p w14:paraId="7A38E6D3">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设备检修</w:t>
                  </w:r>
                </w:p>
              </w:tc>
              <w:tc>
                <w:tcPr>
                  <w:tcW w:w="546" w:type="pct"/>
                  <w:noWrap w:val="0"/>
                  <w:vAlign w:val="center"/>
                </w:tcPr>
                <w:p w14:paraId="4347FD7B">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危险废物</w:t>
                  </w:r>
                </w:p>
              </w:tc>
              <w:tc>
                <w:tcPr>
                  <w:tcW w:w="455" w:type="pct"/>
                  <w:noWrap w:val="0"/>
                  <w:vAlign w:val="center"/>
                </w:tcPr>
                <w:p w14:paraId="6FFD55FB">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900-217-08</w:t>
                  </w:r>
                </w:p>
              </w:tc>
              <w:tc>
                <w:tcPr>
                  <w:tcW w:w="440" w:type="pct"/>
                  <w:noWrap w:val="0"/>
                  <w:vAlign w:val="center"/>
                </w:tcPr>
                <w:p w14:paraId="4EADB93B">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HW08废矿物油与含矿物油废物</w:t>
                  </w:r>
                </w:p>
              </w:tc>
              <w:tc>
                <w:tcPr>
                  <w:tcW w:w="477" w:type="pct"/>
                  <w:noWrap w:val="0"/>
                  <w:vAlign w:val="center"/>
                </w:tcPr>
                <w:p w14:paraId="7A12DEF2">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0.01</w:t>
                  </w:r>
                </w:p>
              </w:tc>
              <w:tc>
                <w:tcPr>
                  <w:tcW w:w="352" w:type="pct"/>
                  <w:noWrap w:val="0"/>
                  <w:vAlign w:val="center"/>
                </w:tcPr>
                <w:p w14:paraId="37A894ED">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0.01</w:t>
                  </w:r>
                </w:p>
              </w:tc>
              <w:tc>
                <w:tcPr>
                  <w:tcW w:w="224" w:type="pct"/>
                  <w:noWrap w:val="0"/>
                  <w:vAlign w:val="center"/>
                </w:tcPr>
                <w:p w14:paraId="6D25B880">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固</w:t>
                  </w:r>
                </w:p>
              </w:tc>
              <w:tc>
                <w:tcPr>
                  <w:tcW w:w="262" w:type="pct"/>
                  <w:noWrap w:val="0"/>
                  <w:vAlign w:val="center"/>
                </w:tcPr>
                <w:p w14:paraId="2C5517AE">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p>
              </w:tc>
              <w:tc>
                <w:tcPr>
                  <w:tcW w:w="308" w:type="pct"/>
                  <w:noWrap w:val="0"/>
                  <w:vAlign w:val="center"/>
                </w:tcPr>
                <w:p w14:paraId="6B51988D">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T,I</w:t>
                  </w:r>
                </w:p>
              </w:tc>
              <w:tc>
                <w:tcPr>
                  <w:tcW w:w="244" w:type="pct"/>
                  <w:noWrap w:val="0"/>
                  <w:vAlign w:val="center"/>
                </w:tcPr>
                <w:p w14:paraId="60273953">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桶装</w:t>
                  </w:r>
                </w:p>
              </w:tc>
              <w:tc>
                <w:tcPr>
                  <w:tcW w:w="669" w:type="pct"/>
                  <w:noWrap w:val="0"/>
                  <w:vAlign w:val="center"/>
                </w:tcPr>
                <w:p w14:paraId="36C2789E">
                  <w:pPr>
                    <w:keepNext w:val="0"/>
                    <w:keepLines w:val="0"/>
                    <w:pageBreakBefore w:val="0"/>
                    <w:widowControl/>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暂存新建的5m</w:t>
                  </w:r>
                  <w:r>
                    <w:rPr>
                      <w:rFonts w:hint="eastAsia" w:cs="Times New Roman"/>
                      <w:color w:val="auto"/>
                      <w:kern w:val="0"/>
                      <w:sz w:val="21"/>
                      <w:szCs w:val="21"/>
                      <w:highlight w:val="none"/>
                      <w:vertAlign w:val="superscript"/>
                      <w:lang w:val="en-US" w:eastAsia="zh-CN" w:bidi="ar"/>
                    </w:rPr>
                    <w:t>2</w:t>
                  </w:r>
                  <w:r>
                    <w:rPr>
                      <w:rFonts w:hint="eastAsia" w:cs="Times New Roman"/>
                      <w:color w:val="auto"/>
                      <w:kern w:val="0"/>
                      <w:sz w:val="21"/>
                      <w:szCs w:val="21"/>
                      <w:highlight w:val="none"/>
                      <w:lang w:val="en-US" w:eastAsia="zh-CN" w:bidi="ar"/>
                    </w:rPr>
                    <w:t>危险废物贮存库内，定期交由资质单位处置</w:t>
                  </w:r>
                </w:p>
              </w:tc>
            </w:tr>
            <w:tr w14:paraId="355165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30" w:hRule="atLeast"/>
                <w:jc w:val="center"/>
              </w:trPr>
              <w:tc>
                <w:tcPr>
                  <w:tcW w:w="5000" w:type="pct"/>
                  <w:gridSpan w:val="13"/>
                  <w:noWrap w:val="0"/>
                  <w:vAlign w:val="center"/>
                </w:tcPr>
                <w:p w14:paraId="1349BCBB">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0000FF"/>
                      <w:kern w:val="0"/>
                      <w:sz w:val="21"/>
                      <w:szCs w:val="21"/>
                      <w:highlight w:val="none"/>
                      <w:lang w:val="en-US" w:eastAsia="zh-CN" w:bidi="ar"/>
                    </w:rPr>
                    <w:t>一般固体废物分类与代码根据《固体废物分类与代码目录》确定；</w:t>
                  </w:r>
                  <w:r>
                    <w:rPr>
                      <w:rFonts w:hint="eastAsia" w:cs="Times New Roman"/>
                      <w:color w:val="0000FF"/>
                      <w:kern w:val="0"/>
                      <w:sz w:val="21"/>
                      <w:szCs w:val="21"/>
                      <w:highlight w:val="none"/>
                      <w:lang w:val="en-US" w:eastAsia="zh-CN" w:bidi="ar"/>
                    </w:rPr>
                    <w:t>危险废物</w:t>
                  </w:r>
                  <w:r>
                    <w:rPr>
                      <w:rFonts w:hint="default" w:ascii="Times New Roman" w:hAnsi="Times New Roman" w:eastAsia="宋体" w:cs="Times New Roman"/>
                      <w:color w:val="0000FF"/>
                      <w:kern w:val="0"/>
                      <w:sz w:val="21"/>
                      <w:szCs w:val="21"/>
                      <w:highlight w:val="none"/>
                      <w:lang w:val="en-US" w:eastAsia="zh-CN" w:bidi="ar"/>
                    </w:rPr>
                    <w:t>废物代码根据《国家危险废物名录》（2025年版）确定</w:t>
                  </w:r>
                  <w:r>
                    <w:rPr>
                      <w:rFonts w:hint="eastAsia" w:cs="Times New Roman"/>
                      <w:color w:val="0000FF"/>
                      <w:kern w:val="0"/>
                      <w:sz w:val="21"/>
                      <w:szCs w:val="21"/>
                      <w:highlight w:val="none"/>
                      <w:lang w:val="en-US" w:eastAsia="zh-CN" w:bidi="ar"/>
                    </w:rPr>
                    <w:t>危险废物</w:t>
                  </w:r>
                </w:p>
              </w:tc>
            </w:tr>
          </w:tbl>
          <w:p w14:paraId="60D08CA9">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2" w:firstLineChars="200"/>
              <w:jc w:val="both"/>
              <w:textAlignment w:val="auto"/>
              <w:rPr>
                <w:rFonts w:hint="default" w:ascii="Times New Roman" w:hAnsi="Times New Roman" w:eastAsia="宋体" w:cs="Times New Roman"/>
                <w:b/>
                <w:bCs/>
                <w:color w:val="auto"/>
                <w:kern w:val="2"/>
                <w:sz w:val="24"/>
                <w:szCs w:val="20"/>
                <w:highlight w:val="none"/>
                <w:lang w:val="en-US" w:eastAsia="zh-CN"/>
              </w:rPr>
            </w:pPr>
            <w:r>
              <w:rPr>
                <w:rFonts w:hint="eastAsia" w:cs="Times New Roman"/>
                <w:b/>
                <w:bCs/>
                <w:color w:val="auto"/>
                <w:kern w:val="2"/>
                <w:sz w:val="24"/>
                <w:szCs w:val="20"/>
                <w:highlight w:val="none"/>
                <w:lang w:val="en-US" w:eastAsia="zh-CN"/>
              </w:rPr>
              <w:t>4.2</w:t>
            </w:r>
            <w:r>
              <w:rPr>
                <w:rFonts w:hint="default" w:ascii="Times New Roman" w:hAnsi="Times New Roman" w:eastAsia="宋体" w:cs="Times New Roman"/>
                <w:b/>
                <w:bCs/>
                <w:color w:val="auto"/>
                <w:kern w:val="2"/>
                <w:sz w:val="24"/>
                <w:szCs w:val="20"/>
                <w:highlight w:val="none"/>
                <w:lang w:val="en-US" w:eastAsia="zh-CN"/>
              </w:rPr>
              <w:t>环境管理要求</w:t>
            </w:r>
          </w:p>
          <w:p w14:paraId="421ED0B5">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2" w:firstLineChars="200"/>
              <w:jc w:val="both"/>
              <w:textAlignment w:val="auto"/>
              <w:rPr>
                <w:rFonts w:hint="eastAsia" w:ascii="Times New Roman" w:hAnsi="Times New Roman" w:cs="Times New Roman"/>
                <w:b/>
                <w:bCs/>
                <w:color w:val="auto"/>
                <w:kern w:val="2"/>
                <w:sz w:val="24"/>
                <w:szCs w:val="24"/>
                <w:lang w:val="en-US" w:eastAsia="zh-CN" w:bidi="ar-SA"/>
              </w:rPr>
            </w:pPr>
            <w:r>
              <w:rPr>
                <w:rFonts w:hint="eastAsia" w:ascii="Times New Roman" w:hAnsi="Times New Roman" w:cs="Times New Roman"/>
                <w:b/>
                <w:bCs/>
                <w:color w:val="auto"/>
                <w:kern w:val="2"/>
                <w:sz w:val="24"/>
                <w:szCs w:val="24"/>
                <w:lang w:val="en-US" w:eastAsia="zh-CN" w:bidi="ar-SA"/>
              </w:rPr>
              <w:t>4.2.1一般固体废物</w:t>
            </w:r>
          </w:p>
          <w:p w14:paraId="072DC4FE">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eastAsia"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（1）一般固废暂存点</w:t>
            </w:r>
          </w:p>
          <w:p w14:paraId="4CD9691B">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eastAsia"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项目一般固体废物执行《一般工业固体废物贮存和填埋污染控制标准》（GB18599-2020）。本项目一般固废暂存区设置于</w:t>
            </w:r>
            <w:r>
              <w:rPr>
                <w:rFonts w:hint="eastAsia" w:cs="Times New Roman"/>
                <w:b w:val="0"/>
                <w:bCs w:val="0"/>
                <w:color w:val="auto"/>
                <w:kern w:val="2"/>
                <w:sz w:val="24"/>
                <w:szCs w:val="24"/>
                <w:lang w:val="en-US" w:eastAsia="zh-CN" w:bidi="ar-SA"/>
              </w:rPr>
              <w:t>厂区生产车间</w:t>
            </w:r>
            <w:r>
              <w:rPr>
                <w:rFonts w:hint="eastAsia" w:ascii="Times New Roman" w:hAnsi="Times New Roman" w:cs="Times New Roman"/>
                <w:b w:val="0"/>
                <w:bCs w:val="0"/>
                <w:color w:val="auto"/>
                <w:kern w:val="2"/>
                <w:sz w:val="24"/>
                <w:szCs w:val="24"/>
                <w:lang w:val="en-US" w:eastAsia="zh-CN" w:bidi="ar-SA"/>
              </w:rPr>
              <w:t>内，按照《中华人民共和国固体废物污染环境防治法</w:t>
            </w:r>
            <w:r>
              <w:rPr>
                <w:rFonts w:hint="eastAsia" w:cs="Times New Roman"/>
                <w:b w:val="0"/>
                <w:bCs w:val="0"/>
                <w:color w:val="auto"/>
                <w:kern w:val="2"/>
                <w:sz w:val="24"/>
                <w:szCs w:val="24"/>
                <w:lang w:val="en-US" w:eastAsia="zh-CN" w:bidi="ar-SA"/>
              </w:rPr>
              <w:t>》《</w:t>
            </w:r>
            <w:r>
              <w:rPr>
                <w:rFonts w:hint="eastAsia" w:ascii="Times New Roman" w:hAnsi="Times New Roman" w:cs="Times New Roman"/>
                <w:b w:val="0"/>
                <w:bCs w:val="0"/>
                <w:color w:val="auto"/>
                <w:kern w:val="2"/>
                <w:sz w:val="24"/>
                <w:szCs w:val="24"/>
                <w:lang w:val="en-US" w:eastAsia="zh-CN" w:bidi="ar-SA"/>
              </w:rPr>
              <w:t>一般工业固体废物管理台账制定指南（试行）》</w:t>
            </w:r>
            <w:r>
              <w:rPr>
                <w:rFonts w:hint="eastAsia" w:cs="Times New Roman"/>
                <w:b w:val="0"/>
                <w:bCs w:val="0"/>
                <w:color w:val="auto"/>
                <w:kern w:val="2"/>
                <w:sz w:val="24"/>
                <w:szCs w:val="24"/>
                <w:lang w:val="en-US" w:eastAsia="zh-CN" w:bidi="ar-SA"/>
              </w:rPr>
              <w:t>（</w:t>
            </w:r>
            <w:r>
              <w:rPr>
                <w:rFonts w:hint="eastAsia" w:ascii="Times New Roman" w:hAnsi="Times New Roman" w:cs="Times New Roman"/>
                <w:b w:val="0"/>
                <w:bCs w:val="0"/>
                <w:color w:val="auto"/>
                <w:kern w:val="2"/>
                <w:sz w:val="24"/>
                <w:szCs w:val="24"/>
                <w:lang w:val="en-US" w:eastAsia="zh-CN" w:bidi="ar-SA"/>
              </w:rPr>
              <w:t>生态环境部公告2021年第82号</w:t>
            </w:r>
            <w:r>
              <w:rPr>
                <w:rFonts w:hint="eastAsia" w:cs="Times New Roman"/>
                <w:b w:val="0"/>
                <w:bCs w:val="0"/>
                <w:color w:val="auto"/>
                <w:kern w:val="2"/>
                <w:sz w:val="24"/>
                <w:szCs w:val="24"/>
                <w:lang w:val="en-US" w:eastAsia="zh-CN" w:bidi="ar-SA"/>
              </w:rPr>
              <w:t>）</w:t>
            </w:r>
            <w:r>
              <w:rPr>
                <w:rFonts w:hint="eastAsia" w:ascii="Times New Roman" w:hAnsi="Times New Roman" w:cs="Times New Roman"/>
                <w:b w:val="0"/>
                <w:bCs w:val="0"/>
                <w:color w:val="auto"/>
                <w:kern w:val="2"/>
                <w:sz w:val="24"/>
                <w:szCs w:val="24"/>
                <w:lang w:val="en-US" w:eastAsia="zh-CN" w:bidi="ar-SA"/>
              </w:rPr>
              <w:t>要求进行做好防扬散、防雨、防流失措施，暂存区可满足防风防雨措施，各类固废应分类收集，暂存区按照《环境保护图形标志</w:t>
            </w:r>
            <w:r>
              <w:rPr>
                <w:rFonts w:hint="eastAsia" w:cs="Times New Roman"/>
                <w:b w:val="0"/>
                <w:bCs w:val="0"/>
                <w:color w:val="auto"/>
                <w:kern w:val="2"/>
                <w:sz w:val="24"/>
                <w:szCs w:val="24"/>
                <w:lang w:val="en-US" w:eastAsia="zh-CN" w:bidi="ar-SA"/>
              </w:rPr>
              <w:t>-</w:t>
            </w:r>
            <w:r>
              <w:rPr>
                <w:rFonts w:hint="eastAsia" w:ascii="Times New Roman" w:hAnsi="Times New Roman" w:cs="Times New Roman"/>
                <w:b w:val="0"/>
                <w:bCs w:val="0"/>
                <w:color w:val="auto"/>
                <w:kern w:val="2"/>
                <w:sz w:val="24"/>
                <w:szCs w:val="24"/>
                <w:lang w:val="en-US" w:eastAsia="zh-CN" w:bidi="ar-SA"/>
              </w:rPr>
              <w:t>固体废物贮存（处置）场》（GB15562.2）的要求设置环保图形标志；指定专人进行日常管理。</w:t>
            </w:r>
          </w:p>
          <w:p w14:paraId="3FEA2646">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w:t>
            </w:r>
            <w:r>
              <w:rPr>
                <w:rFonts w:hint="eastAsia" w:cs="Times New Roman"/>
                <w:b w:val="0"/>
                <w:bCs w:val="0"/>
                <w:color w:val="auto"/>
                <w:kern w:val="2"/>
                <w:sz w:val="24"/>
                <w:szCs w:val="24"/>
                <w:lang w:val="en-US" w:eastAsia="zh-CN" w:bidi="ar-SA"/>
              </w:rPr>
              <w:t>2</w:t>
            </w:r>
            <w:r>
              <w:rPr>
                <w:rFonts w:hint="eastAsia" w:ascii="Times New Roman" w:hAnsi="Times New Roman" w:cs="Times New Roman"/>
                <w:b w:val="0"/>
                <w:bCs w:val="0"/>
                <w:color w:val="auto"/>
                <w:kern w:val="2"/>
                <w:sz w:val="24"/>
                <w:szCs w:val="24"/>
                <w:lang w:val="en-US" w:eastAsia="zh-CN" w:bidi="ar-SA"/>
              </w:rPr>
              <w:t>）</w:t>
            </w:r>
            <w:r>
              <w:rPr>
                <w:rFonts w:hint="eastAsia" w:ascii="Times New Roman" w:hAnsi="Times New Roman" w:eastAsia="宋体" w:cs="Times New Roman"/>
                <w:b w:val="0"/>
                <w:bCs w:val="0"/>
                <w:color w:val="auto"/>
                <w:kern w:val="2"/>
                <w:sz w:val="24"/>
                <w:szCs w:val="24"/>
                <w:lang w:val="en-US" w:eastAsia="zh-CN" w:bidi="ar-SA"/>
              </w:rPr>
              <w:t>一般要求</w:t>
            </w:r>
          </w:p>
          <w:p w14:paraId="7BCB14AD">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固体废物污染防治法规定“建设项目的环境影响评价文件确定需要配套建设的固体废物污染环境防治设施，必须与主体工程同时设计、同时施工、同时投入使用。固体废物污染环境防治设施必须经原审批环境影响评价文件的环境保护行政主管部门验收合格后，该建设项目方可投入生产或者使用。对固体废物污染环境防治设施的验收应当与对主体工程的验收同时进行”。根据这些规定，本项目固体废物污染环境防治设施必须做到</w:t>
            </w:r>
            <w:r>
              <w:rPr>
                <w:rFonts w:hint="eastAsia" w:ascii="Times New Roman" w:hAnsi="Times New Roman"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三同时</w:t>
            </w:r>
            <w:r>
              <w:rPr>
                <w:rFonts w:hint="eastAsia" w:ascii="Times New Roman" w:hAnsi="Times New Roman"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w:t>
            </w:r>
          </w:p>
          <w:p w14:paraId="79ACF272">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为了进一步降低固体废物的影响，建议建设单位在实践中逐步确定新的废物管理模式，对所有固体废物进行监控管理。</w:t>
            </w:r>
          </w:p>
          <w:p w14:paraId="27D50B8D">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left"/>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①</w:t>
            </w:r>
            <w:r>
              <w:rPr>
                <w:rFonts w:hint="default" w:ascii="Times New Roman" w:hAnsi="Times New Roman" w:eastAsia="宋体" w:cs="Times New Roman"/>
                <w:color w:val="auto"/>
                <w:kern w:val="2"/>
                <w:sz w:val="24"/>
                <w:szCs w:val="24"/>
                <w:lang w:val="en-US" w:eastAsia="zh-CN" w:bidi="ar-SA"/>
              </w:rPr>
              <w:t>全过程管理</w:t>
            </w:r>
          </w:p>
          <w:p w14:paraId="2189C884">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即对废物从“</w:t>
            </w:r>
            <w:r>
              <w:rPr>
                <w:rFonts w:hint="eastAsia" w:ascii="Times New Roman" w:hAnsi="Times New Roman" w:eastAsia="宋体" w:cs="Times New Roman"/>
                <w:color w:val="auto"/>
                <w:kern w:val="2"/>
                <w:sz w:val="24"/>
                <w:szCs w:val="24"/>
                <w:lang w:val="en-US" w:eastAsia="zh-CN" w:bidi="ar-SA"/>
              </w:rPr>
              <w:t>产生</w:t>
            </w:r>
            <w:r>
              <w:rPr>
                <w:rFonts w:hint="default" w:ascii="Times New Roman" w:hAnsi="Times New Roman" w:eastAsia="宋体" w:cs="Times New Roman"/>
                <w:color w:val="auto"/>
                <w:kern w:val="2"/>
                <w:sz w:val="24"/>
                <w:szCs w:val="24"/>
                <w:lang w:val="en-US" w:eastAsia="zh-CN" w:bidi="ar-SA"/>
              </w:rPr>
              <w:t>”那一时刻起对废物的产生、收集、运输、贮存、再循环、再利用、加工处理直至最终处置实行全过程管理，以实现废物减量化、资源化和无害化。</w:t>
            </w:r>
          </w:p>
          <w:p w14:paraId="1788A760">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②</w:t>
            </w:r>
            <w:r>
              <w:rPr>
                <w:rFonts w:hint="default" w:ascii="Times New Roman" w:hAnsi="Times New Roman" w:eastAsia="宋体" w:cs="Times New Roman"/>
                <w:color w:val="auto"/>
                <w:kern w:val="2"/>
                <w:sz w:val="24"/>
                <w:szCs w:val="24"/>
                <w:lang w:val="en-US" w:eastAsia="zh-CN" w:bidi="ar-SA"/>
              </w:rPr>
              <w:t>对排放废物进行审计</w:t>
            </w:r>
          </w:p>
          <w:p w14:paraId="498A6E9A">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废物审计制度是对废物从产生、处理到处置排放实行全过程监督的有效手段。其主要内容有：废物合理的产生量；废物流向和分配及监测记录；废物处理和转化；废物有效排放和废物总量衡算；废物从产生到处理的全过程评估</w:t>
            </w:r>
            <w:r>
              <w:rPr>
                <w:rFonts w:hint="eastAsia" w:ascii="Times New Roman" w:hAnsi="Times New Roman" w:eastAsia="宋体" w:cs="Times New Roman"/>
                <w:color w:val="auto"/>
                <w:kern w:val="2"/>
                <w:sz w:val="24"/>
                <w:szCs w:val="24"/>
                <w:lang w:val="en-US" w:eastAsia="zh-CN" w:bidi="ar-SA"/>
              </w:rPr>
              <w:t>。</w:t>
            </w:r>
          </w:p>
          <w:p w14:paraId="4EEBF388">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cs="Times New Roman"/>
                <w:color w:val="auto"/>
                <w:kern w:val="2"/>
                <w:sz w:val="24"/>
                <w:szCs w:val="24"/>
                <w:lang w:val="en-US" w:eastAsia="zh-CN" w:bidi="ar-SA"/>
              </w:rPr>
            </w:pPr>
            <w:r>
              <w:rPr>
                <w:rFonts w:hint="eastAsia" w:cs="Times New Roman"/>
                <w:color w:val="auto"/>
                <w:kern w:val="2"/>
                <w:sz w:val="24"/>
                <w:szCs w:val="24"/>
                <w:lang w:val="en-US" w:eastAsia="zh-CN" w:bidi="ar-SA"/>
              </w:rPr>
              <w:t>（3）收集、贮存、利用以及处置要求</w:t>
            </w:r>
          </w:p>
          <w:p w14:paraId="7D4F89AE">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cs="Times New Roman"/>
                <w:color w:val="auto"/>
                <w:kern w:val="2"/>
                <w:sz w:val="24"/>
                <w:szCs w:val="24"/>
                <w:lang w:val="en-US" w:eastAsia="zh-CN" w:bidi="ar-SA"/>
              </w:rPr>
            </w:pPr>
            <w:r>
              <w:rPr>
                <w:rFonts w:hint="eastAsia" w:cs="Times New Roman"/>
                <w:color w:val="auto"/>
                <w:kern w:val="2"/>
                <w:sz w:val="24"/>
                <w:szCs w:val="24"/>
                <w:lang w:val="en-US" w:eastAsia="zh-CN" w:bidi="ar-SA"/>
              </w:rPr>
              <w:t>排污单位应按照《中华人民共和国固体废物污染环境防治法》等相关法律法规要求，对工业固体废物采用防扬散、防流失、防渗漏或者其他防止污染环境的措施，收集过程中不得擅自倾倒、堆放、丢弃、遗撒工业固体废物。</w:t>
            </w:r>
          </w:p>
          <w:p w14:paraId="42D09981">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color w:val="auto"/>
                <w:lang w:val="en-US" w:eastAsia="zh-CN"/>
              </w:rPr>
              <w:t>排</w:t>
            </w:r>
            <w:r>
              <w:rPr>
                <w:rFonts w:hint="eastAsia" w:ascii="Times New Roman" w:hAnsi="Times New Roman" w:eastAsia="宋体" w:cs="Times New Roman"/>
                <w:color w:val="auto"/>
                <w:kern w:val="2"/>
                <w:sz w:val="24"/>
                <w:szCs w:val="24"/>
                <w:lang w:val="en-US" w:eastAsia="zh-CN" w:bidi="ar-SA"/>
              </w:rPr>
              <w:t>污单位委托他人运输、利用、处置一般工业固体废物的，应落实《中华人民共和国固体废物污染环境防治法》等法律法规要求，对受托方的主体资格和技术能力进行核实，依法签订书面合同，在合同中约定污染防治要求等。</w:t>
            </w:r>
          </w:p>
          <w:p w14:paraId="4D0C2B81">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采用库房、包装工具（罐、桶、包装袋等）贮存一般工业固体废物的，贮存过程应满足相应防渗漏、防雨淋、防扬尘等环境保护要求；不相容的一般工业固体废物应设置不同的分区进行贮存；贮存场应设置清晰、完整的一般工业固体废物标志牌等。</w:t>
            </w:r>
          </w:p>
          <w:p w14:paraId="08BA1674">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排污单位生产运营期间一般工业固体废物自行贮存/利用/处置设施的环境管理和相关设施运行维护要求还应符合GB 15562.2、GB 18599、GB 30485和 HJ 2035等相关标准规范要求。</w:t>
            </w:r>
          </w:p>
          <w:p w14:paraId="5979CD81">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（4）</w:t>
            </w:r>
            <w:r>
              <w:rPr>
                <w:rFonts w:hint="default" w:ascii="Times New Roman" w:hAnsi="Times New Roman" w:eastAsia="宋体" w:cs="Times New Roman"/>
                <w:color w:val="auto"/>
                <w:kern w:val="2"/>
                <w:sz w:val="24"/>
                <w:szCs w:val="24"/>
                <w:lang w:val="en-US" w:eastAsia="zh-CN" w:bidi="ar-SA"/>
              </w:rPr>
              <w:t>一般工业固体废物台账管理要求</w:t>
            </w:r>
          </w:p>
          <w:p w14:paraId="3E961D4A">
            <w:pPr>
              <w:pStyle w:val="17"/>
              <w:spacing w:line="360" w:lineRule="auto"/>
              <w:ind w:firstLine="450"/>
              <w:jc w:val="both"/>
              <w:rPr>
                <w:rFonts w:hint="default" w:ascii="Times New Roman" w:hAnsi="Times New Roman" w:eastAsia="宋体" w:cs="Times New Roman"/>
                <w:b w:val="0"/>
                <w:bCs w:val="0"/>
                <w:color w:val="auto"/>
                <w:kern w:val="2"/>
                <w:sz w:val="24"/>
                <w:szCs w:val="20"/>
                <w:highlight w:val="none"/>
                <w:lang w:val="en-US" w:eastAsia="zh-CN" w:bidi="ar-SA"/>
              </w:rPr>
            </w:pPr>
            <w:r>
              <w:rPr>
                <w:rFonts w:hint="default" w:ascii="Times New Roman" w:hAnsi="Times New Roman" w:eastAsia="宋体" w:cs="Times New Roman"/>
                <w:b w:val="0"/>
                <w:bCs w:val="0"/>
                <w:color w:val="auto"/>
                <w:kern w:val="2"/>
                <w:sz w:val="24"/>
                <w:szCs w:val="20"/>
                <w:highlight w:val="none"/>
                <w:lang w:val="en-US" w:eastAsia="zh-CN" w:bidi="ar-SA"/>
              </w:rPr>
              <w:t>产生工业固体废物的单位（以下简称产废单位）建立工业固体废物管理台账，如实记录工业固体废物的种类、数量、流向、贮存、利用、处置等信息，可以实现工业固体废物可追溯、可查询的目的，推动企业提升固体废物管理水平。</w:t>
            </w:r>
            <w:r>
              <w:rPr>
                <w:rFonts w:hint="default" w:ascii="Times New Roman" w:hAnsi="Times New Roman" w:cs="Times New Roman"/>
                <w:b w:val="0"/>
                <w:bCs w:val="0"/>
                <w:color w:val="auto"/>
                <w:kern w:val="2"/>
                <w:sz w:val="24"/>
                <w:szCs w:val="20"/>
                <w:highlight w:val="none"/>
                <w:lang w:val="en-US" w:eastAsia="zh-CN" w:bidi="ar-SA"/>
              </w:rPr>
              <w:t>建议建设单位运行后根据《一般工业固体废物管理台账制定指南（试行）》制定台账管理内容，台账管理前期准备工作如下：</w:t>
            </w:r>
          </w:p>
          <w:p w14:paraId="1D387E53">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①</w:t>
            </w:r>
            <w:r>
              <w:rPr>
                <w:rFonts w:hint="default" w:ascii="Times New Roman" w:hAnsi="Times New Roman" w:eastAsia="宋体" w:cs="Times New Roman"/>
                <w:color w:val="auto"/>
                <w:kern w:val="2"/>
                <w:sz w:val="24"/>
                <w:szCs w:val="24"/>
                <w:highlight w:val="none"/>
                <w:lang w:val="en-US" w:eastAsia="zh-CN" w:bidi="ar-SA"/>
              </w:rPr>
              <w:t>分析一般工业固体废物的产生情况。从原辅材料与产品、 生产工艺等方面分析固体废物的产生情况，确定固体废物的种类，了解并熟悉所产生固体废物的基本特性。</w:t>
            </w:r>
          </w:p>
          <w:p w14:paraId="32F1A0C3">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②</w:t>
            </w:r>
            <w:r>
              <w:rPr>
                <w:rFonts w:hint="default" w:ascii="Times New Roman" w:hAnsi="Times New Roman" w:eastAsia="宋体" w:cs="Times New Roman"/>
                <w:color w:val="auto"/>
                <w:kern w:val="2"/>
                <w:sz w:val="24"/>
                <w:szCs w:val="24"/>
                <w:highlight w:val="none"/>
                <w:lang w:val="en-US" w:eastAsia="zh-CN" w:bidi="ar-SA"/>
              </w:rPr>
              <w:t xml:space="preserve">明确负责人及相关设施、场地。明确固体废物产生部门、 贮存部门、自行利用部门和自行处置部门负责人，为固体废物产生设施、贮存设施、自行利用设施和自行处置设施编码。 </w:t>
            </w:r>
          </w:p>
          <w:p w14:paraId="14EDFD39">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③</w:t>
            </w:r>
            <w:r>
              <w:rPr>
                <w:rFonts w:hint="default" w:ascii="Times New Roman" w:hAnsi="Times New Roman" w:eastAsia="宋体" w:cs="Times New Roman"/>
                <w:color w:val="auto"/>
                <w:kern w:val="2"/>
                <w:sz w:val="24"/>
                <w:szCs w:val="24"/>
                <w:highlight w:val="none"/>
                <w:lang w:val="en-US" w:eastAsia="zh-CN" w:bidi="ar-SA"/>
              </w:rPr>
              <w:t>确定接受委托的利用处置单位。委托他人利用、处置的，应当按照《中华人民共和国固体废物污染环境防治法》第三十七条要求，选择有资格、有能力的利用处置单位。</w:t>
            </w:r>
          </w:p>
          <w:p w14:paraId="7E2E0EC6">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台账管理要求如下：</w:t>
            </w:r>
          </w:p>
          <w:p w14:paraId="638EBCAB">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cs="Times New Roman"/>
                <w:color w:val="auto"/>
                <w:kern w:val="2"/>
                <w:sz w:val="24"/>
                <w:szCs w:val="24"/>
                <w:highlight w:val="none"/>
                <w:lang w:val="en-US" w:eastAsia="zh-CN" w:bidi="ar-SA"/>
              </w:rPr>
              <w:t>①一般工业固体废物管理台账实施分级管理。</w:t>
            </w:r>
            <w:r>
              <w:rPr>
                <w:rFonts w:hint="default" w:ascii="Times New Roman" w:hAnsi="Times New Roman" w:eastAsia="宋体" w:cs="Times New Roman"/>
                <w:color w:val="auto"/>
                <w:sz w:val="24"/>
                <w:szCs w:val="24"/>
              </w:rPr>
              <w:t>根据实际生产运营情况记录固体废物产生信息，生产工艺发生重大变动等原因导致固体废物产生种类等发生变 化的，应当及时另行填写</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按月记录固体废物的产生、贮存、利用、处置数量和利用、处置方式等信息；每一批次固体废物的出厂以及转移信息均应当如实记录。</w:t>
            </w:r>
          </w:p>
          <w:p w14:paraId="1E445B9B">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②</w:t>
            </w:r>
            <w:r>
              <w:rPr>
                <w:rFonts w:hint="default" w:ascii="Times New Roman" w:hAnsi="Times New Roman" w:eastAsia="宋体" w:cs="Times New Roman"/>
                <w:color w:val="auto"/>
                <w:sz w:val="24"/>
                <w:szCs w:val="24"/>
              </w:rPr>
              <w:t>产废单位填写台账记录表时，应当根据自身固体废物产生情况，从</w:t>
            </w:r>
            <w:r>
              <w:rPr>
                <w:rFonts w:hint="default" w:ascii="Times New Roman" w:hAnsi="Times New Roman" w:eastAsia="宋体" w:cs="Times New Roman"/>
                <w:color w:val="auto"/>
                <w:sz w:val="24"/>
                <w:szCs w:val="24"/>
                <w:lang w:val="en-US" w:eastAsia="zh-CN"/>
              </w:rPr>
              <w:t>《一般工业固体废物管理台账制定指南（试行）》</w:t>
            </w:r>
            <w:r>
              <w:rPr>
                <w:rFonts w:hint="default" w:ascii="Times New Roman" w:hAnsi="Times New Roman" w:eastAsia="宋体" w:cs="Times New Roman"/>
                <w:color w:val="auto"/>
                <w:sz w:val="24"/>
                <w:szCs w:val="24"/>
              </w:rPr>
              <w:t>选择对应的固体废物种类和代码，并根据固体废物种类确定固体废物的具体名称。</w:t>
            </w:r>
          </w:p>
          <w:p w14:paraId="222329F5">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③</w:t>
            </w:r>
            <w:r>
              <w:rPr>
                <w:rFonts w:hint="default" w:ascii="Times New Roman" w:hAnsi="Times New Roman" w:eastAsia="宋体" w:cs="Times New Roman"/>
                <w:color w:val="auto"/>
                <w:sz w:val="24"/>
                <w:szCs w:val="24"/>
              </w:rPr>
              <w:t xml:space="preserve">鼓励产废单位采用国家建立的一般工业固体废物管理电子台账，简化数据填写、台账管理等工作。地方和企业自行开发的电子台账要实现与国家系统对接。建立电子台账的产废单位，可不再记录纸质台账。 </w:t>
            </w:r>
          </w:p>
          <w:p w14:paraId="3838037B">
            <w:pPr>
              <w:keepNext w:val="0"/>
              <w:keepLines w:val="0"/>
              <w:pageBreakBefore w:val="0"/>
              <w:widowControl w:val="0"/>
              <w:kinsoku/>
              <w:wordWrap/>
              <w:overflowPunct/>
              <w:topLinePunct w:val="0"/>
              <w:autoSpaceDE/>
              <w:autoSpaceDN/>
              <w:bidi w:val="0"/>
              <w:adjustRightInd/>
              <w:snapToGrid/>
              <w:spacing w:before="0" w:after="0" w:line="360" w:lineRule="auto"/>
              <w:ind w:left="240" w:leftChars="100" w:right="0" w:firstLine="240" w:firstLineChars="1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④</w:t>
            </w:r>
            <w:r>
              <w:rPr>
                <w:rFonts w:hint="default" w:ascii="Times New Roman" w:hAnsi="Times New Roman" w:eastAsia="宋体" w:cs="Times New Roman"/>
                <w:color w:val="auto"/>
                <w:sz w:val="24"/>
                <w:szCs w:val="24"/>
              </w:rPr>
              <w:t>台账记录表各表单的负责人对记录信息的真实性、完整性和规范性负责。</w:t>
            </w:r>
          </w:p>
          <w:p w14:paraId="53F3B2F4">
            <w:pPr>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⑤</w:t>
            </w:r>
            <w:r>
              <w:rPr>
                <w:rFonts w:hint="default" w:ascii="Times New Roman" w:hAnsi="Times New Roman" w:eastAsia="宋体" w:cs="Times New Roman"/>
                <w:color w:val="auto"/>
                <w:sz w:val="24"/>
                <w:szCs w:val="24"/>
              </w:rPr>
              <w:t>产废单位应当设立专人负责台账的管理与归档，一般工业固体废物管理台账保存期限不少于</w:t>
            </w:r>
            <w:r>
              <w:rPr>
                <w:rFonts w:hint="default"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rPr>
              <w:t>年。</w:t>
            </w:r>
          </w:p>
          <w:p w14:paraId="10454853">
            <w:pPr>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left"/>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lang w:val="en-US" w:eastAsia="zh-CN"/>
              </w:rPr>
              <w:t>⑥</w:t>
            </w:r>
            <w:r>
              <w:rPr>
                <w:rFonts w:hint="default" w:ascii="Times New Roman" w:hAnsi="Times New Roman" w:eastAsia="宋体" w:cs="Times New Roman"/>
                <w:color w:val="auto"/>
                <w:sz w:val="24"/>
                <w:szCs w:val="24"/>
              </w:rPr>
              <w:t>鼓励有条件的产废单位在固体废物产生场所、贮存场所 及磅秤位置等关键点位设置视频监控，提高台账记录信息的准确性。</w:t>
            </w:r>
          </w:p>
          <w:p w14:paraId="0D0668E0">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2" w:firstLineChars="200"/>
              <w:jc w:val="both"/>
              <w:textAlignment w:val="auto"/>
              <w:rPr>
                <w:rFonts w:hint="eastAsia" w:ascii="Times New Roman" w:hAnsi="Times New Roman" w:cs="Times New Roman"/>
                <w:b/>
                <w:bCs/>
                <w:color w:val="auto"/>
                <w:kern w:val="2"/>
                <w:sz w:val="24"/>
                <w:szCs w:val="24"/>
                <w:lang w:val="en-US" w:eastAsia="zh-CN" w:bidi="ar-SA"/>
              </w:rPr>
            </w:pPr>
            <w:r>
              <w:rPr>
                <w:rFonts w:hint="eastAsia" w:ascii="Times New Roman" w:hAnsi="Times New Roman" w:cs="Times New Roman"/>
                <w:b/>
                <w:bCs/>
                <w:color w:val="auto"/>
                <w:kern w:val="2"/>
                <w:sz w:val="24"/>
                <w:szCs w:val="24"/>
                <w:lang w:val="en-US" w:eastAsia="zh-CN" w:bidi="ar-SA"/>
              </w:rPr>
              <w:t>4.2.2危险废物</w:t>
            </w:r>
          </w:p>
          <w:p w14:paraId="28A5D706">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（1）</w:t>
            </w:r>
            <w:r>
              <w:rPr>
                <w:rFonts w:hint="eastAsia" w:ascii="Times New Roman" w:hAnsi="Times New Roman" w:eastAsia="宋体" w:cs="Times New Roman"/>
                <w:color w:val="auto"/>
                <w:kern w:val="2"/>
                <w:sz w:val="24"/>
                <w:szCs w:val="24"/>
                <w:lang w:val="en-US" w:eastAsia="zh-CN" w:bidi="ar-SA"/>
              </w:rPr>
              <w:t>危险废物管理要求</w:t>
            </w:r>
          </w:p>
          <w:p w14:paraId="42C83250">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危险废物管理包括危险废物贮存措施、危险废物转运措施、危险废物安全处置措施等环节。本次环评要求严格按照《危险废物贮存污染控制标准》（GB 18597-2023）、《危险废物收集 贮存 运输技术规范》（HJ2025-2012）和《危险废物转移管理办法》（生态环境部 公安部 交通运输部 部令第23号）相关要求对其进行贮存、转移及制度性管理。根据国家产生危险废物的单位应当以控制危险废物的环境风险为目标，企业应制定危险废物管理计划和应急预案并报所在地县级以上地方环保部门备案。</w:t>
            </w:r>
          </w:p>
          <w:p w14:paraId="78B051CF">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（2）</w:t>
            </w:r>
            <w:r>
              <w:rPr>
                <w:rFonts w:hint="eastAsia" w:ascii="Times New Roman" w:hAnsi="Times New Roman" w:eastAsia="宋体" w:cs="Times New Roman"/>
                <w:color w:val="auto"/>
                <w:kern w:val="2"/>
                <w:sz w:val="24"/>
                <w:szCs w:val="24"/>
                <w:highlight w:val="none"/>
                <w:lang w:val="en-US" w:eastAsia="zh-CN" w:bidi="ar-SA"/>
              </w:rPr>
              <w:t>危废</w:t>
            </w:r>
            <w:r>
              <w:rPr>
                <w:rFonts w:hint="eastAsia" w:cs="Times New Roman"/>
                <w:color w:val="auto"/>
                <w:kern w:val="2"/>
                <w:sz w:val="24"/>
                <w:szCs w:val="24"/>
                <w:highlight w:val="none"/>
                <w:lang w:val="en-US" w:eastAsia="zh-CN" w:bidi="ar-SA"/>
              </w:rPr>
              <w:t>库</w:t>
            </w:r>
            <w:r>
              <w:rPr>
                <w:rFonts w:hint="eastAsia" w:ascii="Times New Roman" w:hAnsi="Times New Roman" w:eastAsia="宋体" w:cs="Times New Roman"/>
                <w:color w:val="auto"/>
                <w:kern w:val="2"/>
                <w:sz w:val="24"/>
                <w:szCs w:val="24"/>
                <w:highlight w:val="none"/>
                <w:lang w:val="en-US" w:eastAsia="zh-CN" w:bidi="ar-SA"/>
              </w:rPr>
              <w:t>要求</w:t>
            </w:r>
          </w:p>
          <w:p w14:paraId="43984EA6">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本项目</w:t>
            </w:r>
            <w:r>
              <w:rPr>
                <w:rFonts w:hint="eastAsia" w:cs="Times New Roman"/>
                <w:color w:val="auto"/>
                <w:kern w:val="2"/>
                <w:sz w:val="24"/>
                <w:szCs w:val="24"/>
                <w:highlight w:val="none"/>
                <w:lang w:val="en-US" w:eastAsia="zh-CN" w:bidi="ar-SA"/>
              </w:rPr>
              <w:t>新建5</w:t>
            </w:r>
            <w:r>
              <w:rPr>
                <w:rFonts w:hint="eastAsia" w:ascii="Times New Roman" w:hAnsi="Times New Roman" w:eastAsia="宋体" w:cs="Times New Roman"/>
                <w:color w:val="auto"/>
                <w:kern w:val="2"/>
                <w:sz w:val="24"/>
                <w:szCs w:val="24"/>
                <w:highlight w:val="none"/>
                <w:lang w:val="en-US" w:eastAsia="zh-CN" w:bidi="ar-SA"/>
              </w:rPr>
              <w:t>m</w:t>
            </w:r>
            <w:r>
              <w:rPr>
                <w:rFonts w:hint="eastAsia" w:ascii="Times New Roman" w:hAnsi="Times New Roman" w:eastAsia="宋体" w:cs="Times New Roman"/>
                <w:color w:val="auto"/>
                <w:kern w:val="2"/>
                <w:sz w:val="24"/>
                <w:szCs w:val="24"/>
                <w:highlight w:val="none"/>
                <w:vertAlign w:val="superscript"/>
                <w:lang w:val="en-US" w:eastAsia="zh-CN" w:bidi="ar-SA"/>
              </w:rPr>
              <w:t>2</w:t>
            </w:r>
            <w:r>
              <w:rPr>
                <w:rFonts w:hint="eastAsia" w:cs="Times New Roman"/>
                <w:color w:val="auto"/>
                <w:kern w:val="2"/>
                <w:sz w:val="24"/>
                <w:szCs w:val="24"/>
                <w:highlight w:val="none"/>
                <w:lang w:val="en-US" w:eastAsia="zh-CN" w:bidi="ar-SA"/>
              </w:rPr>
              <w:t>危废库</w:t>
            </w:r>
            <w:r>
              <w:rPr>
                <w:rFonts w:hint="eastAsia" w:ascii="Times New Roman" w:hAnsi="Times New Roman" w:eastAsia="宋体" w:cs="Times New Roman"/>
                <w:color w:val="auto"/>
                <w:kern w:val="2"/>
                <w:sz w:val="24"/>
                <w:szCs w:val="24"/>
                <w:highlight w:val="none"/>
                <w:lang w:val="en-US" w:eastAsia="zh-CN" w:bidi="ar-SA"/>
              </w:rPr>
              <w:t>一座用于暂存</w:t>
            </w:r>
            <w:r>
              <w:rPr>
                <w:rFonts w:hint="eastAsia" w:cs="Times New Roman"/>
                <w:color w:val="auto"/>
                <w:kern w:val="2"/>
                <w:sz w:val="24"/>
                <w:szCs w:val="24"/>
                <w:highlight w:val="none"/>
                <w:lang w:val="en-US" w:eastAsia="zh-CN" w:bidi="ar-SA"/>
              </w:rPr>
              <w:t>废机油</w:t>
            </w:r>
            <w:r>
              <w:rPr>
                <w:rFonts w:hint="eastAsia" w:ascii="Times New Roman" w:hAnsi="Times New Roman" w:eastAsia="宋体" w:cs="Times New Roman"/>
                <w:color w:val="auto"/>
                <w:kern w:val="2"/>
                <w:sz w:val="24"/>
                <w:szCs w:val="24"/>
                <w:highlight w:val="none"/>
                <w:lang w:val="en-US" w:eastAsia="zh-CN" w:bidi="ar-SA"/>
              </w:rPr>
              <w:t>，贮存设计满足《危险废物贮存污染控制标准》（GB 18597-2023）以及《危险废物收集 贮存 运输技术规范》（HJ2025-2012）要求，委托有资质的单位进行处置</w:t>
            </w:r>
            <w:r>
              <w:rPr>
                <w:rFonts w:hint="eastAsia" w:cs="Times New Roman"/>
                <w:color w:val="auto"/>
                <w:kern w:val="2"/>
                <w:sz w:val="24"/>
                <w:szCs w:val="24"/>
                <w:highlight w:val="none"/>
                <w:lang w:val="en-US" w:eastAsia="zh-CN" w:bidi="ar-SA"/>
              </w:rPr>
              <w:t>。</w:t>
            </w:r>
          </w:p>
          <w:p w14:paraId="644836B6">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本项目新增危废种类废机油，因此本项目新增5</w:t>
            </w:r>
            <w:r>
              <w:rPr>
                <w:rFonts w:hint="eastAsia" w:ascii="Times New Roman" w:hAnsi="Times New Roman" w:eastAsia="宋体" w:cs="Times New Roman"/>
                <w:color w:val="auto"/>
                <w:kern w:val="2"/>
                <w:sz w:val="24"/>
                <w:szCs w:val="24"/>
                <w:highlight w:val="none"/>
                <w:lang w:val="en-US" w:eastAsia="zh-CN" w:bidi="ar-SA"/>
              </w:rPr>
              <w:t>m</w:t>
            </w:r>
            <w:r>
              <w:rPr>
                <w:rFonts w:hint="eastAsia" w:ascii="Times New Roman" w:hAnsi="Times New Roman" w:eastAsia="宋体" w:cs="Times New Roman"/>
                <w:color w:val="auto"/>
                <w:kern w:val="2"/>
                <w:sz w:val="24"/>
                <w:szCs w:val="24"/>
                <w:highlight w:val="none"/>
                <w:vertAlign w:val="superscript"/>
                <w:lang w:val="en-US" w:eastAsia="zh-CN" w:bidi="ar-SA"/>
              </w:rPr>
              <w:t>2</w:t>
            </w:r>
            <w:r>
              <w:rPr>
                <w:rFonts w:hint="eastAsia" w:cs="Times New Roman"/>
                <w:color w:val="auto"/>
                <w:kern w:val="2"/>
                <w:sz w:val="24"/>
                <w:szCs w:val="24"/>
                <w:highlight w:val="none"/>
                <w:lang w:val="en-US" w:eastAsia="zh-CN" w:bidi="ar-SA"/>
              </w:rPr>
              <w:t>危废库</w:t>
            </w:r>
            <w:r>
              <w:rPr>
                <w:rFonts w:hint="eastAsia" w:ascii="Times New Roman" w:hAnsi="Times New Roman" w:eastAsia="宋体" w:cs="Times New Roman"/>
                <w:color w:val="auto"/>
                <w:kern w:val="2"/>
                <w:sz w:val="24"/>
                <w:szCs w:val="24"/>
                <w:highlight w:val="none"/>
                <w:lang w:val="en-US" w:eastAsia="zh-CN" w:bidi="ar-SA"/>
              </w:rPr>
              <w:t>一座用于暂存废机油。</w:t>
            </w:r>
          </w:p>
          <w:p w14:paraId="0B61DB3D">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本项目危险废物在收集、转运时需满足以下要求：</w:t>
            </w:r>
          </w:p>
          <w:p w14:paraId="1BDF4118">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 xml:space="preserve">①危险废物的收集 </w:t>
            </w:r>
          </w:p>
          <w:p w14:paraId="6D39845C">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 xml:space="preserve">a.危险废物产生单位进行的危险废物收集包括两个方面，一是在危险废物产生节点将危险废物集中到适当的包装容器中或运输车辆上的活动；二是将已包装或装到运输车辆上的危险废物集中到危险废物产生单位内部临时贮存设施的内部转运。 </w:t>
            </w:r>
          </w:p>
          <w:p w14:paraId="558B47B7">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 xml:space="preserve">b.危险废物的收集应根据危险废物产生的工艺特征、排放周期、危险废物特性、废物管理计划等因素制定收集计划。收集计划应包括收集任务概述、收集目标及原则、危险废物特性评估、危险废物收集量估算、收集作业范围和方法、收集设备与包装容器、安全生产与个人防护、工程防护与事故应急、进度安排与组织管理等。 </w:t>
            </w:r>
          </w:p>
          <w:p w14:paraId="5DC28FED">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 xml:space="preserve">c.危险废物的收集应制定详细的操作规程，内容至少应包括适用范围、操作程序和方法、专用设备和工具、转移和交接、安全保障和应急防护等。 </w:t>
            </w:r>
          </w:p>
          <w:p w14:paraId="79B30F7F">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 xml:space="preserve">d.危险废物收集和转运作业人员应根据工作需要配备必要的个人防护装备，如手套、防护镜、防护服、防毒面具或口罩等。 </w:t>
            </w:r>
          </w:p>
          <w:p w14:paraId="490D0784">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e.在危险废物的收集和转运过程中，应采取相应的安全防护和污染防治措施，包括防爆、防火、防中毒、防感染、防</w:t>
            </w:r>
            <w:r>
              <w:rPr>
                <w:rFonts w:hint="eastAsia" w:cs="Times New Roman"/>
                <w:color w:val="auto"/>
                <w:kern w:val="0"/>
                <w:sz w:val="24"/>
                <w:szCs w:val="24"/>
                <w:lang w:val="en-US" w:eastAsia="zh-CN" w:bidi="ar-SA"/>
              </w:rPr>
              <w:t>泄漏</w:t>
            </w:r>
            <w:r>
              <w:rPr>
                <w:rFonts w:hint="default" w:ascii="Times New Roman" w:hAnsi="Times New Roman" w:eastAsia="宋体" w:cs="Times New Roman"/>
                <w:color w:val="auto"/>
                <w:kern w:val="0"/>
                <w:sz w:val="24"/>
                <w:szCs w:val="24"/>
                <w:lang w:val="en-US" w:eastAsia="zh-CN" w:bidi="ar-SA"/>
              </w:rPr>
              <w:t>、防飞扬、防雨或</w:t>
            </w:r>
            <w:r>
              <w:rPr>
                <w:rFonts w:hint="eastAsia" w:cs="Times New Roman"/>
                <w:color w:val="auto"/>
                <w:kern w:val="0"/>
                <w:sz w:val="24"/>
                <w:szCs w:val="24"/>
                <w:lang w:val="en-US" w:eastAsia="zh-CN" w:bidi="ar-SA"/>
              </w:rPr>
              <w:t>其他</w:t>
            </w:r>
            <w:r>
              <w:rPr>
                <w:rFonts w:hint="default" w:ascii="Times New Roman" w:hAnsi="Times New Roman" w:eastAsia="宋体" w:cs="Times New Roman"/>
                <w:color w:val="auto"/>
                <w:kern w:val="0"/>
                <w:sz w:val="24"/>
                <w:szCs w:val="24"/>
                <w:lang w:val="en-US" w:eastAsia="zh-CN" w:bidi="ar-SA"/>
              </w:rPr>
              <w:t xml:space="preserve">防止污染环境的措施。 </w:t>
            </w:r>
          </w:p>
          <w:p w14:paraId="06C60F57">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 xml:space="preserve">f.危险废物收集时应根据危险废物的种类、数量、危险特性、物理形态、运输要求等因素确定包装形式，具体包装应符合如下要求： </w:t>
            </w:r>
          </w:p>
          <w:p w14:paraId="287A1FF9">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eastAsia" w:cs="Times New Roman"/>
                <w:color w:val="auto"/>
                <w:kern w:val="0"/>
                <w:sz w:val="24"/>
                <w:szCs w:val="24"/>
                <w:lang w:val="en-US" w:eastAsia="zh-CN" w:bidi="ar-SA"/>
              </w:rPr>
              <w:t>1）</w:t>
            </w:r>
            <w:r>
              <w:rPr>
                <w:rFonts w:hint="default" w:ascii="Times New Roman" w:hAnsi="Times New Roman" w:eastAsia="宋体" w:cs="Times New Roman"/>
                <w:color w:val="auto"/>
                <w:kern w:val="0"/>
                <w:sz w:val="24"/>
                <w:szCs w:val="24"/>
                <w:lang w:val="en-US" w:eastAsia="zh-CN" w:bidi="ar-SA"/>
              </w:rPr>
              <w:t xml:space="preserve">包装材质要与危险废物相容，可根据废物特性选择钢、铝、塑料等材质。 </w:t>
            </w:r>
          </w:p>
          <w:p w14:paraId="7F735E22">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eastAsia" w:cs="Times New Roman"/>
                <w:color w:val="auto"/>
                <w:kern w:val="0"/>
                <w:sz w:val="24"/>
                <w:szCs w:val="24"/>
                <w:lang w:val="en-US" w:eastAsia="zh-CN" w:bidi="ar-SA"/>
              </w:rPr>
              <w:t>2）</w:t>
            </w:r>
            <w:r>
              <w:rPr>
                <w:rFonts w:hint="default" w:ascii="Times New Roman" w:hAnsi="Times New Roman" w:eastAsia="宋体" w:cs="Times New Roman"/>
                <w:color w:val="auto"/>
                <w:kern w:val="0"/>
                <w:sz w:val="24"/>
                <w:szCs w:val="24"/>
                <w:lang w:val="en-US" w:eastAsia="zh-CN" w:bidi="ar-SA"/>
              </w:rPr>
              <w:t xml:space="preserve">性质类似的废物可收集到同一容器中，性质不相容的危险废物不应混合包装。 </w:t>
            </w:r>
          </w:p>
          <w:p w14:paraId="5CF07DAD">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eastAsia" w:cs="Times New Roman"/>
                <w:color w:val="auto"/>
                <w:kern w:val="0"/>
                <w:sz w:val="24"/>
                <w:szCs w:val="24"/>
                <w:lang w:val="en-US" w:eastAsia="zh-CN" w:bidi="ar-SA"/>
              </w:rPr>
              <w:t>3）</w:t>
            </w:r>
            <w:r>
              <w:rPr>
                <w:rFonts w:hint="default" w:ascii="Times New Roman" w:hAnsi="Times New Roman" w:eastAsia="宋体" w:cs="Times New Roman"/>
                <w:color w:val="auto"/>
                <w:kern w:val="0"/>
                <w:sz w:val="24"/>
                <w:szCs w:val="24"/>
                <w:lang w:val="en-US" w:eastAsia="zh-CN" w:bidi="ar-SA"/>
              </w:rPr>
              <w:t xml:space="preserve">危险废物包装应能有效隔断危险废物迁移扩散途径，并达到防渗、防漏要求。 </w:t>
            </w:r>
          </w:p>
          <w:p w14:paraId="6ACF8561">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SA"/>
              </w:rPr>
            </w:pPr>
            <w:r>
              <w:rPr>
                <w:rFonts w:hint="eastAsia" w:cs="Times New Roman"/>
                <w:color w:val="auto"/>
                <w:kern w:val="0"/>
                <w:sz w:val="24"/>
                <w:szCs w:val="24"/>
                <w:lang w:val="en-US" w:eastAsia="zh-CN" w:bidi="ar-SA"/>
              </w:rPr>
              <w:t>4）</w:t>
            </w:r>
            <w:r>
              <w:rPr>
                <w:rFonts w:hint="default" w:ascii="Times New Roman" w:hAnsi="Times New Roman" w:eastAsia="宋体" w:cs="Times New Roman"/>
                <w:color w:val="auto"/>
                <w:kern w:val="0"/>
                <w:sz w:val="24"/>
                <w:szCs w:val="24"/>
                <w:lang w:val="en-US" w:eastAsia="zh-CN" w:bidi="ar-SA"/>
              </w:rPr>
              <w:t>包装好的危险废物应设置相应的标签，标签信息应填写完整</w:t>
            </w:r>
            <w:r>
              <w:rPr>
                <w:rFonts w:hint="eastAsia" w:cs="Times New Roman"/>
                <w:color w:val="auto"/>
                <w:kern w:val="0"/>
                <w:sz w:val="24"/>
                <w:szCs w:val="24"/>
                <w:lang w:val="en-US" w:eastAsia="zh-CN" w:bidi="ar-SA"/>
              </w:rPr>
              <w:t>详实</w:t>
            </w:r>
            <w:r>
              <w:rPr>
                <w:rFonts w:hint="default" w:ascii="Times New Roman" w:hAnsi="Times New Roman" w:eastAsia="宋体" w:cs="Times New Roman"/>
                <w:color w:val="auto"/>
                <w:kern w:val="0"/>
                <w:sz w:val="24"/>
                <w:szCs w:val="24"/>
                <w:lang w:val="en-US" w:eastAsia="zh-CN" w:bidi="ar-SA"/>
              </w:rPr>
              <w:t xml:space="preserve">。 </w:t>
            </w:r>
          </w:p>
          <w:p w14:paraId="1472EB7E">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5）</w:t>
            </w:r>
            <w:r>
              <w:rPr>
                <w:rFonts w:hint="default" w:ascii="Times New Roman" w:hAnsi="Times New Roman" w:eastAsia="宋体" w:cs="Times New Roman"/>
                <w:color w:val="auto"/>
                <w:kern w:val="2"/>
                <w:sz w:val="24"/>
                <w:szCs w:val="24"/>
                <w:lang w:val="en-US" w:eastAsia="zh-CN" w:bidi="ar-SA"/>
              </w:rPr>
              <w:t xml:space="preserve">盛装过危险废物的包装袋或包装容器破损后应按危险废物进行管理和处置。 </w:t>
            </w:r>
          </w:p>
          <w:p w14:paraId="7AB7CF68">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6）</w:t>
            </w:r>
            <w:r>
              <w:rPr>
                <w:rFonts w:hint="default" w:ascii="Times New Roman" w:hAnsi="Times New Roman" w:eastAsia="宋体" w:cs="Times New Roman"/>
                <w:color w:val="auto"/>
                <w:kern w:val="2"/>
                <w:sz w:val="24"/>
                <w:szCs w:val="24"/>
                <w:lang w:val="en-US" w:eastAsia="zh-CN" w:bidi="ar-SA"/>
              </w:rPr>
              <w:t xml:space="preserve">危险废物还应根据GB12463的有关要求进行运输包装。 </w:t>
            </w:r>
          </w:p>
          <w:p w14:paraId="4FB50ADC">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 xml:space="preserve">g.危险废物的收集作业应满足如下要求： </w:t>
            </w:r>
          </w:p>
          <w:p w14:paraId="65F489FE">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1）</w:t>
            </w:r>
            <w:r>
              <w:rPr>
                <w:rFonts w:hint="default" w:ascii="Times New Roman" w:hAnsi="Times New Roman" w:eastAsia="宋体" w:cs="Times New Roman"/>
                <w:color w:val="auto"/>
                <w:kern w:val="2"/>
                <w:sz w:val="24"/>
                <w:szCs w:val="24"/>
                <w:lang w:val="en-US" w:eastAsia="zh-CN" w:bidi="ar-SA"/>
              </w:rPr>
              <w:t xml:space="preserve">应根据收集设备、转运车辆以及现场人员等实际情况确定相应作业区域，同时要设置作业界限标志和警示牌。 </w:t>
            </w:r>
          </w:p>
          <w:p w14:paraId="7AF40EC1">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2）</w:t>
            </w:r>
            <w:r>
              <w:rPr>
                <w:rFonts w:hint="default" w:ascii="Times New Roman" w:hAnsi="Times New Roman" w:eastAsia="宋体" w:cs="Times New Roman"/>
                <w:color w:val="auto"/>
                <w:kern w:val="2"/>
                <w:sz w:val="24"/>
                <w:szCs w:val="24"/>
                <w:lang w:val="en-US" w:eastAsia="zh-CN" w:bidi="ar-SA"/>
              </w:rPr>
              <w:t xml:space="preserve">作业区域内应设置危险废物收集专用通道和人员避险通道。 </w:t>
            </w:r>
          </w:p>
          <w:p w14:paraId="14C24D29">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3）</w:t>
            </w:r>
            <w:r>
              <w:rPr>
                <w:rFonts w:hint="default" w:ascii="Times New Roman" w:hAnsi="Times New Roman" w:eastAsia="宋体" w:cs="Times New Roman"/>
                <w:color w:val="auto"/>
                <w:kern w:val="2"/>
                <w:sz w:val="24"/>
                <w:szCs w:val="24"/>
                <w:lang w:val="en-US" w:eastAsia="zh-CN" w:bidi="ar-SA"/>
              </w:rPr>
              <w:t xml:space="preserve">收集时应配备必要的收集工具和包装物，以及必要的应急监测设备及应急装备。 </w:t>
            </w:r>
          </w:p>
          <w:p w14:paraId="550B872D">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4）</w:t>
            </w:r>
            <w:r>
              <w:rPr>
                <w:rFonts w:hint="default" w:ascii="Times New Roman" w:hAnsi="Times New Roman" w:eastAsia="宋体" w:cs="Times New Roman"/>
                <w:color w:val="auto"/>
                <w:kern w:val="2"/>
                <w:sz w:val="24"/>
                <w:szCs w:val="24"/>
                <w:lang w:val="en-US" w:eastAsia="zh-CN" w:bidi="ar-SA"/>
              </w:rPr>
              <w:t xml:space="preserve">危险废物收集应参照本标准附录A填写记录表，并将记录表作为危险废物管理的重要档案妥善保存。 </w:t>
            </w:r>
          </w:p>
          <w:p w14:paraId="1D87C3DF">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5）</w:t>
            </w:r>
            <w:r>
              <w:rPr>
                <w:rFonts w:hint="default" w:ascii="Times New Roman" w:hAnsi="Times New Roman" w:eastAsia="宋体" w:cs="Times New Roman"/>
                <w:color w:val="auto"/>
                <w:kern w:val="2"/>
                <w:sz w:val="24"/>
                <w:szCs w:val="24"/>
                <w:lang w:val="en-US" w:eastAsia="zh-CN" w:bidi="ar-SA"/>
              </w:rPr>
              <w:t xml:space="preserve">收集结束后应清理和恢复收集作业区域，确保作业区域环境整洁安全。 </w:t>
            </w:r>
          </w:p>
          <w:p w14:paraId="2FA2E45E">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6）</w:t>
            </w:r>
            <w:r>
              <w:rPr>
                <w:rFonts w:hint="default" w:ascii="Times New Roman" w:hAnsi="Times New Roman" w:eastAsia="宋体" w:cs="Times New Roman"/>
                <w:color w:val="auto"/>
                <w:kern w:val="2"/>
                <w:sz w:val="24"/>
                <w:szCs w:val="24"/>
                <w:lang w:val="en-US" w:eastAsia="zh-CN" w:bidi="ar-SA"/>
              </w:rPr>
              <w:t>收集过危险废物的容器、设备、设施、场所及其</w:t>
            </w:r>
            <w:r>
              <w:rPr>
                <w:rFonts w:hint="eastAsia" w:cs="Times New Roman"/>
                <w:color w:val="auto"/>
                <w:kern w:val="2"/>
                <w:sz w:val="24"/>
                <w:szCs w:val="24"/>
                <w:lang w:val="en-US" w:eastAsia="zh-CN" w:bidi="ar-SA"/>
              </w:rPr>
              <w:t>他物品</w:t>
            </w:r>
            <w:r>
              <w:rPr>
                <w:rFonts w:hint="default" w:ascii="Times New Roman" w:hAnsi="Times New Roman" w:eastAsia="宋体" w:cs="Times New Roman"/>
                <w:color w:val="auto"/>
                <w:kern w:val="2"/>
                <w:sz w:val="24"/>
                <w:szCs w:val="24"/>
                <w:lang w:val="en-US" w:eastAsia="zh-CN" w:bidi="ar-SA"/>
              </w:rPr>
              <w:t>转作</w:t>
            </w:r>
            <w:r>
              <w:rPr>
                <w:rFonts w:hint="eastAsia" w:cs="Times New Roman"/>
                <w:color w:val="auto"/>
                <w:kern w:val="2"/>
                <w:sz w:val="24"/>
                <w:szCs w:val="24"/>
                <w:lang w:val="en-US" w:eastAsia="zh-CN" w:bidi="ar-SA"/>
              </w:rPr>
              <w:t>他</w:t>
            </w:r>
            <w:r>
              <w:rPr>
                <w:rFonts w:hint="default" w:ascii="Times New Roman" w:hAnsi="Times New Roman" w:eastAsia="宋体" w:cs="Times New Roman"/>
                <w:color w:val="auto"/>
                <w:kern w:val="2"/>
                <w:sz w:val="24"/>
                <w:szCs w:val="24"/>
                <w:lang w:val="en-US" w:eastAsia="zh-CN" w:bidi="ar-SA"/>
              </w:rPr>
              <w:t>用时，应消除污染，确保其使用安全。</w:t>
            </w:r>
          </w:p>
          <w:p w14:paraId="20EAA0D7">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h.危险废物内部转运作业应满足如下要求：</w:t>
            </w:r>
          </w:p>
          <w:p w14:paraId="54EDC53B">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1）</w:t>
            </w:r>
            <w:r>
              <w:rPr>
                <w:rFonts w:hint="default" w:ascii="Times New Roman" w:hAnsi="Times New Roman" w:eastAsia="宋体" w:cs="Times New Roman"/>
                <w:color w:val="auto"/>
                <w:kern w:val="2"/>
                <w:sz w:val="24"/>
                <w:szCs w:val="24"/>
                <w:lang w:val="en-US" w:eastAsia="zh-CN" w:bidi="ar-SA"/>
              </w:rPr>
              <w:t>危险废物内部转运应综合考虑厂区的实际情况确定转运路线，尽量避开办公区和生活区。</w:t>
            </w:r>
          </w:p>
          <w:p w14:paraId="777E612E">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2）</w:t>
            </w:r>
            <w:r>
              <w:rPr>
                <w:rFonts w:hint="default" w:ascii="Times New Roman" w:hAnsi="Times New Roman" w:eastAsia="宋体" w:cs="Times New Roman"/>
                <w:color w:val="auto"/>
                <w:kern w:val="2"/>
                <w:sz w:val="24"/>
                <w:szCs w:val="24"/>
                <w:lang w:val="en-US" w:eastAsia="zh-CN" w:bidi="ar-SA"/>
              </w:rPr>
              <w:t>危险废物内部转运作业应采用专用的工具，危险废物内部转运应填写《危险废物厂内转运记录表》。</w:t>
            </w:r>
          </w:p>
          <w:p w14:paraId="697399A2">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cs="Times New Roman"/>
                <w:color w:val="auto"/>
                <w:kern w:val="2"/>
                <w:sz w:val="24"/>
                <w:szCs w:val="24"/>
                <w:lang w:val="en-US" w:eastAsia="zh-CN" w:bidi="ar-SA"/>
              </w:rPr>
              <w:t>3）</w:t>
            </w:r>
            <w:r>
              <w:rPr>
                <w:rFonts w:hint="default" w:ascii="Times New Roman" w:hAnsi="Times New Roman" w:eastAsia="宋体" w:cs="Times New Roman"/>
                <w:color w:val="auto"/>
                <w:kern w:val="2"/>
                <w:sz w:val="24"/>
                <w:szCs w:val="24"/>
                <w:lang w:val="en-US" w:eastAsia="zh-CN" w:bidi="ar-SA"/>
              </w:rPr>
              <w:t>危险废物内部转运结束后，应对转运路线进行检查和清理，确保无危险废物遗失在转运路线上，并对转运工具进行清洗。</w:t>
            </w:r>
          </w:p>
          <w:p w14:paraId="59D2BC38">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i.收集不具备运输包装条件的危险废物时，且危险特性不会对环境和操作人员造成重大危害，可在临时包装后进行暂时贮存，但正式运输前应按本标准要求进行包装。</w:t>
            </w:r>
          </w:p>
          <w:p w14:paraId="42C51FE9">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②危险废物的转运</w:t>
            </w:r>
          </w:p>
          <w:p w14:paraId="57B2301F">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危险废物应按照国家有关规定向当地环境保护行政主管部门申报登记，接受当地环境保护行政主管部门监督管理。同时，根据国务院令第</w:t>
            </w:r>
            <w:r>
              <w:rPr>
                <w:rFonts w:hint="eastAsia" w:ascii="Times New Roman" w:hAnsi="Times New Roman" w:eastAsia="宋体" w:cs="Times New Roman"/>
                <w:color w:val="auto"/>
                <w:sz w:val="24"/>
                <w:szCs w:val="24"/>
                <w:highlight w:val="none"/>
                <w:lang w:val="en-US" w:eastAsia="zh-CN" w:bidi="ar-SA"/>
              </w:rPr>
              <w:t>645</w:t>
            </w:r>
            <w:r>
              <w:rPr>
                <w:rFonts w:hint="default" w:ascii="Times New Roman" w:hAnsi="Times New Roman" w:eastAsia="宋体" w:cs="Times New Roman"/>
                <w:color w:val="auto"/>
                <w:sz w:val="24"/>
                <w:szCs w:val="24"/>
                <w:highlight w:val="none"/>
                <w:lang w:val="en-US" w:eastAsia="zh-CN" w:bidi="ar-SA"/>
              </w:rPr>
              <w:t>号《危险化学品安全管理条例</w:t>
            </w:r>
            <w:r>
              <w:rPr>
                <w:rFonts w:hint="eastAsia" w:cs="Times New Roman"/>
                <w:color w:val="auto"/>
                <w:sz w:val="24"/>
                <w:szCs w:val="24"/>
                <w:highlight w:val="none"/>
                <w:lang w:val="en-US" w:eastAsia="zh-CN" w:bidi="ar-SA"/>
              </w:rPr>
              <w:t>》《</w:t>
            </w:r>
            <w:r>
              <w:rPr>
                <w:rFonts w:hint="default" w:ascii="Times New Roman" w:hAnsi="Times New Roman" w:eastAsia="宋体" w:cs="Times New Roman"/>
                <w:color w:val="auto"/>
                <w:sz w:val="24"/>
                <w:szCs w:val="24"/>
                <w:highlight w:val="none"/>
                <w:lang w:val="en-US" w:eastAsia="zh-CN" w:bidi="ar-SA"/>
              </w:rPr>
              <w:t>危险废物收集 贮存 运输技术规范》（HJ2025-2012）的有关规定，在危险废物外运至处置单位时必须严格遵守以下要求：</w:t>
            </w:r>
          </w:p>
          <w:p w14:paraId="6EAD2F91">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 xml:space="preserve">a.危险废物运输应由持有危险废物经营许可证的单位按照其许可证的经营范围组织实施，承担危险废物运输的单位应获得交通运输部门颁发的危险货物运输资质；危险废物公路运输应按照《道路危险货物运输管理规定》、JT617以及JT618 执行；废弃危险化学品的运输应执行《危险化学品安全管理条例》有关运输的规定；运输单位承运危险废物时，应在危险废物包装上按照 GB18597 附录A设置标志；危险废物公路运输时，运输车辆应按GB13392设置车辆标志；危险废物运输时的中转、装卸过程应遵守如下技术要求： </w:t>
            </w:r>
          </w:p>
          <w:p w14:paraId="3B043743">
            <w:pPr>
              <w:widowControl w:val="0"/>
              <w:wordWrap/>
              <w:overflowPunct w:val="0"/>
              <w:autoSpaceDE w:val="0"/>
              <w:autoSpaceDN w:val="0"/>
              <w:adjustRightInd w:val="0"/>
              <w:snapToGrid w:val="0"/>
              <w:spacing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eastAsia" w:cs="Times New Roman"/>
                <w:color w:val="auto"/>
                <w:sz w:val="24"/>
                <w:szCs w:val="24"/>
                <w:highlight w:val="none"/>
                <w:lang w:val="en-US" w:eastAsia="zh-CN" w:bidi="ar-SA"/>
              </w:rPr>
              <w:t>1）</w:t>
            </w:r>
            <w:r>
              <w:rPr>
                <w:rFonts w:hint="default" w:ascii="Times New Roman" w:hAnsi="Times New Roman" w:eastAsia="宋体" w:cs="Times New Roman"/>
                <w:color w:val="auto"/>
                <w:sz w:val="24"/>
                <w:szCs w:val="24"/>
                <w:highlight w:val="none"/>
                <w:lang w:val="en-US" w:eastAsia="zh-CN" w:bidi="ar-SA"/>
              </w:rPr>
              <w:t>卸载区的工作人员应熟悉废物的危险特性，并配备适当的</w:t>
            </w:r>
            <w:r>
              <w:rPr>
                <w:rFonts w:hint="eastAsia" w:cs="Times New Roman"/>
                <w:color w:val="auto"/>
                <w:sz w:val="24"/>
                <w:szCs w:val="24"/>
                <w:highlight w:val="none"/>
                <w:lang w:val="en-US" w:eastAsia="zh-CN" w:bidi="ar-SA"/>
              </w:rPr>
              <w:t>个体防护装备</w:t>
            </w:r>
            <w:r>
              <w:rPr>
                <w:rFonts w:hint="default" w:ascii="Times New Roman" w:hAnsi="Times New Roman" w:eastAsia="宋体" w:cs="Times New Roman"/>
                <w:color w:val="auto"/>
                <w:sz w:val="24"/>
                <w:szCs w:val="24"/>
                <w:highlight w:val="none"/>
                <w:lang w:val="en-US" w:eastAsia="zh-CN" w:bidi="ar-SA"/>
              </w:rPr>
              <w:t>，装卸剧毒废物应配备特殊的防护装备。</w:t>
            </w:r>
          </w:p>
          <w:p w14:paraId="755D9D5C">
            <w:pPr>
              <w:widowControl w:val="0"/>
              <w:wordWrap/>
              <w:overflowPunct w:val="0"/>
              <w:autoSpaceDE w:val="0"/>
              <w:autoSpaceDN w:val="0"/>
              <w:adjustRightInd w:val="0"/>
              <w:snapToGrid w:val="0"/>
              <w:spacing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eastAsia" w:cs="Times New Roman"/>
                <w:color w:val="auto"/>
                <w:sz w:val="24"/>
                <w:szCs w:val="24"/>
                <w:highlight w:val="none"/>
                <w:lang w:val="en-US" w:eastAsia="zh-CN" w:bidi="ar-SA"/>
              </w:rPr>
              <w:t>2）</w:t>
            </w:r>
            <w:r>
              <w:rPr>
                <w:rFonts w:hint="default" w:ascii="Times New Roman" w:hAnsi="Times New Roman" w:eastAsia="宋体" w:cs="Times New Roman"/>
                <w:color w:val="auto"/>
                <w:sz w:val="24"/>
                <w:szCs w:val="24"/>
                <w:highlight w:val="none"/>
                <w:lang w:val="en-US" w:eastAsia="zh-CN" w:bidi="ar-SA"/>
              </w:rPr>
              <w:t xml:space="preserve">卸载区应配备必要的消防设备和设施，并设置明显的指示标志。 </w:t>
            </w:r>
          </w:p>
          <w:p w14:paraId="6E125789">
            <w:pPr>
              <w:widowControl w:val="0"/>
              <w:wordWrap/>
              <w:overflowPunct w:val="0"/>
              <w:autoSpaceDE w:val="0"/>
              <w:autoSpaceDN w:val="0"/>
              <w:adjustRightInd w:val="0"/>
              <w:snapToGrid w:val="0"/>
              <w:spacing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eastAsia" w:cs="Times New Roman"/>
                <w:color w:val="auto"/>
                <w:sz w:val="24"/>
                <w:szCs w:val="24"/>
                <w:highlight w:val="none"/>
                <w:lang w:val="en-US" w:eastAsia="zh-CN" w:bidi="ar-SA"/>
              </w:rPr>
              <w:t>3）</w:t>
            </w:r>
            <w:r>
              <w:rPr>
                <w:rFonts w:hint="default" w:ascii="Times New Roman" w:hAnsi="Times New Roman" w:eastAsia="宋体" w:cs="Times New Roman"/>
                <w:color w:val="auto"/>
                <w:sz w:val="24"/>
                <w:szCs w:val="24"/>
                <w:highlight w:val="none"/>
                <w:lang w:val="en-US" w:eastAsia="zh-CN" w:bidi="ar-SA"/>
              </w:rPr>
              <w:t xml:space="preserve">危险废物装卸区应设置隔离设施，液态废物卸载区应设置收集槽和缓冲罐。 </w:t>
            </w:r>
          </w:p>
          <w:p w14:paraId="49704F13">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bidi="ar-SA"/>
              </w:rPr>
              <w:t>b.对承运人或者接受人的主体资格和技术能力进行核实，依法签订书面合同，并在合同中约定运输、贮存、利用、处置危险废物的污染防治要求及相关责任；</w:t>
            </w:r>
          </w:p>
          <w:p w14:paraId="5576BA28">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bidi="ar-SA"/>
              </w:rPr>
              <w:t>c.</w:t>
            </w:r>
            <w:r>
              <w:rPr>
                <w:rFonts w:hint="default" w:ascii="Times New Roman" w:hAnsi="Times New Roman" w:eastAsia="宋体" w:cs="Times New Roman"/>
                <w:color w:val="auto"/>
                <w:sz w:val="24"/>
                <w:szCs w:val="24"/>
                <w:highlight w:val="none"/>
                <w:lang w:val="en-US" w:eastAsia="zh-CN" w:bidi="ar-SA"/>
              </w:rPr>
              <w:t>制定危险废物管理计划，明确拟转移危险废物的种类、重量（数量）和流向等信息；</w:t>
            </w:r>
          </w:p>
          <w:p w14:paraId="7402B6AD">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bidi="ar-SA"/>
              </w:rPr>
              <w:t>d.</w:t>
            </w:r>
            <w:r>
              <w:rPr>
                <w:rFonts w:hint="default" w:ascii="Times New Roman" w:hAnsi="Times New Roman" w:eastAsia="宋体" w:cs="Times New Roman"/>
                <w:color w:val="auto"/>
                <w:sz w:val="24"/>
                <w:szCs w:val="24"/>
                <w:highlight w:val="none"/>
                <w:lang w:val="en-US" w:eastAsia="zh-CN" w:bidi="ar-SA"/>
              </w:rPr>
              <w:t>建立危险废物管理台账，对转移的危险废物进行计量称重，如实记录、妥善保管转移危险废物的种类、重量（数量）和</w:t>
            </w:r>
            <w:r>
              <w:rPr>
                <w:rFonts w:hint="eastAsia" w:cs="Times New Roman"/>
                <w:color w:val="auto"/>
                <w:sz w:val="24"/>
                <w:szCs w:val="24"/>
                <w:highlight w:val="none"/>
                <w:lang w:val="en-US" w:eastAsia="zh-CN" w:bidi="ar-SA"/>
              </w:rPr>
              <w:t>接收</w:t>
            </w:r>
            <w:r>
              <w:rPr>
                <w:rFonts w:hint="default" w:ascii="Times New Roman" w:hAnsi="Times New Roman" w:eastAsia="宋体" w:cs="Times New Roman"/>
                <w:color w:val="auto"/>
                <w:sz w:val="24"/>
                <w:szCs w:val="24"/>
                <w:highlight w:val="none"/>
                <w:lang w:val="en-US" w:eastAsia="zh-CN" w:bidi="ar-SA"/>
              </w:rPr>
              <w:t>人等相关信息；</w:t>
            </w:r>
          </w:p>
          <w:p w14:paraId="09410310">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bidi="ar-SA"/>
              </w:rPr>
              <w:t>e.</w:t>
            </w:r>
            <w:r>
              <w:rPr>
                <w:rFonts w:hint="default" w:ascii="Times New Roman" w:hAnsi="Times New Roman" w:eastAsia="宋体" w:cs="Times New Roman"/>
                <w:color w:val="auto"/>
                <w:sz w:val="24"/>
                <w:szCs w:val="24"/>
                <w:highlight w:val="none"/>
                <w:lang w:val="en-US" w:eastAsia="zh-CN" w:bidi="ar-SA"/>
              </w:rPr>
              <w:t>填写、运行危险废物转移联单，在危险废物转移联单中如实填写移出人、承运人、</w:t>
            </w:r>
            <w:r>
              <w:rPr>
                <w:rFonts w:hint="eastAsia" w:cs="Times New Roman"/>
                <w:color w:val="auto"/>
                <w:sz w:val="24"/>
                <w:szCs w:val="24"/>
                <w:highlight w:val="none"/>
                <w:lang w:val="en-US" w:eastAsia="zh-CN" w:bidi="ar-SA"/>
              </w:rPr>
              <w:t>接收</w:t>
            </w:r>
            <w:r>
              <w:rPr>
                <w:rFonts w:hint="default" w:ascii="Times New Roman" w:hAnsi="Times New Roman" w:eastAsia="宋体" w:cs="Times New Roman"/>
                <w:color w:val="auto"/>
                <w:sz w:val="24"/>
                <w:szCs w:val="24"/>
                <w:highlight w:val="none"/>
                <w:lang w:val="en-US" w:eastAsia="zh-CN" w:bidi="ar-SA"/>
              </w:rPr>
              <w:t>人信息，转移危险废物的种类、重量（数量）、危险特性等信息，以及突发环境事件的防范措施等；</w:t>
            </w:r>
          </w:p>
          <w:p w14:paraId="4A1C1AA6">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bidi="ar-SA"/>
              </w:rPr>
            </w:pPr>
            <w:r>
              <w:rPr>
                <w:rFonts w:hint="eastAsia" w:ascii="Times New Roman" w:hAnsi="Times New Roman" w:eastAsia="宋体" w:cs="Times New Roman"/>
                <w:color w:val="auto"/>
                <w:sz w:val="24"/>
                <w:szCs w:val="24"/>
                <w:highlight w:val="none"/>
                <w:lang w:val="en-US" w:eastAsia="zh-CN" w:bidi="ar-SA"/>
              </w:rPr>
              <w:t>f.</w:t>
            </w:r>
            <w:r>
              <w:rPr>
                <w:rFonts w:hint="default" w:ascii="Times New Roman" w:hAnsi="Times New Roman" w:eastAsia="宋体" w:cs="Times New Roman"/>
                <w:color w:val="auto"/>
                <w:sz w:val="24"/>
                <w:szCs w:val="24"/>
                <w:highlight w:val="none"/>
                <w:lang w:val="en-US" w:eastAsia="zh-CN" w:bidi="ar-SA"/>
              </w:rPr>
              <w:t>及时核实</w:t>
            </w:r>
            <w:r>
              <w:rPr>
                <w:rFonts w:hint="eastAsia" w:cs="Times New Roman"/>
                <w:color w:val="auto"/>
                <w:sz w:val="24"/>
                <w:szCs w:val="24"/>
                <w:highlight w:val="none"/>
                <w:lang w:val="en-US" w:eastAsia="zh-CN" w:bidi="ar-SA"/>
              </w:rPr>
              <w:t>接收</w:t>
            </w:r>
            <w:r>
              <w:rPr>
                <w:rFonts w:hint="default" w:ascii="Times New Roman" w:hAnsi="Times New Roman" w:eastAsia="宋体" w:cs="Times New Roman"/>
                <w:color w:val="auto"/>
                <w:sz w:val="24"/>
                <w:szCs w:val="24"/>
                <w:highlight w:val="none"/>
                <w:lang w:val="en-US" w:eastAsia="zh-CN" w:bidi="ar-SA"/>
              </w:rPr>
              <w:t>人贮存、利用或者处置相关危险废物情况；</w:t>
            </w:r>
          </w:p>
          <w:p w14:paraId="5D292814">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yellow"/>
                <w:lang w:val="en-US" w:eastAsia="zh-CN" w:bidi="ar-SA"/>
              </w:rPr>
            </w:pPr>
            <w:r>
              <w:rPr>
                <w:rFonts w:hint="eastAsia" w:ascii="Times New Roman" w:hAnsi="Times New Roman" w:eastAsia="宋体" w:cs="Times New Roman"/>
                <w:color w:val="auto"/>
                <w:sz w:val="24"/>
                <w:szCs w:val="24"/>
                <w:highlight w:val="none"/>
                <w:lang w:val="en-US" w:eastAsia="zh-CN" w:bidi="ar-SA"/>
              </w:rPr>
              <w:t>g.</w:t>
            </w:r>
            <w:r>
              <w:rPr>
                <w:rFonts w:hint="default" w:ascii="Times New Roman" w:hAnsi="Times New Roman" w:eastAsia="宋体" w:cs="Times New Roman"/>
                <w:color w:val="auto"/>
                <w:sz w:val="24"/>
                <w:szCs w:val="24"/>
                <w:highlight w:val="none"/>
                <w:lang w:val="en-US" w:eastAsia="zh-CN" w:bidi="ar-SA"/>
              </w:rPr>
              <w:t>移出人应当按照国家有关要求开展危险废物鉴别。禁止将危险废物以副产品等名义提供或者委托给无危险废物经营许可证的单位或者其他生产经营者从事收集、贮存、利用、处置活动。</w:t>
            </w:r>
          </w:p>
          <w:p w14:paraId="7F0D99C2">
            <w:pPr>
              <w:widowControl w:val="0"/>
              <w:wordWrap/>
              <w:overflowPunct w:val="0"/>
              <w:autoSpaceDE w:val="0"/>
              <w:autoSpaceDN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yellow"/>
                <w:lang w:val="en-US" w:eastAsia="zh-CN" w:bidi="ar-SA"/>
              </w:rPr>
            </w:pPr>
            <w:r>
              <w:rPr>
                <w:rFonts w:hint="eastAsia" w:cs="Times New Roman"/>
                <w:color w:val="auto"/>
                <w:sz w:val="24"/>
                <w:szCs w:val="24"/>
                <w:highlight w:val="none"/>
                <w:lang w:val="en-US" w:eastAsia="zh-CN" w:bidi="ar-SA"/>
              </w:rPr>
              <w:t>（3）</w:t>
            </w:r>
            <w:r>
              <w:rPr>
                <w:rFonts w:hint="default" w:ascii="Times New Roman" w:hAnsi="Times New Roman" w:eastAsia="宋体" w:cs="Times New Roman"/>
                <w:color w:val="auto"/>
                <w:sz w:val="24"/>
                <w:szCs w:val="24"/>
                <w:highlight w:val="none"/>
                <w:lang w:val="en-US" w:eastAsia="zh-CN" w:bidi="ar-SA"/>
              </w:rPr>
              <w:t>危险废物贮存</w:t>
            </w:r>
          </w:p>
          <w:p w14:paraId="28436BE7">
            <w:pPr>
              <w:widowControl/>
              <w:numPr>
                <w:ilvl w:val="0"/>
                <w:numId w:val="0"/>
              </w:numPr>
              <w:spacing w:line="360" w:lineRule="auto"/>
              <w:ind w:firstLine="480" w:firstLineChars="200"/>
              <w:jc w:val="left"/>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a.贮存设施应根据危险废物的形态、物理化学性质、包装形式和污染物迁移途径，采取必要的防风、防晒、防雨、防漏、防渗、防腐以及其他环境污染防治措施，不应露天堆放危险废物。</w:t>
            </w:r>
          </w:p>
          <w:p w14:paraId="68D15C12">
            <w:pPr>
              <w:widowControl/>
              <w:numPr>
                <w:ilvl w:val="0"/>
                <w:numId w:val="0"/>
              </w:numPr>
              <w:spacing w:line="360" w:lineRule="auto"/>
              <w:ind w:firstLine="480" w:firstLineChars="200"/>
              <w:jc w:val="left"/>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b.贮存设施应根据危险废物的类别、数量、形态、物理化学性质和污染防治等要求设置必要的贮存分区，避免不相容的危险废物接触、混合。</w:t>
            </w:r>
          </w:p>
          <w:p w14:paraId="537D8A4E">
            <w:pPr>
              <w:widowControl/>
              <w:numPr>
                <w:ilvl w:val="0"/>
                <w:numId w:val="0"/>
              </w:numPr>
              <w:spacing w:line="360" w:lineRule="auto"/>
              <w:ind w:firstLine="480" w:firstLineChars="200"/>
              <w:jc w:val="left"/>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c.贮存设施或贮存分区内地面、墙面裙脚、堵截泄漏的围堰、接触危险废物的隔板和墙体等应采用坚固的材料建造，表面无裂缝。</w:t>
            </w:r>
          </w:p>
          <w:p w14:paraId="648AECC9">
            <w:pPr>
              <w:widowControl/>
              <w:numPr>
                <w:ilvl w:val="0"/>
                <w:numId w:val="0"/>
              </w:numPr>
              <w:spacing w:line="360" w:lineRule="auto"/>
              <w:ind w:firstLine="480" w:firstLineChars="200"/>
              <w:jc w:val="left"/>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d.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 m厚黏土层（渗透系数不大于10</w:t>
            </w:r>
            <w:r>
              <w:rPr>
                <w:rFonts w:hint="default" w:ascii="Times New Roman" w:hAnsi="Times New Roman" w:eastAsia="宋体" w:cs="Times New Roman"/>
                <w:color w:val="auto"/>
                <w:kern w:val="0"/>
                <w:sz w:val="24"/>
                <w:szCs w:val="24"/>
                <w:vertAlign w:val="superscript"/>
                <w:lang w:val="en-US" w:eastAsia="zh-CN" w:bidi="ar-SA"/>
              </w:rPr>
              <w:t>-7</w:t>
            </w:r>
            <w:r>
              <w:rPr>
                <w:rFonts w:hint="default" w:ascii="Times New Roman" w:hAnsi="Times New Roman" w:eastAsia="宋体" w:cs="Times New Roman"/>
                <w:color w:val="auto"/>
                <w:kern w:val="0"/>
                <w:sz w:val="24"/>
                <w:szCs w:val="24"/>
                <w:lang w:val="en-US" w:eastAsia="zh-CN" w:bidi="ar-SA"/>
              </w:rPr>
              <w:t>cm/s），或至少2 mm厚高密度聚乙烯膜等人工防渗材料（渗透系数不大于10</w:t>
            </w:r>
            <w:r>
              <w:rPr>
                <w:rFonts w:hint="default" w:ascii="Times New Roman" w:hAnsi="Times New Roman" w:eastAsia="宋体" w:cs="Times New Roman"/>
                <w:color w:val="auto"/>
                <w:kern w:val="0"/>
                <w:sz w:val="24"/>
                <w:szCs w:val="24"/>
                <w:vertAlign w:val="superscript"/>
                <w:lang w:val="en-US" w:eastAsia="zh-CN" w:bidi="ar-SA"/>
              </w:rPr>
              <w:t>-10</w:t>
            </w:r>
            <w:r>
              <w:rPr>
                <w:rFonts w:hint="default" w:ascii="Times New Roman" w:hAnsi="Times New Roman" w:eastAsia="宋体" w:cs="Times New Roman"/>
                <w:color w:val="auto"/>
                <w:kern w:val="0"/>
                <w:sz w:val="24"/>
                <w:szCs w:val="24"/>
                <w:lang w:val="en-US" w:eastAsia="zh-CN" w:bidi="ar-SA"/>
              </w:rPr>
              <w:t>cm/s），或其他防渗性能等效的材料。</w:t>
            </w:r>
          </w:p>
          <w:p w14:paraId="2C0D188F">
            <w:pPr>
              <w:widowControl/>
              <w:numPr>
                <w:ilvl w:val="0"/>
                <w:numId w:val="0"/>
              </w:numPr>
              <w:spacing w:line="360" w:lineRule="auto"/>
              <w:ind w:firstLine="480" w:firstLineChars="200"/>
              <w:jc w:val="left"/>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 xml:space="preserve">e.同一贮存设施宜采用相同的防渗、防腐工艺（包括防渗、防腐结构或材料），防渗、防腐材料应覆盖所有可能与废物及其渗滤液、渗漏液等接触的构筑物表面；采用不同防渗、防腐工艺应分别建设贮存分区。 </w:t>
            </w:r>
          </w:p>
          <w:p w14:paraId="4E510605">
            <w:pPr>
              <w:widowControl/>
              <w:numPr>
                <w:ilvl w:val="0"/>
                <w:numId w:val="0"/>
              </w:numPr>
              <w:spacing w:line="360" w:lineRule="auto"/>
              <w:ind w:firstLine="480" w:firstLineChars="200"/>
              <w:jc w:val="left"/>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f.贮存设施应采取技术和管理措施防止无关人员进入。</w:t>
            </w:r>
          </w:p>
          <w:p w14:paraId="7000A195">
            <w:pPr>
              <w:widowControl/>
              <w:numPr>
                <w:ilvl w:val="0"/>
                <w:numId w:val="0"/>
              </w:numPr>
              <w:spacing w:line="360" w:lineRule="auto"/>
              <w:ind w:firstLine="480" w:firstLineChars="200"/>
              <w:jc w:val="left"/>
              <w:rPr>
                <w:rFonts w:hint="default" w:ascii="Times New Roman" w:hAnsi="Times New Roman" w:eastAsia="宋体" w:cs="Times New Roman"/>
                <w:color w:val="auto"/>
                <w:kern w:val="0"/>
                <w:sz w:val="24"/>
                <w:szCs w:val="24"/>
                <w:lang w:val="en-US" w:eastAsia="zh-CN" w:bidi="ar-SA"/>
              </w:rPr>
            </w:pPr>
            <w:r>
              <w:rPr>
                <w:rFonts w:hint="eastAsia" w:cs="Times New Roman"/>
                <w:color w:val="auto"/>
                <w:kern w:val="0"/>
                <w:sz w:val="24"/>
                <w:szCs w:val="24"/>
                <w:lang w:val="en-US" w:eastAsia="zh-CN" w:bidi="ar-SA"/>
              </w:rPr>
              <w:t>2）</w:t>
            </w:r>
            <w:r>
              <w:rPr>
                <w:rFonts w:hint="default" w:ascii="Times New Roman" w:hAnsi="Times New Roman" w:eastAsia="宋体" w:cs="Times New Roman"/>
                <w:color w:val="auto"/>
                <w:kern w:val="0"/>
                <w:sz w:val="24"/>
                <w:szCs w:val="24"/>
                <w:lang w:val="en-US" w:eastAsia="zh-CN" w:bidi="ar-SA"/>
              </w:rPr>
              <w:t>危险废物贮存容器</w:t>
            </w:r>
          </w:p>
          <w:p w14:paraId="497FF581">
            <w:pPr>
              <w:widowControl/>
              <w:numPr>
                <w:ilvl w:val="0"/>
                <w:numId w:val="0"/>
              </w:numPr>
              <w:spacing w:line="360" w:lineRule="auto"/>
              <w:ind w:firstLine="480" w:firstLineChars="200"/>
              <w:jc w:val="left"/>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 xml:space="preserve">a.容器和包装物材质、内衬应与盛装的危险废物相容。 </w:t>
            </w:r>
          </w:p>
          <w:p w14:paraId="6A9C3068">
            <w:pPr>
              <w:widowControl/>
              <w:numPr>
                <w:ilvl w:val="0"/>
                <w:numId w:val="0"/>
              </w:numPr>
              <w:spacing w:line="360" w:lineRule="auto"/>
              <w:ind w:firstLine="480" w:firstLineChars="200"/>
              <w:jc w:val="left"/>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b.针对不同类别、形态、物理化学性质的危险废物，其容器和包装物应满足相应的防渗、防漏、防腐和强度等要求。</w:t>
            </w:r>
          </w:p>
          <w:p w14:paraId="3C926811">
            <w:pPr>
              <w:widowControl/>
              <w:numPr>
                <w:ilvl w:val="0"/>
                <w:numId w:val="0"/>
              </w:numPr>
              <w:spacing w:line="360" w:lineRule="auto"/>
              <w:ind w:firstLine="480" w:firstLineChars="200"/>
              <w:jc w:val="left"/>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 xml:space="preserve">c.硬质容器和包装物及其支护结构堆叠码放时不应有明显变形，无破损泄漏。 </w:t>
            </w:r>
          </w:p>
          <w:p w14:paraId="19AAB40B">
            <w:pPr>
              <w:widowControl/>
              <w:numPr>
                <w:ilvl w:val="0"/>
                <w:numId w:val="0"/>
              </w:numPr>
              <w:spacing w:line="360" w:lineRule="auto"/>
              <w:ind w:firstLine="480" w:firstLineChars="200"/>
              <w:jc w:val="left"/>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 xml:space="preserve">d.柔性容器和包装物堆叠码放时应封口严密，无破损泄漏。 </w:t>
            </w:r>
          </w:p>
          <w:p w14:paraId="4993E7BE">
            <w:pPr>
              <w:widowControl/>
              <w:numPr>
                <w:ilvl w:val="0"/>
                <w:numId w:val="0"/>
              </w:numPr>
              <w:spacing w:line="360" w:lineRule="auto"/>
              <w:ind w:firstLine="480" w:firstLineChars="200"/>
              <w:jc w:val="left"/>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 xml:space="preserve">e.使用容器盛装液态、半固态危险废物时，容器内部应留有适当的空间，以适应因温度变化等可能引发的收缩和膨胀，防止其导致容器渗漏或永久变形。 </w:t>
            </w:r>
          </w:p>
          <w:p w14:paraId="5469A1B2">
            <w:pPr>
              <w:widowControl/>
              <w:numPr>
                <w:ilvl w:val="0"/>
                <w:numId w:val="0"/>
              </w:numPr>
              <w:spacing w:line="360" w:lineRule="auto"/>
              <w:ind w:firstLine="480" w:firstLineChars="200"/>
              <w:jc w:val="left"/>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f.</w:t>
            </w:r>
            <w:r>
              <w:rPr>
                <w:rFonts w:hint="default" w:ascii="Times New Roman" w:hAnsi="Times New Roman" w:eastAsia="宋体" w:cs="Times New Roman"/>
                <w:color w:val="auto"/>
                <w:kern w:val="0"/>
                <w:sz w:val="24"/>
                <w:szCs w:val="24"/>
                <w:lang w:val="en-US" w:eastAsia="zh-CN" w:bidi="ar-SA"/>
              </w:rPr>
              <w:t>容器和包装物外表面应保持清洁。</w:t>
            </w:r>
          </w:p>
          <w:p w14:paraId="6F57B27E">
            <w:pPr>
              <w:widowControl/>
              <w:numPr>
                <w:ilvl w:val="0"/>
                <w:numId w:val="0"/>
              </w:numPr>
              <w:spacing w:line="360" w:lineRule="auto"/>
              <w:ind w:firstLine="480" w:firstLineChars="200"/>
              <w:jc w:val="left"/>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3）选址与设计原则</w:t>
            </w:r>
          </w:p>
          <w:p w14:paraId="2CC6DDD5">
            <w:pPr>
              <w:widowControl/>
              <w:numPr>
                <w:ilvl w:val="0"/>
                <w:numId w:val="0"/>
              </w:numPr>
              <w:spacing w:line="360" w:lineRule="auto"/>
              <w:ind w:firstLine="480" w:firstLineChars="200"/>
              <w:jc w:val="left"/>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 xml:space="preserve">贮存设施选址满足生态环境保护法律法规、规划和生态环境分区管控的要求。 </w:t>
            </w:r>
          </w:p>
          <w:p w14:paraId="52FF4C96">
            <w:pPr>
              <w:widowControl/>
              <w:numPr>
                <w:ilvl w:val="0"/>
                <w:numId w:val="0"/>
              </w:numPr>
              <w:spacing w:line="360" w:lineRule="auto"/>
              <w:ind w:firstLine="480" w:firstLineChars="200"/>
              <w:jc w:val="left"/>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集中贮存设施</w:t>
            </w:r>
            <w:r>
              <w:rPr>
                <w:rFonts w:hint="eastAsia" w:ascii="Times New Roman" w:hAnsi="Times New Roman" w:eastAsia="宋体" w:cs="Times New Roman"/>
                <w:color w:val="auto"/>
                <w:kern w:val="0"/>
                <w:sz w:val="24"/>
                <w:szCs w:val="24"/>
                <w:highlight w:val="none"/>
                <w:lang w:val="en-US" w:eastAsia="zh-CN" w:bidi="ar-SA"/>
              </w:rPr>
              <w:t>不</w:t>
            </w:r>
            <w:r>
              <w:rPr>
                <w:rFonts w:hint="default" w:ascii="Times New Roman" w:hAnsi="Times New Roman" w:eastAsia="宋体" w:cs="Times New Roman"/>
                <w:color w:val="auto"/>
                <w:kern w:val="0"/>
                <w:sz w:val="24"/>
                <w:szCs w:val="24"/>
                <w:highlight w:val="none"/>
                <w:lang w:val="en-US" w:eastAsia="zh-CN" w:bidi="ar-SA"/>
              </w:rPr>
              <w:t xml:space="preserve">在生态保护红线区域、永久基本农田和其他需要特别保护的区域内，不在溶洞区或易遭受洪水、滑坡、泥石流、潮汐等严重自然灾害影响的地区。 </w:t>
            </w:r>
          </w:p>
          <w:p w14:paraId="6150B2BA">
            <w:pPr>
              <w:widowControl/>
              <w:numPr>
                <w:ilvl w:val="0"/>
                <w:numId w:val="0"/>
              </w:numPr>
              <w:spacing w:line="360" w:lineRule="auto"/>
              <w:ind w:firstLine="480" w:firstLineChars="200"/>
              <w:jc w:val="left"/>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 xml:space="preserve">贮存设施不在江河、湖泊、运河、渠道、水库及其最高水位线以下的滩地和岸坡，以及法律法规规定禁止贮存危险废物的其他地点。 </w:t>
            </w:r>
          </w:p>
          <w:p w14:paraId="6C0710A1">
            <w:pPr>
              <w:widowControl/>
              <w:numPr>
                <w:ilvl w:val="0"/>
                <w:numId w:val="0"/>
              </w:numPr>
              <w:spacing w:line="360" w:lineRule="auto"/>
              <w:ind w:firstLine="480" w:firstLineChars="200"/>
              <w:jc w:val="left"/>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贮存设施场址的位置</w:t>
            </w:r>
            <w:r>
              <w:rPr>
                <w:rFonts w:hint="eastAsia" w:ascii="Times New Roman" w:hAnsi="Times New Roman" w:eastAsia="宋体" w:cs="Times New Roman"/>
                <w:color w:val="auto"/>
                <w:kern w:val="0"/>
                <w:sz w:val="24"/>
                <w:szCs w:val="24"/>
                <w:highlight w:val="none"/>
                <w:lang w:val="en-US" w:eastAsia="zh-CN" w:bidi="ar-SA"/>
              </w:rPr>
              <w:t>位于</w:t>
            </w:r>
            <w:r>
              <w:rPr>
                <w:rFonts w:hint="eastAsia" w:cs="Times New Roman"/>
                <w:color w:val="auto"/>
                <w:kern w:val="0"/>
                <w:sz w:val="24"/>
                <w:szCs w:val="24"/>
                <w:highlight w:val="none"/>
                <w:lang w:val="en-US" w:eastAsia="zh-CN" w:bidi="ar-SA"/>
              </w:rPr>
              <w:t>阜康市苏通小微创业园</w:t>
            </w:r>
            <w:r>
              <w:rPr>
                <w:rFonts w:hint="eastAsia" w:ascii="Times New Roman" w:hAnsi="Times New Roman" w:eastAsia="宋体" w:cs="Times New Roman"/>
                <w:color w:val="auto"/>
                <w:sz w:val="24"/>
                <w:szCs w:val="24"/>
                <w:lang w:val="en-US" w:eastAsia="zh-CN" w:bidi="ar-SA"/>
              </w:rPr>
              <w:t>，周围不存在</w:t>
            </w:r>
            <w:r>
              <w:rPr>
                <w:rFonts w:hint="default" w:ascii="Times New Roman" w:hAnsi="Times New Roman" w:eastAsia="宋体" w:cs="Times New Roman"/>
                <w:color w:val="auto"/>
                <w:kern w:val="0"/>
                <w:sz w:val="24"/>
                <w:szCs w:val="24"/>
                <w:highlight w:val="none"/>
                <w:lang w:val="en-US" w:eastAsia="zh-CN" w:bidi="ar-SA"/>
              </w:rPr>
              <w:t>环境敏感目标。</w:t>
            </w:r>
          </w:p>
          <w:p w14:paraId="747F8ADE">
            <w:pPr>
              <w:widowControl w:val="0"/>
              <w:wordWrap/>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lang w:val="en-US" w:eastAsia="zh-CN"/>
              </w:rPr>
            </w:pPr>
            <w:r>
              <w:rPr>
                <w:rFonts w:hint="eastAsia" w:cs="Times New Roman"/>
                <w:color w:val="auto"/>
                <w:kern w:val="0"/>
                <w:sz w:val="24"/>
                <w:szCs w:val="24"/>
                <w:lang w:val="en-US" w:eastAsia="zh-CN"/>
              </w:rPr>
              <w:t>（4）</w:t>
            </w:r>
            <w:r>
              <w:rPr>
                <w:rFonts w:hint="default" w:ascii="Times New Roman" w:hAnsi="Times New Roman" w:eastAsia="宋体" w:cs="Times New Roman"/>
                <w:color w:val="auto"/>
                <w:kern w:val="0"/>
                <w:sz w:val="24"/>
                <w:szCs w:val="24"/>
                <w:lang w:val="en-US" w:eastAsia="zh-CN"/>
              </w:rPr>
              <w:t>监督与实施</w:t>
            </w:r>
          </w:p>
          <w:p w14:paraId="371847BA">
            <w:pPr>
              <w:widowControl w:val="0"/>
              <w:wordWrap/>
              <w:adjustRightInd/>
              <w:snapToGrid/>
              <w:spacing w:line="360" w:lineRule="auto"/>
              <w:ind w:firstLine="480" w:firstLineChars="200"/>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 xml:space="preserve">a.地方环境保护行政部门可根据本标准所提出的危险废物收集、贮存、运输要求对管辖区域内的危险废物收集、贮存、运输行为进行监管，确保危险废物收集、贮存、运输过程的环境安全。 </w:t>
            </w:r>
          </w:p>
          <w:p w14:paraId="5D26B758">
            <w:pPr>
              <w:widowControl w:val="0"/>
              <w:wordWrap/>
              <w:adjustRightInd/>
              <w:snapToGrid/>
              <w:spacing w:line="360" w:lineRule="auto"/>
              <w:ind w:firstLine="480" w:firstLineChars="200"/>
              <w:textAlignment w:val="auto"/>
              <w:rPr>
                <w:rFonts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0"/>
                <w:sz w:val="24"/>
                <w:szCs w:val="24"/>
                <w:lang w:val="en-US" w:eastAsia="zh-CN"/>
              </w:rPr>
              <w:t>b.地方环境保护行政主管部门可根据本标准</w:t>
            </w:r>
            <w:r>
              <w:rPr>
                <w:rFonts w:hint="eastAsia" w:cs="Times New Roman"/>
                <w:color w:val="auto"/>
                <w:kern w:val="0"/>
                <w:sz w:val="24"/>
                <w:szCs w:val="24"/>
                <w:lang w:val="en-US" w:eastAsia="zh-CN"/>
              </w:rPr>
              <w:t>及其他有关</w:t>
            </w:r>
            <w:r>
              <w:rPr>
                <w:rFonts w:hint="default" w:ascii="Times New Roman" w:hAnsi="Times New Roman" w:eastAsia="宋体" w:cs="Times New Roman"/>
                <w:color w:val="auto"/>
                <w:kern w:val="0"/>
                <w:sz w:val="24"/>
                <w:szCs w:val="24"/>
                <w:lang w:val="en-US" w:eastAsia="zh-CN"/>
              </w:rPr>
              <w:t>管理要求建立地方危险废物收集、贮存、运输管理制度和管理档案。</w:t>
            </w:r>
          </w:p>
          <w:p w14:paraId="750C41C9">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2" w:firstLineChars="200"/>
              <w:jc w:val="both"/>
              <w:textAlignment w:val="auto"/>
              <w:rPr>
                <w:rFonts w:hint="default" w:ascii="Times New Roman" w:hAnsi="Times New Roman" w:eastAsia="宋体" w:cs="Times New Roman"/>
                <w:b/>
                <w:bCs/>
                <w:color w:val="auto"/>
                <w:sz w:val="24"/>
                <w:szCs w:val="24"/>
                <w:lang w:eastAsia="zh-CN"/>
              </w:rPr>
            </w:pPr>
            <w:r>
              <w:rPr>
                <w:rFonts w:hint="eastAsia" w:cs="Times New Roman"/>
                <w:b/>
                <w:bCs/>
                <w:color w:val="auto"/>
                <w:kern w:val="2"/>
                <w:sz w:val="24"/>
                <w:szCs w:val="20"/>
                <w:highlight w:val="none"/>
                <w:lang w:val="en-US" w:eastAsia="zh-CN"/>
              </w:rPr>
              <w:t>4.3固体废物对</w:t>
            </w:r>
            <w:r>
              <w:rPr>
                <w:rFonts w:hint="default" w:ascii="Times New Roman" w:hAnsi="Times New Roman" w:eastAsia="宋体" w:cs="Times New Roman"/>
                <w:b/>
                <w:bCs/>
                <w:color w:val="auto"/>
                <w:sz w:val="24"/>
                <w:szCs w:val="24"/>
                <w:lang w:eastAsia="zh-CN"/>
              </w:rPr>
              <w:t>环境的影响</w:t>
            </w:r>
          </w:p>
          <w:p w14:paraId="4EC773CC">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eastAsia" w:cs="Times New Roman"/>
                <w:color w:val="auto"/>
                <w:sz w:val="24"/>
                <w:szCs w:val="24"/>
                <w:highlight w:val="none"/>
                <w:lang w:val="en-US" w:eastAsia="zh-CN" w:bidi="ar-SA"/>
              </w:rPr>
            </w:pPr>
            <w:r>
              <w:rPr>
                <w:rFonts w:hint="eastAsia" w:cs="Times New Roman"/>
                <w:color w:val="auto"/>
                <w:sz w:val="24"/>
                <w:szCs w:val="24"/>
                <w:highlight w:val="none"/>
                <w:lang w:val="en-US" w:eastAsia="zh-CN" w:bidi="ar-SA"/>
              </w:rPr>
              <w:t>本项目运营期产生的</w:t>
            </w:r>
            <w:r>
              <w:rPr>
                <w:rFonts w:hint="default" w:ascii="Times New Roman" w:hAnsi="Times New Roman" w:eastAsia="宋体" w:cs="Times New Roman"/>
                <w:color w:val="auto"/>
                <w:sz w:val="24"/>
                <w:szCs w:val="24"/>
                <w:highlight w:val="none"/>
                <w:lang w:val="en-US" w:eastAsia="zh-CN" w:bidi="ar-SA"/>
              </w:rPr>
              <w:t>除尘器粉尘</w:t>
            </w:r>
            <w:r>
              <w:rPr>
                <w:rFonts w:hint="eastAsia" w:ascii="Times New Roman" w:hAnsi="Times New Roman" w:eastAsia="宋体" w:cs="Times New Roman"/>
                <w:color w:val="auto"/>
                <w:sz w:val="24"/>
                <w:szCs w:val="24"/>
                <w:highlight w:val="none"/>
                <w:lang w:val="en-US" w:eastAsia="zh-CN" w:bidi="ar-SA"/>
              </w:rPr>
              <w:t>、不合格产品作为生产原料，通过包装袋收集后，从投料口处倒入</w:t>
            </w:r>
            <w:r>
              <w:rPr>
                <w:rFonts w:hint="eastAsia" w:cs="Times New Roman"/>
                <w:color w:val="auto"/>
                <w:sz w:val="24"/>
                <w:szCs w:val="24"/>
                <w:highlight w:val="none"/>
                <w:lang w:val="en-US" w:eastAsia="zh-CN" w:bidi="ar-SA"/>
              </w:rPr>
              <w:t>。废布袋暂存车间内的一般固废暂存区，由厂家定期回收；废包装袋暂存车间内的一般固废暂存区，定期外售。一般固废暂存于厂区内设置的一般固废暂存区域，由于该区域为封闭区域，同时配备通风装置，因此暂存过程中产生的少量异味可及时通过排气扇排出不会对厂区周边造成影响。</w:t>
            </w:r>
          </w:p>
          <w:p w14:paraId="35C0D309">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b/>
                <w:bCs/>
                <w:color w:val="0000FF"/>
                <w:sz w:val="24"/>
                <w:szCs w:val="24"/>
                <w:lang w:val="en-US" w:eastAsia="zh-CN"/>
              </w:rPr>
            </w:pPr>
            <w:r>
              <w:rPr>
                <w:rFonts w:hint="eastAsia" w:cs="Times New Roman"/>
                <w:color w:val="0000FF"/>
                <w:sz w:val="24"/>
                <w:szCs w:val="24"/>
                <w:highlight w:val="none"/>
                <w:lang w:val="en-US" w:eastAsia="zh-CN" w:bidi="ar-SA"/>
              </w:rPr>
              <w:t>本项目将除尘器回收粉尘及筛分/检验不合格品全部作为返料回用于配料、再发酵环节，回用品来源于生产线内部，与原料同源同质，不引入新增污染物种类与毒性；返料过程在密闭输送、比例控制和再无害化发酵条件下运行，不形成固体废物外排，且可减少灰渣外运和二次扬尘。对可能出现的二次扬尘、臭气短期波动与欠腐熟病原风险，已通过封闭回投、分级回用、高温好氧再处理及过程监测等措施加以控制。综合判断，粉尘与不合格品回用从环境与卫生安全角度风险可控、影响可接受，符合资源化利用与清洁生产要求。</w:t>
            </w:r>
          </w:p>
          <w:p w14:paraId="1D59BEDB">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综上所述，本项目一般固体废物处置满足《一般工业固体废物贮存和填埋污染控制标准》（GB18599-2020）的要求；危险废物贮存满足《危险废物贮存污染控制标准》（GB18597-2023）标准要求。该项目产生的固体废物均得到妥善处理，对环境影响较小。</w:t>
            </w:r>
          </w:p>
          <w:p w14:paraId="2376921E">
            <w:pPr>
              <w:pageBreakBefore w:val="0"/>
              <w:widowControl w:val="0"/>
              <w:kinsoku/>
              <w:wordWrap/>
              <w:overflowPunct/>
              <w:topLinePunct w:val="0"/>
              <w:autoSpaceDE/>
              <w:autoSpaceDN/>
              <w:bidi w:val="0"/>
              <w:adjustRightInd/>
              <w:snapToGrid/>
              <w:spacing w:before="0" w:after="0" w:line="480" w:lineRule="exact"/>
              <w:ind w:right="0"/>
              <w:jc w:val="both"/>
              <w:textAlignment w:val="auto"/>
              <w:rPr>
                <w:rFonts w:hint="default" w:ascii="Times New Roman" w:hAnsi="Times New Roman" w:eastAsia="宋体" w:cs="Times New Roman"/>
                <w:color w:val="auto"/>
                <w:kern w:val="2"/>
                <w:sz w:val="28"/>
                <w:szCs w:val="28"/>
                <w:highlight w:val="none"/>
                <w:lang w:val="en-US" w:eastAsia="zh-CN"/>
              </w:rPr>
            </w:pPr>
            <w:r>
              <w:rPr>
                <w:rFonts w:hint="eastAsia" w:cs="Times New Roman"/>
                <w:b/>
                <w:color w:val="auto"/>
                <w:kern w:val="2"/>
                <w:sz w:val="28"/>
                <w:szCs w:val="28"/>
                <w:highlight w:val="none"/>
                <w:lang w:val="en-US" w:eastAsia="zh-CN" w:bidi="ar-SA"/>
              </w:rPr>
              <w:t>5、</w:t>
            </w:r>
            <w:r>
              <w:rPr>
                <w:rFonts w:hint="default" w:ascii="Times New Roman" w:hAnsi="Times New Roman" w:eastAsia="宋体" w:cs="Times New Roman"/>
                <w:b/>
                <w:color w:val="auto"/>
                <w:kern w:val="2"/>
                <w:sz w:val="28"/>
                <w:szCs w:val="28"/>
                <w:highlight w:val="none"/>
                <w:lang w:val="en-US" w:eastAsia="zh-CN" w:bidi="ar-SA"/>
              </w:rPr>
              <w:t>地下水、土壤</w:t>
            </w:r>
          </w:p>
          <w:p w14:paraId="0222F3A5">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b w:val="0"/>
                <w:bCs w:val="0"/>
                <w:color w:val="auto"/>
                <w:kern w:val="2"/>
                <w:sz w:val="24"/>
                <w:szCs w:val="20"/>
                <w:highlight w:val="none"/>
                <w:lang w:val="en-US" w:eastAsia="zh-CN"/>
              </w:rPr>
            </w:pPr>
            <w:r>
              <w:rPr>
                <w:rFonts w:hint="default" w:ascii="Times New Roman" w:hAnsi="Times New Roman" w:eastAsia="宋体" w:cs="Times New Roman"/>
                <w:b w:val="0"/>
                <w:bCs w:val="0"/>
                <w:color w:val="auto"/>
                <w:kern w:val="2"/>
                <w:sz w:val="24"/>
                <w:szCs w:val="20"/>
                <w:highlight w:val="none"/>
                <w:lang w:val="en-US" w:eastAsia="zh-CN"/>
              </w:rPr>
              <w:t>本项目位于</w:t>
            </w:r>
            <w:r>
              <w:rPr>
                <w:rFonts w:hint="default" w:ascii="Times New Roman" w:hAnsi="Times New Roman" w:eastAsia="宋体" w:cs="Times New Roman"/>
                <w:color w:val="auto"/>
                <w:sz w:val="24"/>
                <w:szCs w:val="24"/>
                <w:vertAlign w:val="baseline"/>
                <w:lang w:val="en-US" w:eastAsia="zh-CN" w:bidi="ar-SA"/>
              </w:rPr>
              <w:t>新疆维吾尔自治区昌吉回族自治州玛纳斯县玛纳斯镇</w:t>
            </w:r>
            <w:r>
              <w:rPr>
                <w:rFonts w:hint="default" w:ascii="Times New Roman" w:hAnsi="Times New Roman" w:eastAsia="宋体" w:cs="Times New Roman"/>
                <w:b w:val="0"/>
                <w:bCs w:val="0"/>
                <w:color w:val="auto"/>
                <w:kern w:val="2"/>
                <w:sz w:val="24"/>
                <w:szCs w:val="20"/>
                <w:highlight w:val="none"/>
                <w:lang w:val="en-US" w:eastAsia="zh-CN"/>
              </w:rPr>
              <w:t>，不涉及集中式饮用水水源和热水、矿泉水、温泉等特殊地下水资源保护区。</w:t>
            </w:r>
          </w:p>
          <w:p w14:paraId="27D89DDF">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b w:val="0"/>
                <w:bCs w:val="0"/>
                <w:color w:val="auto"/>
                <w:kern w:val="2"/>
                <w:sz w:val="24"/>
                <w:szCs w:val="20"/>
                <w:highlight w:val="none"/>
                <w:lang w:val="en-US" w:eastAsia="zh-CN"/>
              </w:rPr>
            </w:pPr>
            <w:r>
              <w:rPr>
                <w:rFonts w:hint="default" w:ascii="Times New Roman" w:hAnsi="Times New Roman" w:eastAsia="宋体" w:cs="Times New Roman"/>
                <w:b w:val="0"/>
                <w:bCs w:val="0"/>
                <w:color w:val="auto"/>
                <w:kern w:val="2"/>
                <w:sz w:val="24"/>
                <w:szCs w:val="20"/>
                <w:highlight w:val="none"/>
                <w:lang w:val="en-US" w:eastAsia="zh-CN"/>
              </w:rPr>
              <w:t>（1）污染源和污染途径</w:t>
            </w:r>
          </w:p>
          <w:p w14:paraId="2F7F3E2F">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color w:val="auto"/>
                <w:kern w:val="2"/>
                <w:sz w:val="24"/>
                <w:szCs w:val="20"/>
                <w:highlight w:val="none"/>
                <w:lang w:val="en-US" w:eastAsia="zh-CN"/>
              </w:rPr>
            </w:pPr>
            <w:r>
              <w:rPr>
                <w:rFonts w:hint="default" w:ascii="Times New Roman" w:hAnsi="Times New Roman" w:eastAsia="宋体" w:cs="Times New Roman"/>
                <w:color w:val="auto"/>
                <w:kern w:val="2"/>
                <w:sz w:val="24"/>
                <w:szCs w:val="20"/>
                <w:highlight w:val="none"/>
                <w:lang w:val="en-US" w:eastAsia="zh-CN"/>
              </w:rPr>
              <w:t>①地面防渗等级不足或出现裂痕，导致泄漏物料下渗，污染地下水、土壤环境；</w:t>
            </w:r>
          </w:p>
          <w:p w14:paraId="7269D9EA">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color w:val="auto"/>
                <w:kern w:val="2"/>
                <w:sz w:val="24"/>
                <w:szCs w:val="20"/>
                <w:highlight w:val="none"/>
                <w:lang w:val="en-US" w:eastAsia="zh-CN"/>
              </w:rPr>
            </w:pPr>
            <w:r>
              <w:rPr>
                <w:rFonts w:hint="default" w:ascii="Times New Roman" w:hAnsi="Times New Roman" w:eastAsia="宋体" w:cs="Times New Roman"/>
                <w:color w:val="auto"/>
                <w:kern w:val="2"/>
                <w:sz w:val="24"/>
                <w:szCs w:val="20"/>
                <w:highlight w:val="none"/>
                <w:lang w:val="en-US" w:eastAsia="zh-CN"/>
              </w:rPr>
              <w:t>③固体废物防护措施不足，导致雨水混入，污染地下水、土壤环境；</w:t>
            </w:r>
          </w:p>
          <w:p w14:paraId="4D5C3DD4">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b w:val="0"/>
                <w:bCs w:val="0"/>
                <w:color w:val="auto"/>
                <w:kern w:val="2"/>
                <w:sz w:val="24"/>
                <w:szCs w:val="20"/>
                <w:highlight w:val="none"/>
                <w:lang w:val="en-US" w:eastAsia="zh-CN"/>
              </w:rPr>
            </w:pPr>
            <w:r>
              <w:rPr>
                <w:rFonts w:hint="default" w:ascii="Times New Roman" w:hAnsi="Times New Roman" w:eastAsia="宋体" w:cs="Times New Roman"/>
                <w:color w:val="auto"/>
                <w:kern w:val="2"/>
                <w:sz w:val="24"/>
                <w:szCs w:val="20"/>
                <w:highlight w:val="none"/>
                <w:lang w:val="en-US" w:eastAsia="zh-CN"/>
              </w:rPr>
              <w:t>⑤管理不完善，操作不规范导致物料泄漏。</w:t>
            </w:r>
          </w:p>
          <w:p w14:paraId="4DFB9744">
            <w:pPr>
              <w:pageBreakBefore w:val="0"/>
              <w:widowControl w:val="0"/>
              <w:numPr>
                <w:ilvl w:val="0"/>
                <w:numId w:val="0"/>
              </w:numPr>
              <w:kinsoku/>
              <w:wordWrap/>
              <w:overflowPunct/>
              <w:topLinePunct w:val="0"/>
              <w:autoSpaceDE/>
              <w:autoSpaceDN/>
              <w:bidi w:val="0"/>
              <w:adjustRightInd/>
              <w:snapToGrid/>
              <w:spacing w:before="0" w:after="0" w:line="480" w:lineRule="exact"/>
              <w:ind w:left="480" w:leftChars="200" w:right="0" w:rightChars="0" w:firstLine="0" w:firstLineChars="0"/>
              <w:jc w:val="both"/>
              <w:textAlignment w:val="auto"/>
              <w:rPr>
                <w:rFonts w:hint="default" w:ascii="Times New Roman" w:hAnsi="Times New Roman" w:eastAsia="宋体" w:cs="Times New Roman"/>
                <w:b w:val="0"/>
                <w:bCs w:val="0"/>
                <w:color w:val="0000FF"/>
                <w:kern w:val="2"/>
                <w:sz w:val="24"/>
                <w:szCs w:val="20"/>
                <w:highlight w:val="none"/>
                <w:lang w:val="en-US" w:eastAsia="zh-CN"/>
              </w:rPr>
            </w:pPr>
            <w:r>
              <w:rPr>
                <w:rFonts w:hint="default" w:ascii="Times New Roman" w:hAnsi="Times New Roman" w:eastAsia="宋体" w:cs="Times New Roman"/>
                <w:b w:val="0"/>
                <w:bCs w:val="0"/>
                <w:color w:val="0000FF"/>
                <w:kern w:val="2"/>
                <w:sz w:val="24"/>
                <w:szCs w:val="20"/>
                <w:lang w:val="en-US" w:eastAsia="zh-CN" w:bidi="ar-SA"/>
              </w:rPr>
              <w:t>（1）</w:t>
            </w:r>
            <w:r>
              <w:rPr>
                <w:rFonts w:hint="default" w:ascii="Times New Roman" w:hAnsi="Times New Roman" w:eastAsia="宋体" w:cs="Times New Roman"/>
                <w:b w:val="0"/>
                <w:bCs w:val="0"/>
                <w:color w:val="0000FF"/>
                <w:kern w:val="2"/>
                <w:sz w:val="24"/>
                <w:szCs w:val="20"/>
                <w:highlight w:val="none"/>
                <w:lang w:val="en-US" w:eastAsia="zh-CN"/>
              </w:rPr>
              <w:t>分区防渗控制要求</w:t>
            </w:r>
          </w:p>
          <w:p w14:paraId="2BACFABA">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color w:val="0000FF"/>
                <w:kern w:val="2"/>
                <w:sz w:val="24"/>
                <w:szCs w:val="20"/>
                <w:highlight w:val="none"/>
                <w:lang w:val="en-US" w:eastAsia="zh-CN"/>
              </w:rPr>
            </w:pPr>
            <w:r>
              <w:rPr>
                <w:rFonts w:hint="default" w:ascii="Times New Roman" w:hAnsi="Times New Roman" w:eastAsia="宋体" w:cs="Times New Roman"/>
                <w:color w:val="0000FF"/>
                <w:kern w:val="2"/>
                <w:sz w:val="24"/>
                <w:szCs w:val="20"/>
                <w:highlight w:val="none"/>
                <w:lang w:val="en-US" w:eastAsia="zh-CN"/>
              </w:rPr>
              <w:t>①防渗分区</w:t>
            </w:r>
          </w:p>
          <w:p w14:paraId="406C2F51">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color w:val="0000FF"/>
                <w:kern w:val="2"/>
                <w:sz w:val="24"/>
                <w:szCs w:val="20"/>
                <w:highlight w:val="none"/>
                <w:lang w:val="en-US" w:eastAsia="zh-CN"/>
              </w:rPr>
            </w:pPr>
            <w:r>
              <w:rPr>
                <w:rFonts w:hint="default" w:ascii="Times New Roman" w:hAnsi="Times New Roman" w:eastAsia="宋体" w:cs="Times New Roman"/>
                <w:color w:val="0000FF"/>
                <w:kern w:val="2"/>
                <w:sz w:val="24"/>
                <w:szCs w:val="20"/>
                <w:highlight w:val="none"/>
                <w:lang w:val="en-US" w:eastAsia="zh-CN"/>
              </w:rPr>
              <w:t>根据装置、单元的特点和所处的区域及部位，本项目厂区划分为一般污染防治区、重点污染防治区、简单防渗区。</w:t>
            </w:r>
          </w:p>
          <w:p w14:paraId="7C7281C8">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color w:val="0000FF"/>
                <w:kern w:val="2"/>
                <w:sz w:val="24"/>
                <w:szCs w:val="20"/>
                <w:highlight w:val="none"/>
                <w:lang w:val="en-US" w:eastAsia="zh-CN"/>
              </w:rPr>
            </w:pPr>
            <w:r>
              <w:rPr>
                <w:rFonts w:hint="default" w:ascii="Times New Roman" w:hAnsi="Times New Roman" w:eastAsia="宋体" w:cs="Times New Roman"/>
                <w:color w:val="0000FF"/>
                <w:kern w:val="2"/>
                <w:sz w:val="24"/>
                <w:szCs w:val="20"/>
                <w:highlight w:val="none"/>
                <w:lang w:val="en-US" w:eastAsia="zh-CN"/>
              </w:rPr>
              <w:t>重点污染防治区：发酵罐区</w:t>
            </w:r>
            <w:r>
              <w:rPr>
                <w:rFonts w:hint="eastAsia" w:cs="Times New Roman"/>
                <w:color w:val="0000FF"/>
                <w:kern w:val="2"/>
                <w:sz w:val="24"/>
                <w:szCs w:val="20"/>
                <w:highlight w:val="none"/>
                <w:lang w:val="en-US" w:eastAsia="zh-CN"/>
              </w:rPr>
              <w:t>、危险废物贮存库</w:t>
            </w:r>
            <w:r>
              <w:rPr>
                <w:rFonts w:hint="default" w:ascii="Times New Roman" w:hAnsi="Times New Roman" w:eastAsia="宋体" w:cs="Times New Roman"/>
                <w:color w:val="0000FF"/>
                <w:kern w:val="2"/>
                <w:sz w:val="24"/>
                <w:szCs w:val="20"/>
                <w:highlight w:val="none"/>
                <w:lang w:val="en-US" w:eastAsia="zh-CN"/>
              </w:rPr>
              <w:t>。</w:t>
            </w:r>
          </w:p>
          <w:p w14:paraId="78E944CD">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color w:val="0000FF"/>
                <w:kern w:val="2"/>
                <w:sz w:val="24"/>
                <w:szCs w:val="20"/>
                <w:highlight w:val="none"/>
                <w:lang w:val="en-US" w:eastAsia="zh-CN"/>
              </w:rPr>
            </w:pPr>
            <w:r>
              <w:rPr>
                <w:rFonts w:hint="default" w:ascii="Times New Roman" w:hAnsi="Times New Roman" w:eastAsia="宋体" w:cs="Times New Roman"/>
                <w:color w:val="0000FF"/>
                <w:kern w:val="2"/>
                <w:sz w:val="24"/>
                <w:szCs w:val="20"/>
                <w:highlight w:val="none"/>
                <w:lang w:val="en-US" w:eastAsia="zh-CN"/>
              </w:rPr>
              <w:t>一般污染防治区：生产车间</w:t>
            </w:r>
            <w:r>
              <w:rPr>
                <w:rFonts w:hint="eastAsia" w:cs="Times New Roman"/>
                <w:color w:val="0000FF"/>
                <w:kern w:val="2"/>
                <w:sz w:val="24"/>
                <w:szCs w:val="20"/>
                <w:highlight w:val="none"/>
                <w:lang w:val="en-US" w:eastAsia="zh-CN"/>
              </w:rPr>
              <w:t>、成品仓库</w:t>
            </w:r>
            <w:r>
              <w:rPr>
                <w:rFonts w:hint="default" w:ascii="Times New Roman" w:hAnsi="Times New Roman" w:eastAsia="宋体" w:cs="Times New Roman"/>
                <w:color w:val="0000FF"/>
                <w:kern w:val="2"/>
                <w:sz w:val="24"/>
                <w:szCs w:val="20"/>
                <w:highlight w:val="none"/>
                <w:lang w:val="en-US" w:eastAsia="zh-CN"/>
              </w:rPr>
              <w:t>。</w:t>
            </w:r>
          </w:p>
          <w:p w14:paraId="4B7C8917">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color w:val="0000FF"/>
                <w:kern w:val="2"/>
                <w:sz w:val="24"/>
                <w:szCs w:val="20"/>
                <w:highlight w:val="none"/>
                <w:lang w:val="en-US" w:eastAsia="zh-CN"/>
              </w:rPr>
            </w:pPr>
            <w:r>
              <w:rPr>
                <w:rFonts w:hint="default" w:ascii="Times New Roman" w:hAnsi="Times New Roman" w:eastAsia="宋体" w:cs="Times New Roman"/>
                <w:color w:val="0000FF"/>
                <w:kern w:val="2"/>
                <w:sz w:val="24"/>
                <w:szCs w:val="20"/>
                <w:highlight w:val="none"/>
                <w:lang w:val="en-US" w:eastAsia="zh-CN"/>
              </w:rPr>
              <w:t>简单污染防治区：进出场道路。</w:t>
            </w:r>
          </w:p>
          <w:p w14:paraId="0807A9F7">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color w:val="0000FF"/>
                <w:kern w:val="2"/>
                <w:sz w:val="24"/>
                <w:szCs w:val="20"/>
                <w:highlight w:val="none"/>
                <w:lang w:val="en-US" w:eastAsia="zh-CN"/>
              </w:rPr>
            </w:pPr>
            <w:r>
              <w:rPr>
                <w:rFonts w:hint="default" w:ascii="Times New Roman" w:hAnsi="Times New Roman" w:eastAsia="宋体" w:cs="Times New Roman"/>
                <w:color w:val="0000FF"/>
                <w:kern w:val="2"/>
                <w:sz w:val="24"/>
                <w:szCs w:val="20"/>
                <w:highlight w:val="none"/>
                <w:lang w:val="en-US" w:eastAsia="zh-CN"/>
              </w:rPr>
              <w:t>②分区防渗处理</w:t>
            </w:r>
          </w:p>
          <w:p w14:paraId="54EEA2DF">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color w:val="0000FF"/>
                <w:kern w:val="2"/>
                <w:sz w:val="24"/>
                <w:szCs w:val="20"/>
                <w:highlight w:val="yellow"/>
                <w:lang w:val="en-US" w:eastAsia="zh-CN"/>
              </w:rPr>
            </w:pPr>
            <w:r>
              <w:rPr>
                <w:rFonts w:hint="default" w:ascii="Times New Roman" w:hAnsi="Times New Roman" w:eastAsia="宋体" w:cs="Times New Roman"/>
                <w:color w:val="0000FF"/>
                <w:kern w:val="2"/>
                <w:sz w:val="24"/>
                <w:szCs w:val="20"/>
                <w:highlight w:val="none"/>
                <w:lang w:val="en-US" w:eastAsia="zh-CN"/>
              </w:rPr>
              <w:t>重点防渗区：本项目发酵罐区</w:t>
            </w:r>
            <w:r>
              <w:rPr>
                <w:rFonts w:hint="eastAsia" w:cs="Times New Roman"/>
                <w:color w:val="0000FF"/>
                <w:kern w:val="2"/>
                <w:sz w:val="24"/>
                <w:szCs w:val="20"/>
                <w:highlight w:val="none"/>
                <w:lang w:val="en-US" w:eastAsia="zh-CN"/>
              </w:rPr>
              <w:t>、危险废物贮存库</w:t>
            </w:r>
            <w:r>
              <w:rPr>
                <w:rFonts w:hint="default" w:ascii="Times New Roman" w:hAnsi="Times New Roman" w:eastAsia="宋体" w:cs="Times New Roman"/>
                <w:color w:val="0000FF"/>
                <w:kern w:val="2"/>
                <w:sz w:val="24"/>
                <w:szCs w:val="20"/>
                <w:highlight w:val="none"/>
                <w:lang w:val="en-US" w:eastAsia="zh-CN"/>
              </w:rPr>
              <w:t>，防渗方案25cm厚P4等级混凝土+2mm厚高密度聚乙烯膜（HDPE）+水泥地面，设计满足《环境影响评价技术导则 地下水环境》（HJ 610-2016）要求：等效黏土防渗层Mb≥6.0m，K≤1×10</w:t>
            </w:r>
            <w:r>
              <w:rPr>
                <w:rFonts w:hint="default" w:ascii="Times New Roman" w:hAnsi="Times New Roman" w:eastAsia="宋体" w:cs="Times New Roman"/>
                <w:color w:val="0000FF"/>
                <w:kern w:val="2"/>
                <w:sz w:val="24"/>
                <w:szCs w:val="20"/>
                <w:highlight w:val="none"/>
                <w:vertAlign w:val="superscript"/>
                <w:lang w:val="en-US" w:eastAsia="zh-CN"/>
              </w:rPr>
              <w:t>-7</w:t>
            </w:r>
            <w:r>
              <w:rPr>
                <w:rFonts w:hint="default" w:ascii="Times New Roman" w:hAnsi="Times New Roman" w:eastAsia="宋体" w:cs="Times New Roman"/>
                <w:color w:val="0000FF"/>
                <w:kern w:val="2"/>
                <w:sz w:val="24"/>
                <w:szCs w:val="20"/>
                <w:highlight w:val="none"/>
                <w:lang w:val="en-US" w:eastAsia="zh-CN"/>
              </w:rPr>
              <w:t>cm/s。设计满足《畜禽粪便贮存设施设计要求》（GB/T27622-2011）、《环境影响评价技术导则 地下水环境》（HJ 610-2016）要求；等效黏土防渗层Mb≥6.0m，K≤1×10</w:t>
            </w:r>
            <w:r>
              <w:rPr>
                <w:rFonts w:hint="default" w:ascii="Times New Roman" w:hAnsi="Times New Roman" w:eastAsia="宋体" w:cs="Times New Roman"/>
                <w:color w:val="0000FF"/>
                <w:kern w:val="2"/>
                <w:sz w:val="24"/>
                <w:szCs w:val="20"/>
                <w:highlight w:val="none"/>
                <w:vertAlign w:val="superscript"/>
                <w:lang w:val="en-US" w:eastAsia="zh-CN"/>
              </w:rPr>
              <w:t>-7</w:t>
            </w:r>
            <w:r>
              <w:rPr>
                <w:rFonts w:hint="default" w:ascii="Times New Roman" w:hAnsi="Times New Roman" w:eastAsia="宋体" w:cs="Times New Roman"/>
                <w:color w:val="0000FF"/>
                <w:kern w:val="2"/>
                <w:sz w:val="24"/>
                <w:szCs w:val="20"/>
                <w:highlight w:val="none"/>
                <w:lang w:val="en-US" w:eastAsia="zh-CN"/>
              </w:rPr>
              <w:t>cm/s。目前</w:t>
            </w:r>
            <w:r>
              <w:rPr>
                <w:rFonts w:hint="eastAsia" w:cs="Times New Roman"/>
                <w:color w:val="0000FF"/>
                <w:kern w:val="2"/>
                <w:sz w:val="24"/>
                <w:szCs w:val="20"/>
                <w:highlight w:val="none"/>
                <w:lang w:val="en-US" w:eastAsia="zh-CN"/>
              </w:rPr>
              <w:t>厂区</w:t>
            </w:r>
            <w:r>
              <w:rPr>
                <w:rFonts w:hint="default" w:ascii="Times New Roman" w:hAnsi="Times New Roman" w:eastAsia="宋体" w:cs="Times New Roman"/>
                <w:color w:val="0000FF"/>
                <w:kern w:val="2"/>
                <w:sz w:val="24"/>
                <w:szCs w:val="20"/>
                <w:highlight w:val="none"/>
                <w:lang w:val="en-US" w:eastAsia="zh-CN"/>
              </w:rPr>
              <w:t>已</w:t>
            </w:r>
            <w:r>
              <w:rPr>
                <w:rFonts w:hint="default" w:ascii="Times New Roman" w:hAnsi="Times New Roman" w:eastAsia="宋体" w:cs="Times New Roman"/>
                <w:color w:val="0000FF"/>
                <w:sz w:val="24"/>
                <w:szCs w:val="24"/>
                <w:highlight w:val="none"/>
                <w:lang w:val="en-US" w:eastAsia="zh-CN" w:bidi="ar-SA"/>
              </w:rPr>
              <w:t>建设完成</w:t>
            </w:r>
            <w:r>
              <w:rPr>
                <w:rFonts w:hint="default" w:ascii="Times New Roman" w:hAnsi="Times New Roman" w:eastAsia="宋体" w:cs="Times New Roman"/>
                <w:color w:val="0000FF"/>
                <w:kern w:val="2"/>
                <w:sz w:val="24"/>
                <w:szCs w:val="20"/>
                <w:highlight w:val="none"/>
                <w:lang w:val="en-US" w:eastAsia="zh-CN"/>
              </w:rPr>
              <w:t>25cm厚P4等级混凝土，本次需补充建设2mm厚高密度聚乙烯膜（HDPE）+水泥地面</w:t>
            </w:r>
            <w:r>
              <w:rPr>
                <w:rFonts w:hint="default" w:ascii="Times New Roman" w:hAnsi="Times New Roman" w:eastAsia="宋体" w:cs="Times New Roman"/>
                <w:color w:val="0000FF"/>
                <w:sz w:val="24"/>
                <w:szCs w:val="24"/>
                <w:highlight w:val="none"/>
                <w:lang w:val="en-US" w:eastAsia="zh-CN" w:bidi="ar-SA"/>
              </w:rPr>
              <w:t>。</w:t>
            </w:r>
            <w:r>
              <w:rPr>
                <w:rFonts w:hint="eastAsia" w:cs="Times New Roman"/>
                <w:color w:val="0000FF"/>
                <w:sz w:val="24"/>
                <w:szCs w:val="24"/>
                <w:highlight w:val="none"/>
                <w:lang w:val="en-US" w:eastAsia="zh-CN" w:bidi="ar-SA"/>
              </w:rPr>
              <w:t>危险废物贮存库同时需要满足《危险废物贮存污染控制标准》（GB 18597-2023）要求。</w:t>
            </w:r>
          </w:p>
          <w:p w14:paraId="2BD37540">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color w:val="0000FF"/>
                <w:kern w:val="2"/>
                <w:sz w:val="24"/>
                <w:szCs w:val="20"/>
                <w:highlight w:val="none"/>
                <w:lang w:val="en-US" w:eastAsia="zh-CN"/>
              </w:rPr>
            </w:pPr>
            <w:r>
              <w:rPr>
                <w:rFonts w:hint="default" w:ascii="Times New Roman" w:hAnsi="Times New Roman" w:eastAsia="宋体" w:cs="Times New Roman"/>
                <w:color w:val="0000FF"/>
                <w:kern w:val="2"/>
                <w:sz w:val="24"/>
                <w:szCs w:val="20"/>
                <w:highlight w:val="none"/>
                <w:lang w:val="en-US" w:eastAsia="zh-CN"/>
              </w:rPr>
              <w:t>一般防渗区：采用厚度Mb=1.5m，渗透系数K≤10</w:t>
            </w:r>
            <w:r>
              <w:rPr>
                <w:rFonts w:hint="default" w:ascii="Times New Roman" w:hAnsi="Times New Roman" w:eastAsia="宋体" w:cs="Times New Roman"/>
                <w:color w:val="0000FF"/>
                <w:kern w:val="2"/>
                <w:sz w:val="24"/>
                <w:szCs w:val="20"/>
                <w:highlight w:val="none"/>
                <w:vertAlign w:val="superscript"/>
                <w:lang w:val="en-US" w:eastAsia="zh-CN"/>
              </w:rPr>
              <w:t>-7</w:t>
            </w:r>
            <w:r>
              <w:rPr>
                <w:rFonts w:hint="default" w:ascii="Times New Roman" w:hAnsi="Times New Roman" w:eastAsia="宋体" w:cs="Times New Roman"/>
                <w:color w:val="0000FF"/>
                <w:kern w:val="2"/>
                <w:sz w:val="24"/>
                <w:szCs w:val="20"/>
                <w:highlight w:val="none"/>
                <w:lang w:val="en-US" w:eastAsia="zh-CN"/>
              </w:rPr>
              <w:t>cm/s防渗等效的25cm厚P4等级混凝土进行防渗。防渗技术满足：等效黏土防渗层Mb≥1.5m，K≤1×10</w:t>
            </w:r>
            <w:r>
              <w:rPr>
                <w:rFonts w:hint="default" w:ascii="Times New Roman" w:hAnsi="Times New Roman" w:eastAsia="宋体" w:cs="Times New Roman"/>
                <w:color w:val="0000FF"/>
                <w:kern w:val="2"/>
                <w:sz w:val="24"/>
                <w:szCs w:val="20"/>
                <w:highlight w:val="none"/>
                <w:vertAlign w:val="superscript"/>
                <w:lang w:val="en-US" w:eastAsia="zh-CN"/>
              </w:rPr>
              <w:t>-7</w:t>
            </w:r>
            <w:r>
              <w:rPr>
                <w:rFonts w:hint="default" w:ascii="Times New Roman" w:hAnsi="Times New Roman" w:eastAsia="宋体" w:cs="Times New Roman"/>
                <w:color w:val="0000FF"/>
                <w:kern w:val="2"/>
                <w:sz w:val="24"/>
                <w:szCs w:val="20"/>
                <w:highlight w:val="none"/>
                <w:lang w:val="en-US" w:eastAsia="zh-CN"/>
              </w:rPr>
              <w:t>cm/s。目前已</w:t>
            </w:r>
            <w:r>
              <w:rPr>
                <w:rFonts w:hint="default" w:ascii="Times New Roman" w:hAnsi="Times New Roman" w:eastAsia="宋体" w:cs="Times New Roman"/>
                <w:color w:val="0000FF"/>
                <w:sz w:val="24"/>
                <w:szCs w:val="24"/>
                <w:lang w:val="en-US" w:eastAsia="zh-CN" w:bidi="ar-SA"/>
              </w:rPr>
              <w:t>建设完成。</w:t>
            </w:r>
          </w:p>
          <w:p w14:paraId="042A5928">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color w:val="0000FF"/>
                <w:kern w:val="2"/>
                <w:sz w:val="24"/>
                <w:szCs w:val="20"/>
                <w:highlight w:val="none"/>
                <w:lang w:val="en-US" w:eastAsia="zh-CN"/>
              </w:rPr>
            </w:pPr>
            <w:r>
              <w:rPr>
                <w:rFonts w:hint="default" w:ascii="Times New Roman" w:hAnsi="Times New Roman" w:eastAsia="宋体" w:cs="Times New Roman"/>
                <w:color w:val="0000FF"/>
                <w:kern w:val="2"/>
                <w:sz w:val="24"/>
                <w:szCs w:val="20"/>
                <w:highlight w:val="none"/>
                <w:lang w:val="en-US" w:eastAsia="zh-CN"/>
              </w:rPr>
              <w:t>简单污染防治区：采用厚度Mb=1.5m，渗透系数K≤10</w:t>
            </w:r>
            <w:r>
              <w:rPr>
                <w:rFonts w:hint="default" w:ascii="Times New Roman" w:hAnsi="Times New Roman" w:eastAsia="宋体" w:cs="Times New Roman"/>
                <w:color w:val="0000FF"/>
                <w:kern w:val="2"/>
                <w:sz w:val="24"/>
                <w:szCs w:val="20"/>
                <w:highlight w:val="none"/>
                <w:vertAlign w:val="superscript"/>
                <w:lang w:val="en-US" w:eastAsia="zh-CN"/>
              </w:rPr>
              <w:t>-7</w:t>
            </w:r>
            <w:r>
              <w:rPr>
                <w:rFonts w:hint="default" w:ascii="Times New Roman" w:hAnsi="Times New Roman" w:eastAsia="宋体" w:cs="Times New Roman"/>
                <w:color w:val="0000FF"/>
                <w:kern w:val="2"/>
                <w:sz w:val="24"/>
                <w:szCs w:val="20"/>
                <w:highlight w:val="none"/>
                <w:lang w:val="en-US" w:eastAsia="zh-CN"/>
              </w:rPr>
              <w:t>cm/s防渗等效的25cm厚P4等级混凝土进行防渗。目前已</w:t>
            </w:r>
            <w:r>
              <w:rPr>
                <w:rFonts w:hint="default" w:ascii="Times New Roman" w:hAnsi="Times New Roman" w:eastAsia="宋体" w:cs="Times New Roman"/>
                <w:color w:val="0000FF"/>
                <w:sz w:val="24"/>
                <w:szCs w:val="24"/>
                <w:lang w:val="en-US" w:eastAsia="zh-CN" w:bidi="ar-SA"/>
              </w:rPr>
              <w:t>建设完成。</w:t>
            </w:r>
          </w:p>
          <w:p w14:paraId="723A69C8">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color w:val="0000FF"/>
                <w:kern w:val="2"/>
                <w:sz w:val="24"/>
                <w:szCs w:val="20"/>
                <w:highlight w:val="none"/>
                <w:lang w:val="en-US" w:eastAsia="zh-CN"/>
              </w:rPr>
            </w:pPr>
            <w:r>
              <w:rPr>
                <w:rFonts w:hint="default" w:ascii="Times New Roman" w:hAnsi="Times New Roman" w:eastAsia="宋体" w:cs="Times New Roman"/>
                <w:color w:val="0000FF"/>
                <w:kern w:val="2"/>
                <w:sz w:val="24"/>
                <w:szCs w:val="20"/>
                <w:highlight w:val="none"/>
                <w:lang w:val="en-US" w:eastAsia="zh-CN"/>
              </w:rPr>
              <w:t>分区防渗图见</w:t>
            </w:r>
            <w:r>
              <w:rPr>
                <w:rFonts w:hint="eastAsia" w:cs="Times New Roman"/>
                <w:color w:val="0000FF"/>
                <w:kern w:val="2"/>
                <w:sz w:val="24"/>
                <w:szCs w:val="20"/>
                <w:highlight w:val="none"/>
                <w:lang w:val="en-US" w:eastAsia="zh-CN"/>
              </w:rPr>
              <w:t>附图8</w:t>
            </w:r>
            <w:r>
              <w:rPr>
                <w:rFonts w:hint="default" w:ascii="Times New Roman" w:hAnsi="Times New Roman" w:eastAsia="宋体" w:cs="Times New Roman"/>
                <w:color w:val="0000FF"/>
                <w:kern w:val="2"/>
                <w:sz w:val="24"/>
                <w:szCs w:val="20"/>
                <w:highlight w:val="none"/>
                <w:lang w:val="en-US" w:eastAsia="zh-CN"/>
              </w:rPr>
              <w:t>。</w:t>
            </w:r>
          </w:p>
          <w:p w14:paraId="3CB7AE24">
            <w:pPr>
              <w:spacing w:line="240" w:lineRule="auto"/>
              <w:jc w:val="center"/>
              <w:rPr>
                <w:rFonts w:hint="default" w:ascii="Times New Roman" w:hAnsi="Times New Roman" w:eastAsia="宋体" w:cs="Times New Roman"/>
                <w:b/>
                <w:bCs/>
                <w:color w:val="0000FF"/>
                <w:kern w:val="2"/>
                <w:sz w:val="21"/>
                <w:szCs w:val="21"/>
                <w:highlight w:val="none"/>
              </w:rPr>
            </w:pPr>
            <w:r>
              <w:rPr>
                <w:rFonts w:hint="default" w:ascii="Times New Roman" w:hAnsi="Times New Roman" w:eastAsia="宋体" w:cs="Times New Roman"/>
                <w:b/>
                <w:bCs/>
                <w:color w:val="0000FF"/>
                <w:kern w:val="2"/>
                <w:sz w:val="21"/>
                <w:szCs w:val="21"/>
                <w:highlight w:val="none"/>
              </w:rPr>
              <w:t>表</w:t>
            </w:r>
            <w:r>
              <w:rPr>
                <w:rFonts w:hint="default" w:ascii="Times New Roman" w:hAnsi="Times New Roman" w:eastAsia="宋体" w:cs="Times New Roman"/>
                <w:b/>
                <w:bCs/>
                <w:color w:val="0000FF"/>
                <w:kern w:val="2"/>
                <w:sz w:val="21"/>
                <w:szCs w:val="21"/>
                <w:highlight w:val="none"/>
                <w:lang w:val="en-US" w:eastAsia="zh-CN"/>
              </w:rPr>
              <w:t>4.9-1</w:t>
            </w:r>
            <w:r>
              <w:rPr>
                <w:rFonts w:hint="default" w:ascii="Times New Roman" w:hAnsi="Times New Roman" w:eastAsia="宋体" w:cs="Times New Roman"/>
                <w:b/>
                <w:bCs/>
                <w:color w:val="0000FF"/>
                <w:kern w:val="2"/>
                <w:sz w:val="21"/>
                <w:szCs w:val="21"/>
                <w:highlight w:val="none"/>
              </w:rPr>
              <w:t>各污染区防渗措施</w:t>
            </w:r>
          </w:p>
          <w:tbl>
            <w:tblPr>
              <w:tblStyle w:val="23"/>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61"/>
              <w:gridCol w:w="1140"/>
              <w:gridCol w:w="906"/>
              <w:gridCol w:w="1491"/>
              <w:gridCol w:w="1297"/>
              <w:gridCol w:w="2109"/>
            </w:tblGrid>
            <w:tr w14:paraId="1B8E18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pct"/>
                  <w:tcBorders>
                    <w:tl2br w:val="nil"/>
                    <w:tr2bl w:val="nil"/>
                  </w:tcBorders>
                  <w:vAlign w:val="center"/>
                </w:tcPr>
                <w:p w14:paraId="59CBD334">
                  <w:pPr>
                    <w:spacing w:line="240" w:lineRule="auto"/>
                    <w:jc w:val="center"/>
                    <w:rPr>
                      <w:rFonts w:hint="default" w:ascii="Times New Roman" w:hAnsi="Times New Roman" w:eastAsia="宋体" w:cs="Times New Roman"/>
                      <w:b w:val="0"/>
                      <w:bCs w:val="0"/>
                      <w:color w:val="0000FF"/>
                      <w:sz w:val="21"/>
                      <w:szCs w:val="24"/>
                      <w:highlight w:val="none"/>
                    </w:rPr>
                  </w:pPr>
                  <w:r>
                    <w:rPr>
                      <w:rFonts w:hint="default" w:ascii="Times New Roman" w:hAnsi="Times New Roman" w:eastAsia="宋体" w:cs="Times New Roman"/>
                      <w:b w:val="0"/>
                      <w:bCs w:val="0"/>
                      <w:color w:val="0000FF"/>
                      <w:sz w:val="21"/>
                      <w:szCs w:val="21"/>
                      <w:highlight w:val="none"/>
                      <w:lang w:val="zh-TW" w:eastAsia="zh-TW"/>
                    </w:rPr>
                    <w:t>场区内建筑物</w:t>
                  </w:r>
                </w:p>
              </w:tc>
              <w:tc>
                <w:tcPr>
                  <w:tcW w:w="670" w:type="pct"/>
                  <w:tcBorders>
                    <w:tl2br w:val="nil"/>
                    <w:tr2bl w:val="nil"/>
                  </w:tcBorders>
                  <w:vAlign w:val="center"/>
                </w:tcPr>
                <w:p w14:paraId="3BD99FDF">
                  <w:pPr>
                    <w:spacing w:line="240" w:lineRule="auto"/>
                    <w:jc w:val="center"/>
                    <w:rPr>
                      <w:rFonts w:hint="default" w:ascii="Times New Roman" w:hAnsi="Times New Roman" w:eastAsia="宋体" w:cs="Times New Roman"/>
                      <w:b w:val="0"/>
                      <w:bCs w:val="0"/>
                      <w:color w:val="0000FF"/>
                      <w:sz w:val="21"/>
                      <w:szCs w:val="24"/>
                      <w:highlight w:val="none"/>
                    </w:rPr>
                  </w:pPr>
                  <w:r>
                    <w:rPr>
                      <w:rFonts w:hint="default" w:ascii="Times New Roman" w:hAnsi="Times New Roman" w:eastAsia="宋体" w:cs="Times New Roman"/>
                      <w:b w:val="0"/>
                      <w:bCs w:val="0"/>
                      <w:color w:val="0000FF"/>
                      <w:sz w:val="21"/>
                      <w:szCs w:val="21"/>
                      <w:highlight w:val="none"/>
                      <w:lang w:val="zh-TW" w:eastAsia="zh-TW"/>
                    </w:rPr>
                    <w:t>包气带防污性能</w:t>
                  </w:r>
                </w:p>
              </w:tc>
              <w:tc>
                <w:tcPr>
                  <w:tcW w:w="532" w:type="pct"/>
                  <w:tcBorders>
                    <w:tl2br w:val="nil"/>
                    <w:tr2bl w:val="nil"/>
                  </w:tcBorders>
                  <w:vAlign w:val="center"/>
                </w:tcPr>
                <w:p w14:paraId="14158DC9">
                  <w:pPr>
                    <w:spacing w:line="240" w:lineRule="auto"/>
                    <w:jc w:val="center"/>
                    <w:rPr>
                      <w:rFonts w:hint="default" w:ascii="Times New Roman" w:hAnsi="Times New Roman" w:eastAsia="宋体" w:cs="Times New Roman"/>
                      <w:b w:val="0"/>
                      <w:bCs w:val="0"/>
                      <w:color w:val="0000FF"/>
                      <w:sz w:val="21"/>
                      <w:szCs w:val="24"/>
                      <w:highlight w:val="none"/>
                    </w:rPr>
                  </w:pPr>
                  <w:r>
                    <w:rPr>
                      <w:rFonts w:hint="default" w:ascii="Times New Roman" w:hAnsi="Times New Roman" w:eastAsia="宋体" w:cs="Times New Roman"/>
                      <w:b w:val="0"/>
                      <w:bCs w:val="0"/>
                      <w:color w:val="0000FF"/>
                      <w:sz w:val="21"/>
                      <w:szCs w:val="21"/>
                      <w:highlight w:val="none"/>
                      <w:lang w:val="zh-TW" w:eastAsia="zh-TW"/>
                    </w:rPr>
                    <w:t>污染控制难易程度</w:t>
                  </w:r>
                </w:p>
              </w:tc>
              <w:tc>
                <w:tcPr>
                  <w:tcW w:w="876" w:type="pct"/>
                  <w:tcBorders>
                    <w:tl2br w:val="nil"/>
                    <w:tr2bl w:val="nil"/>
                  </w:tcBorders>
                  <w:vAlign w:val="center"/>
                </w:tcPr>
                <w:p w14:paraId="51DFFE60">
                  <w:pPr>
                    <w:spacing w:line="240" w:lineRule="auto"/>
                    <w:jc w:val="center"/>
                    <w:rPr>
                      <w:rFonts w:hint="default" w:ascii="Times New Roman" w:hAnsi="Times New Roman" w:eastAsia="宋体" w:cs="Times New Roman"/>
                      <w:b w:val="0"/>
                      <w:bCs w:val="0"/>
                      <w:color w:val="0000FF"/>
                      <w:sz w:val="21"/>
                      <w:szCs w:val="21"/>
                      <w:highlight w:val="none"/>
                      <w:lang w:val="zh-TW" w:eastAsia="zh-TW"/>
                    </w:rPr>
                  </w:pPr>
                  <w:r>
                    <w:rPr>
                      <w:rFonts w:hint="default" w:ascii="Times New Roman" w:hAnsi="Times New Roman" w:eastAsia="宋体" w:cs="Times New Roman"/>
                      <w:b w:val="0"/>
                      <w:bCs w:val="0"/>
                      <w:color w:val="0000FF"/>
                      <w:sz w:val="21"/>
                      <w:szCs w:val="21"/>
                      <w:highlight w:val="none"/>
                      <w:lang w:val="zh-TW" w:eastAsia="zh-TW"/>
                    </w:rPr>
                    <w:t>污染物类型</w:t>
                  </w:r>
                </w:p>
              </w:tc>
              <w:tc>
                <w:tcPr>
                  <w:tcW w:w="762" w:type="pct"/>
                  <w:tcBorders>
                    <w:tl2br w:val="nil"/>
                    <w:tr2bl w:val="nil"/>
                  </w:tcBorders>
                  <w:vAlign w:val="center"/>
                </w:tcPr>
                <w:p w14:paraId="11BB08BE">
                  <w:pPr>
                    <w:spacing w:line="240" w:lineRule="auto"/>
                    <w:jc w:val="center"/>
                    <w:rPr>
                      <w:rFonts w:hint="default" w:ascii="Times New Roman" w:hAnsi="Times New Roman" w:eastAsia="宋体" w:cs="Times New Roman"/>
                      <w:b w:val="0"/>
                      <w:bCs w:val="0"/>
                      <w:color w:val="0000FF"/>
                      <w:sz w:val="21"/>
                      <w:szCs w:val="24"/>
                      <w:highlight w:val="none"/>
                    </w:rPr>
                  </w:pPr>
                  <w:r>
                    <w:rPr>
                      <w:rFonts w:hint="default" w:ascii="Times New Roman" w:hAnsi="Times New Roman" w:eastAsia="宋体" w:cs="Times New Roman"/>
                      <w:b w:val="0"/>
                      <w:bCs w:val="0"/>
                      <w:color w:val="0000FF"/>
                      <w:sz w:val="21"/>
                      <w:szCs w:val="21"/>
                      <w:highlight w:val="none"/>
                      <w:lang w:val="zh-TW" w:eastAsia="zh-TW"/>
                    </w:rPr>
                    <w:t>防渗分区</w:t>
                  </w:r>
                </w:p>
              </w:tc>
              <w:tc>
                <w:tcPr>
                  <w:tcW w:w="1240" w:type="pct"/>
                  <w:tcBorders>
                    <w:tl2br w:val="nil"/>
                    <w:tr2bl w:val="nil"/>
                  </w:tcBorders>
                  <w:vAlign w:val="center"/>
                </w:tcPr>
                <w:p w14:paraId="55F0B0FB">
                  <w:pPr>
                    <w:widowControl/>
                    <w:spacing w:line="240" w:lineRule="auto"/>
                    <w:jc w:val="center"/>
                    <w:rPr>
                      <w:rFonts w:hint="default" w:ascii="Times New Roman" w:hAnsi="Times New Roman" w:eastAsia="宋体" w:cs="Times New Roman"/>
                      <w:b w:val="0"/>
                      <w:bCs w:val="0"/>
                      <w:color w:val="0000FF"/>
                      <w:sz w:val="21"/>
                      <w:szCs w:val="24"/>
                      <w:highlight w:val="none"/>
                    </w:rPr>
                  </w:pPr>
                  <w:r>
                    <w:rPr>
                      <w:rFonts w:hint="default" w:ascii="Times New Roman" w:hAnsi="Times New Roman" w:eastAsia="宋体" w:cs="Times New Roman"/>
                      <w:b w:val="0"/>
                      <w:bCs w:val="0"/>
                      <w:color w:val="0000FF"/>
                      <w:sz w:val="21"/>
                      <w:szCs w:val="21"/>
                      <w:highlight w:val="none"/>
                      <w:lang w:bidi="ar"/>
                    </w:rPr>
                    <w:t>防渗处理措施</w:t>
                  </w:r>
                </w:p>
              </w:tc>
            </w:tr>
            <w:tr w14:paraId="44DBFA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pct"/>
                  <w:tcBorders>
                    <w:tl2br w:val="nil"/>
                    <w:tr2bl w:val="nil"/>
                  </w:tcBorders>
                  <w:vAlign w:val="center"/>
                </w:tcPr>
                <w:p w14:paraId="37FA0B36">
                  <w:pPr>
                    <w:spacing w:line="240" w:lineRule="auto"/>
                    <w:jc w:val="center"/>
                    <w:rPr>
                      <w:rFonts w:hint="default" w:ascii="Times New Roman" w:hAnsi="Times New Roman" w:eastAsia="宋体" w:cs="Times New Roman"/>
                      <w:b w:val="0"/>
                      <w:bCs w:val="0"/>
                      <w:color w:val="0000FF"/>
                      <w:sz w:val="21"/>
                      <w:szCs w:val="24"/>
                      <w:highlight w:val="none"/>
                      <w:lang w:val="en-US" w:eastAsia="zh-CN"/>
                    </w:rPr>
                  </w:pPr>
                  <w:r>
                    <w:rPr>
                      <w:rFonts w:hint="default" w:ascii="Times New Roman" w:hAnsi="Times New Roman" w:eastAsia="宋体" w:cs="Times New Roman"/>
                      <w:b w:val="0"/>
                      <w:bCs w:val="0"/>
                      <w:color w:val="0000FF"/>
                      <w:sz w:val="21"/>
                      <w:szCs w:val="24"/>
                      <w:highlight w:val="none"/>
                      <w:lang w:val="en-US" w:eastAsia="zh-CN"/>
                    </w:rPr>
                    <w:t>发酵罐区</w:t>
                  </w:r>
                  <w:r>
                    <w:rPr>
                      <w:rFonts w:hint="eastAsia" w:cs="Times New Roman"/>
                      <w:b w:val="0"/>
                      <w:bCs w:val="0"/>
                      <w:color w:val="0000FF"/>
                      <w:sz w:val="21"/>
                      <w:szCs w:val="24"/>
                      <w:highlight w:val="none"/>
                      <w:lang w:val="en-US" w:eastAsia="zh-CN"/>
                    </w:rPr>
                    <w:t>、危险废物贮存库</w:t>
                  </w:r>
                </w:p>
              </w:tc>
              <w:tc>
                <w:tcPr>
                  <w:tcW w:w="670" w:type="pct"/>
                  <w:tcBorders>
                    <w:tl2br w:val="nil"/>
                    <w:tr2bl w:val="nil"/>
                  </w:tcBorders>
                  <w:vAlign w:val="center"/>
                </w:tcPr>
                <w:p w14:paraId="0435122F">
                  <w:pPr>
                    <w:spacing w:line="240" w:lineRule="auto"/>
                    <w:jc w:val="center"/>
                    <w:rPr>
                      <w:rFonts w:hint="default" w:ascii="Times New Roman" w:hAnsi="Times New Roman" w:eastAsia="宋体" w:cs="Times New Roman"/>
                      <w:b w:val="0"/>
                      <w:bCs w:val="0"/>
                      <w:color w:val="0000FF"/>
                      <w:sz w:val="21"/>
                      <w:szCs w:val="21"/>
                      <w:highlight w:val="none"/>
                      <w:lang w:val="en-US" w:eastAsia="zh-CN"/>
                    </w:rPr>
                  </w:pPr>
                  <w:r>
                    <w:rPr>
                      <w:rFonts w:hint="default" w:ascii="Times New Roman" w:hAnsi="Times New Roman" w:eastAsia="宋体" w:cs="Times New Roman"/>
                      <w:b w:val="0"/>
                      <w:bCs w:val="0"/>
                      <w:color w:val="0000FF"/>
                      <w:sz w:val="21"/>
                      <w:szCs w:val="21"/>
                      <w:highlight w:val="none"/>
                      <w:lang w:val="en-US" w:eastAsia="zh-CN"/>
                    </w:rPr>
                    <w:t>弱</w:t>
                  </w:r>
                </w:p>
              </w:tc>
              <w:tc>
                <w:tcPr>
                  <w:tcW w:w="532" w:type="pct"/>
                  <w:tcBorders>
                    <w:tl2br w:val="nil"/>
                    <w:tr2bl w:val="nil"/>
                  </w:tcBorders>
                  <w:vAlign w:val="center"/>
                </w:tcPr>
                <w:p w14:paraId="3CB134DA">
                  <w:pPr>
                    <w:spacing w:line="240" w:lineRule="auto"/>
                    <w:jc w:val="center"/>
                    <w:rPr>
                      <w:rFonts w:hint="default" w:ascii="Times New Roman" w:hAnsi="Times New Roman" w:eastAsia="宋体" w:cs="Times New Roman"/>
                      <w:b w:val="0"/>
                      <w:bCs w:val="0"/>
                      <w:color w:val="0000FF"/>
                      <w:sz w:val="21"/>
                      <w:szCs w:val="21"/>
                      <w:highlight w:val="none"/>
                      <w:lang w:val="zh-TW" w:eastAsia="zh-TW"/>
                    </w:rPr>
                  </w:pPr>
                  <w:r>
                    <w:rPr>
                      <w:rFonts w:hint="default" w:ascii="Times New Roman" w:hAnsi="Times New Roman" w:eastAsia="宋体" w:cs="Times New Roman"/>
                      <w:b w:val="0"/>
                      <w:bCs w:val="0"/>
                      <w:color w:val="0000FF"/>
                      <w:sz w:val="21"/>
                      <w:szCs w:val="21"/>
                      <w:highlight w:val="none"/>
                      <w:lang w:val="zh-TW" w:eastAsia="zh-TW"/>
                    </w:rPr>
                    <w:t>难</w:t>
                  </w:r>
                </w:p>
              </w:tc>
              <w:tc>
                <w:tcPr>
                  <w:tcW w:w="876" w:type="pct"/>
                  <w:tcBorders>
                    <w:tl2br w:val="nil"/>
                    <w:tr2bl w:val="nil"/>
                  </w:tcBorders>
                  <w:vAlign w:val="center"/>
                </w:tcPr>
                <w:p w14:paraId="11E14C25">
                  <w:pPr>
                    <w:spacing w:line="240" w:lineRule="auto"/>
                    <w:jc w:val="center"/>
                    <w:rPr>
                      <w:rFonts w:hint="default" w:ascii="Times New Roman" w:hAnsi="Times New Roman" w:eastAsia="宋体" w:cs="Times New Roman"/>
                      <w:b w:val="0"/>
                      <w:bCs w:val="0"/>
                      <w:color w:val="0000FF"/>
                      <w:sz w:val="21"/>
                      <w:szCs w:val="21"/>
                      <w:highlight w:val="none"/>
                      <w:lang w:val="zh-TW" w:eastAsia="zh-TW"/>
                    </w:rPr>
                  </w:pPr>
                  <w:r>
                    <w:rPr>
                      <w:rFonts w:hint="default" w:ascii="Times New Roman" w:hAnsi="Times New Roman" w:eastAsia="宋体" w:cs="Times New Roman"/>
                      <w:b w:val="0"/>
                      <w:bCs w:val="0"/>
                      <w:color w:val="0000FF"/>
                      <w:sz w:val="21"/>
                      <w:szCs w:val="21"/>
                      <w:highlight w:val="none"/>
                      <w:lang w:val="en-US" w:eastAsia="zh-CN"/>
                    </w:rPr>
                    <w:t>非</w:t>
                  </w:r>
                  <w:r>
                    <w:rPr>
                      <w:rFonts w:hint="default" w:ascii="Times New Roman" w:hAnsi="Times New Roman" w:eastAsia="宋体" w:cs="Times New Roman"/>
                      <w:b w:val="0"/>
                      <w:bCs w:val="0"/>
                      <w:color w:val="0000FF"/>
                      <w:sz w:val="21"/>
                      <w:szCs w:val="21"/>
                      <w:highlight w:val="none"/>
                      <w:lang w:val="zh-TW" w:eastAsia="zh-TW"/>
                    </w:rPr>
                    <w:t>重金属、持久性有机物</w:t>
                  </w:r>
                </w:p>
                <w:p w14:paraId="6BB70607">
                  <w:pPr>
                    <w:spacing w:line="240" w:lineRule="auto"/>
                    <w:jc w:val="center"/>
                    <w:rPr>
                      <w:rFonts w:hint="default" w:ascii="Times New Roman" w:hAnsi="Times New Roman" w:eastAsia="宋体" w:cs="Times New Roman"/>
                      <w:b w:val="0"/>
                      <w:bCs w:val="0"/>
                      <w:color w:val="0000FF"/>
                      <w:sz w:val="21"/>
                      <w:szCs w:val="21"/>
                      <w:highlight w:val="none"/>
                      <w:lang w:val="zh-TW" w:eastAsia="zh-TW"/>
                    </w:rPr>
                  </w:pPr>
                  <w:r>
                    <w:rPr>
                      <w:rFonts w:hint="default" w:ascii="Times New Roman" w:hAnsi="Times New Roman" w:eastAsia="宋体" w:cs="Times New Roman"/>
                      <w:b w:val="0"/>
                      <w:bCs w:val="0"/>
                      <w:color w:val="0000FF"/>
                      <w:sz w:val="21"/>
                      <w:szCs w:val="21"/>
                      <w:highlight w:val="none"/>
                      <w:lang w:val="zh-TW" w:eastAsia="zh-TW"/>
                    </w:rPr>
                    <w:t>污染物</w:t>
                  </w:r>
                  <w:r>
                    <w:rPr>
                      <w:rFonts w:hint="default" w:ascii="Times New Roman" w:hAnsi="Times New Roman" w:eastAsia="宋体" w:cs="Times New Roman"/>
                      <w:b w:val="0"/>
                      <w:bCs w:val="0"/>
                      <w:color w:val="0000FF"/>
                      <w:sz w:val="21"/>
                      <w:szCs w:val="21"/>
                      <w:highlight w:val="none"/>
                      <w:lang w:val="en-US" w:eastAsia="zh-CN"/>
                    </w:rPr>
                    <w:t>的</w:t>
                  </w:r>
                  <w:r>
                    <w:rPr>
                      <w:rFonts w:hint="default" w:ascii="Times New Roman" w:hAnsi="Times New Roman" w:eastAsia="宋体" w:cs="Times New Roman"/>
                      <w:b w:val="0"/>
                      <w:bCs w:val="0"/>
                      <w:color w:val="0000FF"/>
                      <w:sz w:val="21"/>
                      <w:szCs w:val="21"/>
                      <w:highlight w:val="none"/>
                      <w:lang w:val="zh-TW" w:eastAsia="zh-TW"/>
                    </w:rPr>
                    <w:t>其他类型</w:t>
                  </w:r>
                </w:p>
              </w:tc>
              <w:tc>
                <w:tcPr>
                  <w:tcW w:w="762" w:type="pct"/>
                  <w:tcBorders>
                    <w:tl2br w:val="nil"/>
                    <w:tr2bl w:val="nil"/>
                  </w:tcBorders>
                  <w:vAlign w:val="center"/>
                </w:tcPr>
                <w:p w14:paraId="695E14D8">
                  <w:pPr>
                    <w:spacing w:line="240" w:lineRule="auto"/>
                    <w:jc w:val="center"/>
                    <w:rPr>
                      <w:rFonts w:hint="default" w:ascii="Times New Roman" w:hAnsi="Times New Roman" w:eastAsia="宋体" w:cs="Times New Roman"/>
                      <w:b w:val="0"/>
                      <w:bCs w:val="0"/>
                      <w:color w:val="0000FF"/>
                      <w:sz w:val="21"/>
                      <w:szCs w:val="24"/>
                      <w:highlight w:val="none"/>
                    </w:rPr>
                  </w:pPr>
                  <w:r>
                    <w:rPr>
                      <w:rFonts w:hint="default" w:ascii="Times New Roman" w:hAnsi="Times New Roman" w:eastAsia="宋体" w:cs="Times New Roman"/>
                      <w:b w:val="0"/>
                      <w:bCs w:val="0"/>
                      <w:color w:val="0000FF"/>
                      <w:sz w:val="21"/>
                      <w:szCs w:val="24"/>
                      <w:highlight w:val="none"/>
                    </w:rPr>
                    <w:t>重点防渗</w:t>
                  </w:r>
                </w:p>
              </w:tc>
              <w:tc>
                <w:tcPr>
                  <w:tcW w:w="1240" w:type="pct"/>
                  <w:tcBorders>
                    <w:tl2br w:val="nil"/>
                    <w:tr2bl w:val="nil"/>
                  </w:tcBorders>
                  <w:vAlign w:val="center"/>
                </w:tcPr>
                <w:p w14:paraId="6ABC70D2">
                  <w:pPr>
                    <w:spacing w:line="240" w:lineRule="auto"/>
                    <w:jc w:val="center"/>
                    <w:rPr>
                      <w:rFonts w:hint="default" w:ascii="Times New Roman" w:hAnsi="Times New Roman" w:eastAsia="宋体" w:cs="Times New Roman"/>
                      <w:b w:val="0"/>
                      <w:bCs w:val="0"/>
                      <w:color w:val="0000FF"/>
                      <w:sz w:val="21"/>
                      <w:szCs w:val="24"/>
                      <w:highlight w:val="none"/>
                    </w:rPr>
                  </w:pPr>
                  <w:r>
                    <w:rPr>
                      <w:rFonts w:hint="default" w:ascii="Times New Roman" w:hAnsi="Times New Roman" w:eastAsia="宋体" w:cs="Times New Roman"/>
                      <w:b w:val="0"/>
                      <w:bCs w:val="0"/>
                      <w:color w:val="0000FF"/>
                      <w:sz w:val="21"/>
                      <w:szCs w:val="24"/>
                      <w:highlight w:val="none"/>
                    </w:rPr>
                    <w:t>等效黏土防渗层Mb≥6.0m，K≤1.0×10</w:t>
                  </w:r>
                  <w:r>
                    <w:rPr>
                      <w:rFonts w:hint="default" w:ascii="Times New Roman" w:hAnsi="Times New Roman" w:eastAsia="宋体" w:cs="Times New Roman"/>
                      <w:b w:val="0"/>
                      <w:bCs w:val="0"/>
                      <w:color w:val="0000FF"/>
                      <w:sz w:val="21"/>
                      <w:szCs w:val="24"/>
                      <w:highlight w:val="none"/>
                      <w:vertAlign w:val="superscript"/>
                      <w:lang w:val="en-US" w:eastAsia="zh-CN"/>
                    </w:rPr>
                    <w:t>-7</w:t>
                  </w:r>
                  <w:r>
                    <w:rPr>
                      <w:rFonts w:hint="default" w:ascii="Times New Roman" w:hAnsi="Times New Roman" w:eastAsia="宋体" w:cs="Times New Roman"/>
                      <w:b w:val="0"/>
                      <w:bCs w:val="0"/>
                      <w:color w:val="0000FF"/>
                      <w:sz w:val="21"/>
                      <w:szCs w:val="24"/>
                      <w:highlight w:val="none"/>
                    </w:rPr>
                    <w:t>cm/s</w:t>
                  </w:r>
                </w:p>
              </w:tc>
            </w:tr>
            <w:tr w14:paraId="7476D6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pct"/>
                  <w:tcBorders>
                    <w:tl2br w:val="nil"/>
                    <w:tr2bl w:val="nil"/>
                  </w:tcBorders>
                  <w:vAlign w:val="center"/>
                </w:tcPr>
                <w:p w14:paraId="5281D340">
                  <w:pPr>
                    <w:spacing w:line="240" w:lineRule="auto"/>
                    <w:jc w:val="center"/>
                    <w:rPr>
                      <w:rFonts w:hint="default" w:ascii="Times New Roman" w:hAnsi="Times New Roman" w:eastAsia="宋体" w:cs="Times New Roman"/>
                      <w:b w:val="0"/>
                      <w:bCs w:val="0"/>
                      <w:color w:val="0000FF"/>
                      <w:sz w:val="21"/>
                      <w:szCs w:val="24"/>
                      <w:highlight w:val="none"/>
                      <w:lang w:val="en-US"/>
                    </w:rPr>
                  </w:pPr>
                  <w:r>
                    <w:rPr>
                      <w:rFonts w:hint="default" w:ascii="Times New Roman" w:hAnsi="Times New Roman" w:eastAsia="宋体" w:cs="Times New Roman"/>
                      <w:b w:val="0"/>
                      <w:bCs w:val="0"/>
                      <w:color w:val="0000FF"/>
                      <w:sz w:val="21"/>
                      <w:szCs w:val="24"/>
                      <w:highlight w:val="none"/>
                      <w:lang w:val="en-US" w:eastAsia="zh-CN"/>
                    </w:rPr>
                    <w:t>生产车间、成品仓库</w:t>
                  </w:r>
                </w:p>
              </w:tc>
              <w:tc>
                <w:tcPr>
                  <w:tcW w:w="670" w:type="pct"/>
                  <w:tcBorders>
                    <w:tl2br w:val="nil"/>
                    <w:tr2bl w:val="nil"/>
                  </w:tcBorders>
                  <w:vAlign w:val="center"/>
                </w:tcPr>
                <w:p w14:paraId="552684DF">
                  <w:pPr>
                    <w:spacing w:line="240" w:lineRule="auto"/>
                    <w:jc w:val="center"/>
                    <w:rPr>
                      <w:rFonts w:hint="default" w:ascii="Times New Roman" w:hAnsi="Times New Roman" w:eastAsia="宋体" w:cs="Times New Roman"/>
                      <w:b w:val="0"/>
                      <w:bCs w:val="0"/>
                      <w:color w:val="0000FF"/>
                      <w:sz w:val="21"/>
                      <w:szCs w:val="24"/>
                      <w:highlight w:val="none"/>
                    </w:rPr>
                  </w:pPr>
                  <w:r>
                    <w:rPr>
                      <w:rFonts w:hint="default" w:ascii="Times New Roman" w:hAnsi="Times New Roman" w:eastAsia="宋体" w:cs="Times New Roman"/>
                      <w:b w:val="0"/>
                      <w:bCs w:val="0"/>
                      <w:color w:val="0000FF"/>
                      <w:sz w:val="21"/>
                      <w:szCs w:val="21"/>
                      <w:highlight w:val="none"/>
                      <w:lang w:val="en-US" w:eastAsia="zh-CN"/>
                    </w:rPr>
                    <w:t>弱</w:t>
                  </w:r>
                </w:p>
              </w:tc>
              <w:tc>
                <w:tcPr>
                  <w:tcW w:w="532" w:type="pct"/>
                  <w:tcBorders>
                    <w:tl2br w:val="nil"/>
                    <w:tr2bl w:val="nil"/>
                  </w:tcBorders>
                  <w:vAlign w:val="center"/>
                </w:tcPr>
                <w:p w14:paraId="634F47AB">
                  <w:pPr>
                    <w:spacing w:line="240" w:lineRule="auto"/>
                    <w:jc w:val="center"/>
                    <w:rPr>
                      <w:rFonts w:hint="default" w:ascii="Times New Roman" w:hAnsi="Times New Roman" w:eastAsia="宋体" w:cs="Times New Roman"/>
                      <w:b w:val="0"/>
                      <w:bCs w:val="0"/>
                      <w:color w:val="0000FF"/>
                      <w:sz w:val="21"/>
                      <w:szCs w:val="24"/>
                      <w:highlight w:val="none"/>
                    </w:rPr>
                  </w:pPr>
                  <w:r>
                    <w:rPr>
                      <w:rFonts w:hint="default" w:ascii="Times New Roman" w:hAnsi="Times New Roman" w:eastAsia="宋体" w:cs="Times New Roman"/>
                      <w:b w:val="0"/>
                      <w:bCs w:val="0"/>
                      <w:color w:val="0000FF"/>
                      <w:sz w:val="21"/>
                      <w:szCs w:val="24"/>
                      <w:highlight w:val="none"/>
                    </w:rPr>
                    <w:t>易</w:t>
                  </w:r>
                  <w:r>
                    <w:rPr>
                      <w:rFonts w:hint="default" w:ascii="Times New Roman" w:hAnsi="Times New Roman" w:eastAsia="宋体" w:cs="Times New Roman"/>
                      <w:b w:val="0"/>
                      <w:bCs w:val="0"/>
                      <w:color w:val="0000FF"/>
                      <w:sz w:val="21"/>
                      <w:szCs w:val="24"/>
                      <w:highlight w:val="none"/>
                      <w:lang w:val="en-US" w:eastAsia="zh-CN"/>
                    </w:rPr>
                    <w:t>--</w:t>
                  </w:r>
                  <w:r>
                    <w:rPr>
                      <w:rFonts w:hint="default" w:ascii="Times New Roman" w:hAnsi="Times New Roman" w:eastAsia="宋体" w:cs="Times New Roman"/>
                      <w:b w:val="0"/>
                      <w:bCs w:val="0"/>
                      <w:color w:val="0000FF"/>
                      <w:sz w:val="21"/>
                      <w:szCs w:val="21"/>
                      <w:highlight w:val="none"/>
                      <w:lang w:val="zh-TW" w:eastAsia="zh-TW"/>
                    </w:rPr>
                    <w:t>难</w:t>
                  </w:r>
                </w:p>
              </w:tc>
              <w:tc>
                <w:tcPr>
                  <w:tcW w:w="876" w:type="pct"/>
                  <w:tcBorders>
                    <w:tl2br w:val="nil"/>
                    <w:tr2bl w:val="nil"/>
                  </w:tcBorders>
                  <w:vAlign w:val="center"/>
                </w:tcPr>
                <w:p w14:paraId="45C8F004">
                  <w:pPr>
                    <w:spacing w:line="240" w:lineRule="auto"/>
                    <w:jc w:val="center"/>
                    <w:rPr>
                      <w:rFonts w:hint="default" w:ascii="Times New Roman" w:hAnsi="Times New Roman" w:eastAsia="宋体" w:cs="Times New Roman"/>
                      <w:b w:val="0"/>
                      <w:bCs w:val="0"/>
                      <w:color w:val="0000FF"/>
                      <w:sz w:val="21"/>
                      <w:szCs w:val="21"/>
                      <w:highlight w:val="none"/>
                      <w:lang w:val="zh-TW" w:eastAsia="zh-TW"/>
                    </w:rPr>
                  </w:pPr>
                  <w:r>
                    <w:rPr>
                      <w:rFonts w:hint="default" w:ascii="Times New Roman" w:hAnsi="Times New Roman" w:eastAsia="宋体" w:cs="Times New Roman"/>
                      <w:b w:val="0"/>
                      <w:bCs w:val="0"/>
                      <w:color w:val="0000FF"/>
                      <w:sz w:val="21"/>
                      <w:szCs w:val="21"/>
                      <w:highlight w:val="none"/>
                      <w:lang w:val="en-US" w:eastAsia="zh-CN"/>
                    </w:rPr>
                    <w:t>非</w:t>
                  </w:r>
                  <w:r>
                    <w:rPr>
                      <w:rFonts w:hint="default" w:ascii="Times New Roman" w:hAnsi="Times New Roman" w:eastAsia="宋体" w:cs="Times New Roman"/>
                      <w:b w:val="0"/>
                      <w:bCs w:val="0"/>
                      <w:color w:val="0000FF"/>
                      <w:sz w:val="21"/>
                      <w:szCs w:val="21"/>
                      <w:highlight w:val="none"/>
                      <w:lang w:val="zh-TW" w:eastAsia="zh-TW"/>
                    </w:rPr>
                    <w:t>重金属、持久性有机物</w:t>
                  </w:r>
                </w:p>
              </w:tc>
              <w:tc>
                <w:tcPr>
                  <w:tcW w:w="762" w:type="pct"/>
                  <w:tcBorders>
                    <w:tl2br w:val="nil"/>
                    <w:tr2bl w:val="nil"/>
                  </w:tcBorders>
                  <w:vAlign w:val="center"/>
                </w:tcPr>
                <w:p w14:paraId="39A0BFBC">
                  <w:pPr>
                    <w:spacing w:line="240" w:lineRule="auto"/>
                    <w:jc w:val="center"/>
                    <w:rPr>
                      <w:rFonts w:hint="default" w:ascii="Times New Roman" w:hAnsi="Times New Roman" w:eastAsia="宋体" w:cs="Times New Roman"/>
                      <w:b w:val="0"/>
                      <w:bCs w:val="0"/>
                      <w:color w:val="0000FF"/>
                      <w:sz w:val="21"/>
                      <w:szCs w:val="24"/>
                      <w:highlight w:val="none"/>
                    </w:rPr>
                  </w:pPr>
                  <w:r>
                    <w:rPr>
                      <w:rFonts w:hint="default" w:ascii="Times New Roman" w:hAnsi="Times New Roman" w:eastAsia="宋体" w:cs="Times New Roman"/>
                      <w:b w:val="0"/>
                      <w:bCs w:val="0"/>
                      <w:color w:val="0000FF"/>
                      <w:sz w:val="21"/>
                      <w:szCs w:val="24"/>
                      <w:highlight w:val="none"/>
                    </w:rPr>
                    <w:t>一般防渗</w:t>
                  </w:r>
                </w:p>
              </w:tc>
              <w:tc>
                <w:tcPr>
                  <w:tcW w:w="1240" w:type="pct"/>
                  <w:tcBorders>
                    <w:tl2br w:val="nil"/>
                    <w:tr2bl w:val="nil"/>
                  </w:tcBorders>
                  <w:vAlign w:val="center"/>
                </w:tcPr>
                <w:p w14:paraId="0906A1E6">
                  <w:pPr>
                    <w:spacing w:line="240" w:lineRule="auto"/>
                    <w:jc w:val="center"/>
                    <w:rPr>
                      <w:rFonts w:hint="default" w:ascii="Times New Roman" w:hAnsi="Times New Roman" w:eastAsia="宋体" w:cs="Times New Roman"/>
                      <w:b w:val="0"/>
                      <w:bCs w:val="0"/>
                      <w:color w:val="0000FF"/>
                      <w:sz w:val="21"/>
                      <w:szCs w:val="24"/>
                      <w:highlight w:val="none"/>
                    </w:rPr>
                  </w:pPr>
                  <w:r>
                    <w:rPr>
                      <w:rFonts w:hint="default" w:ascii="Times New Roman" w:hAnsi="Times New Roman" w:eastAsia="宋体" w:cs="Times New Roman"/>
                      <w:b w:val="0"/>
                      <w:bCs w:val="0"/>
                      <w:color w:val="0000FF"/>
                      <w:sz w:val="21"/>
                      <w:szCs w:val="24"/>
                      <w:highlight w:val="none"/>
                    </w:rPr>
                    <w:t>等效黏土防渗层Mb≥1.5m，K≤1.0×10</w:t>
                  </w:r>
                  <w:r>
                    <w:rPr>
                      <w:rFonts w:hint="default" w:ascii="Times New Roman" w:hAnsi="Times New Roman" w:eastAsia="宋体" w:cs="Times New Roman"/>
                      <w:b w:val="0"/>
                      <w:bCs w:val="0"/>
                      <w:color w:val="0000FF"/>
                      <w:sz w:val="21"/>
                      <w:szCs w:val="24"/>
                      <w:highlight w:val="none"/>
                      <w:vertAlign w:val="superscript"/>
                    </w:rPr>
                    <w:t>-7</w:t>
                  </w:r>
                  <w:r>
                    <w:rPr>
                      <w:rFonts w:hint="default" w:ascii="Times New Roman" w:hAnsi="Times New Roman" w:eastAsia="宋体" w:cs="Times New Roman"/>
                      <w:b w:val="0"/>
                      <w:bCs w:val="0"/>
                      <w:color w:val="0000FF"/>
                      <w:sz w:val="21"/>
                      <w:szCs w:val="24"/>
                      <w:highlight w:val="none"/>
                    </w:rPr>
                    <w:t>cm/s</w:t>
                  </w:r>
                </w:p>
              </w:tc>
            </w:tr>
            <w:tr w14:paraId="7D6FD4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pct"/>
                  <w:tcBorders>
                    <w:tl2br w:val="nil"/>
                    <w:tr2bl w:val="nil"/>
                  </w:tcBorders>
                  <w:vAlign w:val="center"/>
                </w:tcPr>
                <w:p w14:paraId="3D6D39EA">
                  <w:pPr>
                    <w:spacing w:line="240" w:lineRule="auto"/>
                    <w:jc w:val="center"/>
                    <w:rPr>
                      <w:rFonts w:hint="default" w:ascii="Times New Roman" w:hAnsi="Times New Roman" w:eastAsia="宋体" w:cs="Times New Roman"/>
                      <w:b w:val="0"/>
                      <w:bCs w:val="0"/>
                      <w:color w:val="0000FF"/>
                      <w:sz w:val="21"/>
                      <w:szCs w:val="24"/>
                      <w:highlight w:val="none"/>
                    </w:rPr>
                  </w:pPr>
                  <w:r>
                    <w:rPr>
                      <w:rFonts w:hint="default" w:ascii="Times New Roman" w:hAnsi="Times New Roman" w:eastAsia="宋体" w:cs="Times New Roman"/>
                      <w:b w:val="0"/>
                      <w:bCs w:val="0"/>
                      <w:color w:val="0000FF"/>
                      <w:sz w:val="21"/>
                      <w:szCs w:val="24"/>
                      <w:highlight w:val="none"/>
                      <w:lang w:val="en-US" w:eastAsia="zh-CN"/>
                    </w:rPr>
                    <w:t>进出场道路</w:t>
                  </w:r>
                </w:p>
              </w:tc>
              <w:tc>
                <w:tcPr>
                  <w:tcW w:w="670" w:type="pct"/>
                  <w:tcBorders>
                    <w:tl2br w:val="nil"/>
                    <w:tr2bl w:val="nil"/>
                  </w:tcBorders>
                  <w:vAlign w:val="center"/>
                </w:tcPr>
                <w:p w14:paraId="1FCF8EE0">
                  <w:pPr>
                    <w:spacing w:line="240" w:lineRule="auto"/>
                    <w:jc w:val="center"/>
                    <w:rPr>
                      <w:rFonts w:hint="default" w:ascii="Times New Roman" w:hAnsi="Times New Roman" w:eastAsia="宋体" w:cs="Times New Roman"/>
                      <w:b w:val="0"/>
                      <w:bCs w:val="0"/>
                      <w:color w:val="0000FF"/>
                      <w:sz w:val="21"/>
                      <w:szCs w:val="24"/>
                      <w:highlight w:val="none"/>
                    </w:rPr>
                  </w:pPr>
                  <w:r>
                    <w:rPr>
                      <w:rFonts w:hint="default" w:ascii="Times New Roman" w:hAnsi="Times New Roman" w:eastAsia="宋体" w:cs="Times New Roman"/>
                      <w:b w:val="0"/>
                      <w:bCs w:val="0"/>
                      <w:color w:val="0000FF"/>
                      <w:sz w:val="21"/>
                      <w:szCs w:val="21"/>
                      <w:highlight w:val="none"/>
                      <w:lang w:val="en-US" w:eastAsia="zh-CN"/>
                    </w:rPr>
                    <w:t>弱</w:t>
                  </w:r>
                </w:p>
              </w:tc>
              <w:tc>
                <w:tcPr>
                  <w:tcW w:w="532" w:type="pct"/>
                  <w:tcBorders>
                    <w:tl2br w:val="nil"/>
                    <w:tr2bl w:val="nil"/>
                  </w:tcBorders>
                  <w:vAlign w:val="center"/>
                </w:tcPr>
                <w:p w14:paraId="22D9DB7E">
                  <w:pPr>
                    <w:spacing w:line="240" w:lineRule="auto"/>
                    <w:jc w:val="center"/>
                    <w:rPr>
                      <w:rFonts w:hint="default" w:ascii="Times New Roman" w:hAnsi="Times New Roman" w:eastAsia="宋体" w:cs="Times New Roman"/>
                      <w:b w:val="0"/>
                      <w:bCs w:val="0"/>
                      <w:color w:val="0000FF"/>
                      <w:sz w:val="21"/>
                      <w:szCs w:val="24"/>
                      <w:highlight w:val="none"/>
                    </w:rPr>
                  </w:pPr>
                  <w:r>
                    <w:rPr>
                      <w:rFonts w:hint="default" w:ascii="Times New Roman" w:hAnsi="Times New Roman" w:eastAsia="宋体" w:cs="Times New Roman"/>
                      <w:b w:val="0"/>
                      <w:bCs w:val="0"/>
                      <w:color w:val="0000FF"/>
                      <w:sz w:val="21"/>
                      <w:szCs w:val="24"/>
                      <w:highlight w:val="none"/>
                    </w:rPr>
                    <w:t>易</w:t>
                  </w:r>
                </w:p>
              </w:tc>
              <w:tc>
                <w:tcPr>
                  <w:tcW w:w="876" w:type="pct"/>
                  <w:tcBorders>
                    <w:tl2br w:val="nil"/>
                    <w:tr2bl w:val="nil"/>
                  </w:tcBorders>
                  <w:vAlign w:val="center"/>
                </w:tcPr>
                <w:p w14:paraId="7F9BCF03">
                  <w:pPr>
                    <w:spacing w:line="240" w:lineRule="auto"/>
                    <w:jc w:val="center"/>
                    <w:rPr>
                      <w:rFonts w:hint="default" w:ascii="Times New Roman" w:hAnsi="Times New Roman" w:eastAsia="宋体" w:cs="Times New Roman"/>
                      <w:b w:val="0"/>
                      <w:bCs w:val="0"/>
                      <w:color w:val="0000FF"/>
                      <w:sz w:val="21"/>
                      <w:szCs w:val="24"/>
                      <w:highlight w:val="none"/>
                    </w:rPr>
                  </w:pPr>
                  <w:r>
                    <w:rPr>
                      <w:rFonts w:hint="default" w:ascii="Times New Roman" w:hAnsi="Times New Roman" w:eastAsia="宋体" w:cs="Times New Roman"/>
                      <w:b w:val="0"/>
                      <w:bCs w:val="0"/>
                      <w:color w:val="0000FF"/>
                      <w:sz w:val="21"/>
                      <w:szCs w:val="21"/>
                      <w:highlight w:val="none"/>
                      <w:lang w:val="zh-TW" w:eastAsia="zh-TW"/>
                    </w:rPr>
                    <w:t>污染物</w:t>
                  </w:r>
                  <w:r>
                    <w:rPr>
                      <w:rFonts w:hint="default" w:ascii="Times New Roman" w:hAnsi="Times New Roman" w:eastAsia="宋体" w:cs="Times New Roman"/>
                      <w:b w:val="0"/>
                      <w:bCs w:val="0"/>
                      <w:color w:val="0000FF"/>
                      <w:sz w:val="21"/>
                      <w:szCs w:val="21"/>
                      <w:highlight w:val="none"/>
                      <w:lang w:val="en-US" w:eastAsia="zh-CN"/>
                    </w:rPr>
                    <w:t>的</w:t>
                  </w:r>
                  <w:r>
                    <w:rPr>
                      <w:rFonts w:hint="default" w:ascii="Times New Roman" w:hAnsi="Times New Roman" w:eastAsia="宋体" w:cs="Times New Roman"/>
                      <w:b w:val="0"/>
                      <w:bCs w:val="0"/>
                      <w:color w:val="0000FF"/>
                      <w:sz w:val="21"/>
                      <w:szCs w:val="21"/>
                      <w:highlight w:val="none"/>
                      <w:lang w:val="zh-TW" w:eastAsia="zh-TW"/>
                    </w:rPr>
                    <w:t>其他类型</w:t>
                  </w:r>
                </w:p>
              </w:tc>
              <w:tc>
                <w:tcPr>
                  <w:tcW w:w="762" w:type="pct"/>
                  <w:tcBorders>
                    <w:tl2br w:val="nil"/>
                    <w:tr2bl w:val="nil"/>
                  </w:tcBorders>
                  <w:vAlign w:val="center"/>
                </w:tcPr>
                <w:p w14:paraId="354D9BA1">
                  <w:pPr>
                    <w:spacing w:line="240" w:lineRule="auto"/>
                    <w:jc w:val="center"/>
                    <w:rPr>
                      <w:rFonts w:hint="default" w:ascii="Times New Roman" w:hAnsi="Times New Roman" w:eastAsia="宋体" w:cs="Times New Roman"/>
                      <w:b w:val="0"/>
                      <w:bCs w:val="0"/>
                      <w:color w:val="0000FF"/>
                      <w:sz w:val="21"/>
                      <w:szCs w:val="24"/>
                      <w:highlight w:val="none"/>
                    </w:rPr>
                  </w:pPr>
                  <w:r>
                    <w:rPr>
                      <w:rFonts w:hint="default" w:ascii="Times New Roman" w:hAnsi="Times New Roman" w:eastAsia="宋体" w:cs="Times New Roman"/>
                      <w:b w:val="0"/>
                      <w:bCs w:val="0"/>
                      <w:color w:val="0000FF"/>
                      <w:sz w:val="21"/>
                      <w:szCs w:val="24"/>
                      <w:highlight w:val="none"/>
                    </w:rPr>
                    <w:t>简单防渗</w:t>
                  </w:r>
                </w:p>
              </w:tc>
              <w:tc>
                <w:tcPr>
                  <w:tcW w:w="1240" w:type="pct"/>
                  <w:tcBorders>
                    <w:tl2br w:val="nil"/>
                    <w:tr2bl w:val="nil"/>
                  </w:tcBorders>
                  <w:vAlign w:val="center"/>
                </w:tcPr>
                <w:p w14:paraId="60B82BA0">
                  <w:pPr>
                    <w:spacing w:line="240" w:lineRule="auto"/>
                    <w:jc w:val="center"/>
                    <w:rPr>
                      <w:rFonts w:hint="default" w:ascii="Times New Roman" w:hAnsi="Times New Roman" w:eastAsia="宋体" w:cs="Times New Roman"/>
                      <w:b w:val="0"/>
                      <w:bCs w:val="0"/>
                      <w:color w:val="0000FF"/>
                      <w:sz w:val="21"/>
                      <w:szCs w:val="24"/>
                      <w:highlight w:val="none"/>
                    </w:rPr>
                  </w:pPr>
                  <w:r>
                    <w:rPr>
                      <w:rFonts w:hint="default" w:ascii="Times New Roman" w:hAnsi="Times New Roman" w:eastAsia="宋体" w:cs="Times New Roman"/>
                      <w:b w:val="0"/>
                      <w:bCs w:val="0"/>
                      <w:color w:val="0000FF"/>
                      <w:sz w:val="21"/>
                      <w:szCs w:val="21"/>
                      <w:highlight w:val="none"/>
                      <w:lang w:val="zh-TW" w:eastAsia="zh-TW"/>
                    </w:rPr>
                    <w:t>一般地面硬化</w:t>
                  </w:r>
                </w:p>
              </w:tc>
            </w:tr>
          </w:tbl>
          <w:p w14:paraId="29D21260">
            <w:pPr>
              <w:pageBreakBefore w:val="0"/>
              <w:widowControl w:val="0"/>
              <w:kinsoku/>
              <w:wordWrap/>
              <w:overflowPunct/>
              <w:topLinePunct w:val="0"/>
              <w:autoSpaceDE/>
              <w:autoSpaceDN/>
              <w:bidi w:val="0"/>
              <w:adjustRightInd/>
              <w:snapToGrid/>
              <w:spacing w:before="0" w:after="0" w:line="480" w:lineRule="exact"/>
              <w:ind w:left="0" w:right="0" w:firstLine="480" w:firstLineChars="200"/>
              <w:jc w:val="both"/>
              <w:textAlignment w:val="auto"/>
              <w:rPr>
                <w:rFonts w:hint="default" w:ascii="Times New Roman" w:hAnsi="Times New Roman" w:eastAsia="宋体" w:cs="Times New Roman"/>
                <w:b w:val="0"/>
                <w:bCs w:val="0"/>
                <w:color w:val="0000FF"/>
                <w:kern w:val="2"/>
                <w:sz w:val="24"/>
                <w:szCs w:val="20"/>
                <w:highlight w:val="none"/>
                <w:lang w:val="en-US" w:eastAsia="zh-CN"/>
              </w:rPr>
            </w:pPr>
            <w:r>
              <w:rPr>
                <w:rFonts w:hint="default" w:ascii="Times New Roman" w:hAnsi="Times New Roman" w:eastAsia="宋体" w:cs="Times New Roman"/>
                <w:b w:val="0"/>
                <w:bCs w:val="0"/>
                <w:color w:val="0000FF"/>
                <w:kern w:val="2"/>
                <w:sz w:val="24"/>
                <w:szCs w:val="20"/>
                <w:highlight w:val="none"/>
                <w:lang w:val="en-US" w:eastAsia="zh-CN"/>
              </w:rPr>
              <w:t>（3）环境影响分析</w:t>
            </w:r>
          </w:p>
          <w:p w14:paraId="5D055442">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color w:val="0000FF"/>
                <w:kern w:val="2"/>
                <w:sz w:val="24"/>
                <w:szCs w:val="20"/>
                <w:highlight w:val="none"/>
                <w:lang w:val="en-US" w:eastAsia="zh-CN"/>
              </w:rPr>
            </w:pPr>
            <w:r>
              <w:rPr>
                <w:rFonts w:hint="default" w:ascii="Times New Roman" w:hAnsi="Times New Roman" w:eastAsia="宋体" w:cs="Times New Roman"/>
                <w:color w:val="0000FF"/>
                <w:kern w:val="2"/>
                <w:sz w:val="24"/>
                <w:szCs w:val="20"/>
                <w:highlight w:val="none"/>
                <w:lang w:val="en-US" w:eastAsia="zh-CN"/>
              </w:rPr>
              <w:t>根据项目特点，厂区进行分区并对不同分区采取相应的防渗措施。项目对可能产生地下水、土壤影响的各项途径均进行有效预防，各项防渗措施可以有效地防止对区域地下水、土壤造成污染。综上所述，项目不会对项目区地下水、土壤环境造成污染影响。</w:t>
            </w:r>
          </w:p>
          <w:p w14:paraId="64952A09">
            <w:pPr>
              <w:pageBreakBefore w:val="0"/>
              <w:widowControl w:val="0"/>
              <w:kinsoku/>
              <w:wordWrap/>
              <w:overflowPunct/>
              <w:topLinePunct w:val="0"/>
              <w:autoSpaceDE/>
              <w:autoSpaceDN/>
              <w:bidi w:val="0"/>
              <w:adjustRightInd/>
              <w:snapToGrid/>
              <w:spacing w:before="0" w:after="0" w:line="480" w:lineRule="exact"/>
              <w:ind w:right="0"/>
              <w:jc w:val="both"/>
              <w:textAlignment w:val="auto"/>
              <w:rPr>
                <w:rFonts w:hint="default" w:ascii="Times New Roman" w:hAnsi="Times New Roman" w:eastAsia="宋体" w:cs="Times New Roman"/>
                <w:b/>
                <w:color w:val="auto"/>
                <w:kern w:val="2"/>
                <w:sz w:val="28"/>
                <w:szCs w:val="28"/>
                <w:highlight w:val="none"/>
                <w:lang w:val="en-US" w:eastAsia="zh-CN" w:bidi="ar-SA"/>
              </w:rPr>
            </w:pPr>
            <w:bookmarkStart w:id="84" w:name="_Toc299381542"/>
            <w:bookmarkStart w:id="85" w:name="_Toc29336"/>
            <w:bookmarkStart w:id="86" w:name="_Toc321043920"/>
            <w:bookmarkStart w:id="87" w:name="_Toc310503802"/>
            <w:bookmarkStart w:id="88" w:name="_Toc489948729"/>
            <w:bookmarkStart w:id="89" w:name="_Toc299961768"/>
            <w:bookmarkStart w:id="90" w:name="_Toc52004057"/>
            <w:bookmarkStart w:id="91" w:name="_Toc93082890"/>
            <w:bookmarkStart w:id="92" w:name="_Toc52068207"/>
            <w:bookmarkStart w:id="93" w:name="_Toc98474133"/>
            <w:bookmarkStart w:id="94" w:name="_Toc56408841"/>
            <w:r>
              <w:rPr>
                <w:rFonts w:hint="eastAsia" w:cs="Times New Roman"/>
                <w:b/>
                <w:color w:val="auto"/>
                <w:kern w:val="2"/>
                <w:sz w:val="28"/>
                <w:szCs w:val="28"/>
                <w:highlight w:val="none"/>
                <w:lang w:val="en-US" w:eastAsia="zh-CN" w:bidi="ar-SA"/>
              </w:rPr>
              <w:t>6、</w:t>
            </w:r>
            <w:r>
              <w:rPr>
                <w:rFonts w:hint="default" w:ascii="Times New Roman" w:hAnsi="Times New Roman" w:eastAsia="宋体" w:cs="Times New Roman"/>
                <w:b/>
                <w:color w:val="auto"/>
                <w:kern w:val="2"/>
                <w:sz w:val="28"/>
                <w:szCs w:val="28"/>
                <w:highlight w:val="none"/>
                <w:lang w:val="en-US" w:eastAsia="zh-CN" w:bidi="ar-SA"/>
              </w:rPr>
              <w:t>生态环境影响分析</w:t>
            </w:r>
            <w:bookmarkEnd w:id="84"/>
            <w:bookmarkEnd w:id="85"/>
            <w:bookmarkEnd w:id="86"/>
            <w:bookmarkEnd w:id="87"/>
            <w:bookmarkEnd w:id="88"/>
            <w:bookmarkEnd w:id="89"/>
          </w:p>
          <w:p w14:paraId="402B55AA">
            <w:pPr>
              <w:keepNext w:val="0"/>
              <w:keepLines w:val="0"/>
              <w:pageBreakBefore w:val="0"/>
              <w:widowControl w:val="0"/>
              <w:kinsoku/>
              <w:wordWrap/>
              <w:overflowPunct/>
              <w:topLinePunct w:val="0"/>
              <w:autoSpaceDE/>
              <w:autoSpaceDN/>
              <w:bidi w:val="0"/>
              <w:adjustRightInd/>
              <w:snapToGrid/>
              <w:spacing w:before="0" w:after="0" w:line="480" w:lineRule="atLeast"/>
              <w:ind w:left="0" w:right="0" w:firstLine="480" w:firstLineChars="200"/>
              <w:jc w:val="both"/>
              <w:textAlignment w:val="auto"/>
              <w:rPr>
                <w:rFonts w:hint="default" w:ascii="Times New Roman" w:hAnsi="Times New Roman" w:eastAsia="宋体" w:cs="Times New Roman"/>
                <w:color w:val="auto"/>
                <w:kern w:val="2"/>
                <w:sz w:val="24"/>
                <w:szCs w:val="20"/>
                <w:highlight w:val="none"/>
                <w:lang w:val="en-US" w:eastAsia="zh-CN"/>
              </w:rPr>
            </w:pPr>
            <w:r>
              <w:rPr>
                <w:rFonts w:hint="default" w:ascii="Times New Roman" w:hAnsi="Times New Roman" w:eastAsia="宋体" w:cs="Times New Roman"/>
                <w:b w:val="0"/>
                <w:bCs w:val="0"/>
                <w:color w:val="auto"/>
                <w:kern w:val="2"/>
                <w:sz w:val="24"/>
                <w:szCs w:val="20"/>
                <w:highlight w:val="none"/>
                <w:lang w:val="en-US" w:eastAsia="zh-CN"/>
              </w:rPr>
              <w:t>本项目属于设施农用地</w:t>
            </w:r>
            <w:r>
              <w:rPr>
                <w:rFonts w:hint="default" w:ascii="Times New Roman" w:hAnsi="Times New Roman" w:eastAsia="宋体" w:cs="Times New Roman"/>
                <w:color w:val="auto"/>
                <w:kern w:val="2"/>
                <w:sz w:val="24"/>
                <w:szCs w:val="20"/>
                <w:highlight w:val="none"/>
                <w:lang w:val="en-US" w:eastAsia="zh-CN"/>
              </w:rPr>
              <w:t>，项目投入运营后，将加强厂区及其周围的绿化和植被的恢复及补偿工作，项目在生产过程中不存在破化植被的工业活动，运营期不会对植物资源产生不利影响，通过加强施工人员的宣传教育和管理，可减少在建设初期对野生动物的影响，对生态环境的影响有限。</w:t>
            </w:r>
          </w:p>
          <w:bookmarkEnd w:id="90"/>
          <w:bookmarkEnd w:id="91"/>
          <w:bookmarkEnd w:id="92"/>
          <w:bookmarkEnd w:id="93"/>
          <w:bookmarkEnd w:id="94"/>
          <w:p w14:paraId="416DEFC2">
            <w:pPr>
              <w:pageBreakBefore w:val="0"/>
              <w:widowControl w:val="0"/>
              <w:kinsoku/>
              <w:wordWrap/>
              <w:overflowPunct/>
              <w:topLinePunct w:val="0"/>
              <w:autoSpaceDE/>
              <w:autoSpaceDN/>
              <w:bidi w:val="0"/>
              <w:adjustRightInd/>
              <w:snapToGrid/>
              <w:spacing w:before="0" w:after="0" w:line="480" w:lineRule="exact"/>
              <w:ind w:right="0"/>
              <w:jc w:val="both"/>
              <w:textAlignment w:val="auto"/>
              <w:rPr>
                <w:rFonts w:hint="default" w:ascii="Times New Roman" w:hAnsi="Times New Roman" w:eastAsia="宋体" w:cs="Times New Roman"/>
                <w:color w:val="0000FF"/>
                <w:kern w:val="2"/>
                <w:sz w:val="28"/>
                <w:szCs w:val="28"/>
                <w:highlight w:val="none"/>
                <w:lang w:val="en-US" w:eastAsia="zh-CN"/>
              </w:rPr>
            </w:pPr>
            <w:r>
              <w:rPr>
                <w:rFonts w:hint="eastAsia" w:cs="Times New Roman"/>
                <w:b/>
                <w:color w:val="0000FF"/>
                <w:kern w:val="2"/>
                <w:sz w:val="28"/>
                <w:szCs w:val="28"/>
                <w:highlight w:val="none"/>
                <w:lang w:val="en-US" w:eastAsia="zh-CN" w:bidi="ar-SA"/>
              </w:rPr>
              <w:t>7、</w:t>
            </w:r>
            <w:r>
              <w:rPr>
                <w:rFonts w:hint="default" w:ascii="Times New Roman" w:hAnsi="Times New Roman" w:eastAsia="宋体" w:cs="Times New Roman"/>
                <w:b/>
                <w:color w:val="0000FF"/>
                <w:kern w:val="2"/>
                <w:sz w:val="28"/>
                <w:szCs w:val="28"/>
                <w:highlight w:val="none"/>
                <w:lang w:val="en-US" w:eastAsia="zh-CN" w:bidi="ar-SA"/>
              </w:rPr>
              <w:t>环境风险分析</w:t>
            </w:r>
          </w:p>
          <w:p w14:paraId="6C86FC4F">
            <w:pPr>
              <w:pageBreakBefore w:val="0"/>
              <w:widowControl w:val="0"/>
              <w:kinsoku/>
              <w:wordWrap/>
              <w:overflowPunct/>
              <w:topLinePunct w:val="0"/>
              <w:autoSpaceDE/>
              <w:autoSpaceDN/>
              <w:bidi w:val="0"/>
              <w:adjustRightInd/>
              <w:snapToGrid/>
              <w:spacing w:before="0" w:after="0" w:line="480" w:lineRule="exact"/>
              <w:ind w:left="0" w:right="0" w:firstLine="482" w:firstLineChars="200"/>
              <w:jc w:val="both"/>
              <w:textAlignment w:val="auto"/>
              <w:rPr>
                <w:rFonts w:hint="default" w:ascii="Times New Roman" w:hAnsi="Times New Roman" w:eastAsia="宋体" w:cs="Times New Roman"/>
                <w:b/>
                <w:bCs/>
                <w:color w:val="0000FF"/>
                <w:kern w:val="2"/>
                <w:sz w:val="24"/>
                <w:szCs w:val="20"/>
                <w:highlight w:val="none"/>
                <w:lang w:val="en-US" w:eastAsia="zh-CN"/>
              </w:rPr>
            </w:pPr>
            <w:r>
              <w:rPr>
                <w:rFonts w:hint="eastAsia" w:cs="Times New Roman"/>
                <w:b/>
                <w:bCs/>
                <w:color w:val="0000FF"/>
                <w:kern w:val="2"/>
                <w:sz w:val="24"/>
                <w:szCs w:val="20"/>
                <w:highlight w:val="none"/>
                <w:lang w:val="en-US" w:eastAsia="zh-CN"/>
              </w:rPr>
              <w:t>7.1</w:t>
            </w:r>
            <w:r>
              <w:rPr>
                <w:rFonts w:hint="default" w:ascii="Times New Roman" w:hAnsi="Times New Roman" w:eastAsia="宋体" w:cs="Times New Roman"/>
                <w:b/>
                <w:bCs/>
                <w:color w:val="0000FF"/>
                <w:kern w:val="2"/>
                <w:sz w:val="24"/>
                <w:szCs w:val="20"/>
                <w:highlight w:val="none"/>
                <w:lang w:val="en-US" w:eastAsia="zh-CN"/>
              </w:rPr>
              <w:t>风险调查</w:t>
            </w:r>
          </w:p>
          <w:p w14:paraId="4D8FABC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val="0"/>
                <w:color w:val="0000FF"/>
                <w:kern w:val="2"/>
                <w:sz w:val="24"/>
                <w:szCs w:val="24"/>
                <w:lang w:val="en-US" w:eastAsia="zh-CN" w:bidi="ar-SA"/>
              </w:rPr>
            </w:pPr>
            <w:r>
              <w:rPr>
                <w:rFonts w:hint="default" w:ascii="Times New Roman" w:hAnsi="Times New Roman" w:eastAsia="宋体" w:cs="Times New Roman"/>
                <w:color w:val="0000FF"/>
                <w:kern w:val="2"/>
                <w:sz w:val="24"/>
                <w:szCs w:val="20"/>
                <w:highlight w:val="none"/>
                <w:lang w:val="en-US" w:eastAsia="zh-CN"/>
              </w:rPr>
              <w:t>根据《建设项目环境影响报告表编制技术指南污染影响类（试行）》，明确有毒有害和易燃易爆等危险物质和风险源分布情况及可能影响途径，并提出相应环境风险防范措施。</w:t>
            </w:r>
            <w:r>
              <w:rPr>
                <w:rFonts w:hint="default" w:ascii="Times New Roman" w:hAnsi="Times New Roman" w:eastAsia="宋体" w:cs="Times New Roman"/>
                <w:bCs w:val="0"/>
                <w:color w:val="0000FF"/>
                <w:kern w:val="2"/>
                <w:sz w:val="24"/>
                <w:szCs w:val="24"/>
                <w:lang w:val="en-US" w:eastAsia="zh-CN" w:bidi="ar-SA"/>
              </w:rPr>
              <w:t>依据《危险化学品重大危险源辨识》（GB18218-2018）表1、表2所列有毒、易燃、爆炸性危险物质名称，本项目涉及的主要危险物质是氨气</w:t>
            </w:r>
            <w:r>
              <w:rPr>
                <w:rFonts w:hint="default" w:ascii="Times New Roman" w:hAnsi="Times New Roman" w:eastAsia="宋体" w:cs="Times New Roman"/>
                <w:color w:val="0000FF"/>
                <w:kern w:val="2"/>
                <w:sz w:val="24"/>
                <w:szCs w:val="24"/>
                <w:lang w:val="en-US" w:eastAsia="zh-CN" w:bidi="ar-SA"/>
              </w:rPr>
              <w:t>、硫化氢以及甲烷，对照《建设项目环境风险评价技术导则》（HJ169-2018）附录B，</w:t>
            </w:r>
            <w:r>
              <w:rPr>
                <w:rFonts w:hint="eastAsia" w:cs="Times New Roman"/>
                <w:color w:val="0000FF"/>
                <w:kern w:val="2"/>
                <w:sz w:val="24"/>
                <w:szCs w:val="24"/>
                <w:lang w:val="en-US" w:eastAsia="zh-CN" w:bidi="ar-SA"/>
              </w:rPr>
              <w:t>废机油、</w:t>
            </w:r>
            <w:r>
              <w:rPr>
                <w:rFonts w:hint="default" w:ascii="Times New Roman" w:hAnsi="Times New Roman" w:eastAsia="宋体" w:cs="Times New Roman"/>
                <w:color w:val="0000FF"/>
                <w:kern w:val="2"/>
                <w:sz w:val="24"/>
                <w:szCs w:val="24"/>
                <w:lang w:val="en-US" w:eastAsia="zh-CN" w:bidi="ar-SA"/>
              </w:rPr>
              <w:t>氨气、硫化氢以及甲烷属于环境风险物质，临界量分别为5t、2.5t、10t。</w:t>
            </w:r>
            <w:r>
              <w:rPr>
                <w:rFonts w:hint="default" w:ascii="Times New Roman" w:hAnsi="Times New Roman" w:eastAsia="宋体" w:cs="Times New Roman"/>
                <w:bCs w:val="0"/>
                <w:color w:val="0000FF"/>
                <w:kern w:val="2"/>
                <w:sz w:val="24"/>
                <w:szCs w:val="24"/>
                <w:lang w:val="en-US" w:eastAsia="zh-CN" w:bidi="ar-SA"/>
              </w:rPr>
              <w:t>危险物质的重大危险源识别结果见表4.11-1。</w:t>
            </w:r>
          </w:p>
          <w:p w14:paraId="2A788FD8">
            <w:pPr>
              <w:spacing w:line="240" w:lineRule="auto"/>
              <w:ind w:firstLine="0" w:firstLineChars="0"/>
              <w:jc w:val="center"/>
              <w:rPr>
                <w:rFonts w:hint="default" w:ascii="Times New Roman" w:hAnsi="Times New Roman" w:eastAsia="宋体" w:cs="Times New Roman"/>
                <w:b/>
                <w:bCs/>
                <w:color w:val="0000FF"/>
                <w:sz w:val="21"/>
                <w:szCs w:val="21"/>
              </w:rPr>
            </w:pPr>
            <w:r>
              <w:rPr>
                <w:rFonts w:hint="default" w:ascii="Times New Roman" w:hAnsi="Times New Roman" w:eastAsia="宋体" w:cs="Times New Roman"/>
                <w:b/>
                <w:bCs/>
                <w:color w:val="0000FF"/>
                <w:sz w:val="21"/>
                <w:szCs w:val="21"/>
              </w:rPr>
              <w:t>表</w:t>
            </w:r>
            <w:r>
              <w:rPr>
                <w:rFonts w:hint="default" w:ascii="Times New Roman" w:hAnsi="Times New Roman" w:eastAsia="宋体" w:cs="Times New Roman"/>
                <w:b/>
                <w:bCs/>
                <w:color w:val="0000FF"/>
                <w:sz w:val="21"/>
                <w:szCs w:val="21"/>
                <w:lang w:val="en-US" w:eastAsia="zh-CN"/>
              </w:rPr>
              <w:t>4.11-1</w:t>
            </w:r>
            <w:r>
              <w:rPr>
                <w:rFonts w:hint="default" w:ascii="Times New Roman" w:hAnsi="Times New Roman" w:eastAsia="宋体" w:cs="Times New Roman"/>
                <w:b/>
                <w:bCs/>
                <w:color w:val="0000FF"/>
                <w:sz w:val="21"/>
                <w:szCs w:val="21"/>
              </w:rPr>
              <w:t>重大危险源识别表</w:t>
            </w:r>
          </w:p>
          <w:tbl>
            <w:tblPr>
              <w:tblStyle w:val="22"/>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796"/>
              <w:gridCol w:w="2305"/>
              <w:gridCol w:w="1702"/>
              <w:gridCol w:w="1701"/>
            </w:tblGrid>
            <w:tr w14:paraId="01F857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796" w:type="dxa"/>
                  <w:tcBorders>
                    <w:tl2br w:val="nil"/>
                    <w:tr2bl w:val="nil"/>
                  </w:tcBorders>
                  <w:shd w:val="clear" w:color="auto" w:fill="auto"/>
                  <w:noWrap w:val="0"/>
                  <w:vAlign w:val="center"/>
                </w:tcPr>
                <w:p w14:paraId="0EF48FC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0000FF"/>
                      <w:sz w:val="21"/>
                      <w:szCs w:val="21"/>
                    </w:rPr>
                  </w:pPr>
                  <w:r>
                    <w:rPr>
                      <w:rFonts w:hint="default" w:ascii="Times New Roman" w:hAnsi="Times New Roman" w:eastAsia="宋体" w:cs="Times New Roman"/>
                      <w:b/>
                      <w:bCs/>
                      <w:color w:val="0000FF"/>
                      <w:sz w:val="21"/>
                      <w:szCs w:val="21"/>
                    </w:rPr>
                    <w:t>危险物质名称</w:t>
                  </w:r>
                </w:p>
              </w:tc>
              <w:tc>
                <w:tcPr>
                  <w:tcW w:w="2305" w:type="dxa"/>
                  <w:tcBorders>
                    <w:tl2br w:val="nil"/>
                    <w:tr2bl w:val="nil"/>
                  </w:tcBorders>
                  <w:shd w:val="clear" w:color="auto" w:fill="auto"/>
                  <w:noWrap w:val="0"/>
                  <w:vAlign w:val="center"/>
                </w:tcPr>
                <w:p w14:paraId="03E31A4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0000FF"/>
                      <w:sz w:val="21"/>
                      <w:szCs w:val="21"/>
                    </w:rPr>
                  </w:pPr>
                  <w:r>
                    <w:rPr>
                      <w:rFonts w:hint="default" w:ascii="Times New Roman" w:hAnsi="Times New Roman" w:eastAsia="宋体" w:cs="Times New Roman"/>
                      <w:b/>
                      <w:bCs/>
                      <w:color w:val="0000FF"/>
                      <w:sz w:val="21"/>
                      <w:szCs w:val="21"/>
                    </w:rPr>
                    <w:t>最大存在总量（</w:t>
                  </w:r>
                  <w:r>
                    <w:rPr>
                      <w:rFonts w:hint="default" w:ascii="Times New Roman" w:hAnsi="Times New Roman" w:eastAsia="宋体" w:cs="Times New Roman"/>
                      <w:b/>
                      <w:bCs/>
                      <w:color w:val="0000FF"/>
                      <w:sz w:val="21"/>
                      <w:szCs w:val="21"/>
                      <w:lang w:val="en-US" w:eastAsia="zh-CN"/>
                    </w:rPr>
                    <w:t>q</w:t>
                  </w:r>
                  <w:r>
                    <w:rPr>
                      <w:rFonts w:hint="default" w:ascii="Times New Roman" w:hAnsi="Times New Roman" w:eastAsia="宋体" w:cs="Times New Roman"/>
                      <w:b/>
                      <w:bCs/>
                      <w:color w:val="0000FF"/>
                      <w:sz w:val="21"/>
                      <w:szCs w:val="21"/>
                      <w:vertAlign w:val="subscript"/>
                      <w:lang w:val="en-US" w:eastAsia="zh-CN"/>
                    </w:rPr>
                    <w:t>1</w:t>
                  </w:r>
                  <w:r>
                    <w:rPr>
                      <w:rFonts w:hint="default" w:ascii="Times New Roman" w:hAnsi="Times New Roman" w:eastAsia="宋体" w:cs="Times New Roman"/>
                      <w:b/>
                      <w:bCs/>
                      <w:color w:val="0000FF"/>
                      <w:sz w:val="21"/>
                      <w:szCs w:val="21"/>
                    </w:rPr>
                    <w:t>）</w:t>
                  </w:r>
                </w:p>
              </w:tc>
              <w:tc>
                <w:tcPr>
                  <w:tcW w:w="1702" w:type="dxa"/>
                  <w:tcBorders>
                    <w:tl2br w:val="nil"/>
                    <w:tr2bl w:val="nil"/>
                  </w:tcBorders>
                  <w:shd w:val="clear" w:color="auto" w:fill="auto"/>
                  <w:noWrap w:val="0"/>
                  <w:vAlign w:val="center"/>
                </w:tcPr>
                <w:p w14:paraId="4F99899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0000FF"/>
                      <w:sz w:val="21"/>
                      <w:szCs w:val="21"/>
                    </w:rPr>
                  </w:pPr>
                  <w:r>
                    <w:rPr>
                      <w:rFonts w:hint="default" w:ascii="Times New Roman" w:hAnsi="Times New Roman" w:eastAsia="宋体" w:cs="Times New Roman"/>
                      <w:b/>
                      <w:bCs/>
                      <w:color w:val="0000FF"/>
                      <w:sz w:val="21"/>
                      <w:szCs w:val="21"/>
                    </w:rPr>
                    <w:t>临界量（Q</w:t>
                  </w:r>
                  <w:r>
                    <w:rPr>
                      <w:rFonts w:hint="default" w:ascii="Times New Roman" w:hAnsi="Times New Roman" w:eastAsia="宋体" w:cs="Times New Roman"/>
                      <w:b/>
                      <w:bCs/>
                      <w:color w:val="0000FF"/>
                      <w:sz w:val="21"/>
                      <w:szCs w:val="21"/>
                      <w:vertAlign w:val="subscript"/>
                    </w:rPr>
                    <w:t>1</w:t>
                  </w:r>
                  <w:r>
                    <w:rPr>
                      <w:rFonts w:hint="default" w:ascii="Times New Roman" w:hAnsi="Times New Roman" w:eastAsia="宋体" w:cs="Times New Roman"/>
                      <w:b/>
                      <w:bCs/>
                      <w:color w:val="0000FF"/>
                      <w:sz w:val="21"/>
                      <w:szCs w:val="21"/>
                    </w:rPr>
                    <w:t>）</w:t>
                  </w:r>
                </w:p>
              </w:tc>
              <w:tc>
                <w:tcPr>
                  <w:tcW w:w="1701" w:type="dxa"/>
                  <w:tcBorders>
                    <w:tl2br w:val="nil"/>
                    <w:tr2bl w:val="nil"/>
                  </w:tcBorders>
                  <w:shd w:val="clear" w:color="auto" w:fill="auto"/>
                  <w:noWrap w:val="0"/>
                  <w:vAlign w:val="center"/>
                </w:tcPr>
                <w:p w14:paraId="2F00107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0000FF"/>
                      <w:sz w:val="21"/>
                      <w:szCs w:val="21"/>
                    </w:rPr>
                  </w:pPr>
                  <w:r>
                    <w:rPr>
                      <w:rFonts w:hint="default" w:ascii="Times New Roman" w:hAnsi="Times New Roman" w:eastAsia="宋体" w:cs="Times New Roman"/>
                      <w:b/>
                      <w:bCs/>
                      <w:color w:val="0000FF"/>
                      <w:sz w:val="21"/>
                      <w:szCs w:val="21"/>
                    </w:rPr>
                    <w:t>Q（q</w:t>
                  </w:r>
                  <w:r>
                    <w:rPr>
                      <w:rFonts w:hint="default" w:ascii="Times New Roman" w:hAnsi="Times New Roman" w:eastAsia="宋体" w:cs="Times New Roman"/>
                      <w:b/>
                      <w:bCs/>
                      <w:color w:val="0000FF"/>
                      <w:sz w:val="21"/>
                      <w:szCs w:val="21"/>
                      <w:vertAlign w:val="subscript"/>
                    </w:rPr>
                    <w:t>l</w:t>
                  </w:r>
                  <w:r>
                    <w:rPr>
                      <w:rFonts w:hint="default" w:ascii="Times New Roman" w:hAnsi="Times New Roman" w:eastAsia="宋体" w:cs="Times New Roman"/>
                      <w:b/>
                      <w:bCs/>
                      <w:color w:val="0000FF"/>
                      <w:sz w:val="21"/>
                      <w:szCs w:val="21"/>
                    </w:rPr>
                    <w:t>/Q</w:t>
                  </w:r>
                  <w:r>
                    <w:rPr>
                      <w:rFonts w:hint="default" w:ascii="Times New Roman" w:hAnsi="Times New Roman" w:eastAsia="宋体" w:cs="Times New Roman"/>
                      <w:b/>
                      <w:bCs/>
                      <w:color w:val="0000FF"/>
                      <w:sz w:val="21"/>
                      <w:szCs w:val="21"/>
                      <w:vertAlign w:val="subscript"/>
                    </w:rPr>
                    <w:t>1</w:t>
                  </w:r>
                  <w:r>
                    <w:rPr>
                      <w:rFonts w:hint="default" w:ascii="Times New Roman" w:hAnsi="Times New Roman" w:eastAsia="宋体" w:cs="Times New Roman"/>
                      <w:b/>
                      <w:bCs/>
                      <w:color w:val="0000FF"/>
                      <w:sz w:val="21"/>
                      <w:szCs w:val="21"/>
                    </w:rPr>
                    <w:t>）</w:t>
                  </w:r>
                </w:p>
              </w:tc>
            </w:tr>
            <w:tr w14:paraId="4698A4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796" w:type="dxa"/>
                  <w:tcBorders>
                    <w:tl2br w:val="nil"/>
                    <w:tr2bl w:val="nil"/>
                  </w:tcBorders>
                  <w:shd w:val="clear" w:color="auto" w:fill="auto"/>
                  <w:noWrap w:val="0"/>
                  <w:vAlign w:val="center"/>
                </w:tcPr>
                <w:p w14:paraId="7F2738C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color w:val="0000FF"/>
                      <w:sz w:val="21"/>
                      <w:szCs w:val="21"/>
                      <w:lang w:val="en-US" w:eastAsia="zh-CN"/>
                    </w:rPr>
                  </w:pPr>
                  <w:r>
                    <w:rPr>
                      <w:rFonts w:hint="eastAsia" w:cs="Times New Roman"/>
                      <w:color w:val="0000FF"/>
                      <w:sz w:val="21"/>
                      <w:szCs w:val="21"/>
                      <w:lang w:val="en-US" w:eastAsia="zh-CN"/>
                    </w:rPr>
                    <w:t>废机油</w:t>
                  </w:r>
                </w:p>
              </w:tc>
              <w:tc>
                <w:tcPr>
                  <w:tcW w:w="2305" w:type="dxa"/>
                  <w:tcBorders>
                    <w:tl2br w:val="nil"/>
                    <w:tr2bl w:val="nil"/>
                  </w:tcBorders>
                  <w:shd w:val="clear" w:color="auto" w:fill="auto"/>
                  <w:noWrap w:val="0"/>
                  <w:vAlign w:val="center"/>
                </w:tcPr>
                <w:p w14:paraId="3EAA6E6E">
                  <w:pPr>
                    <w:keepNext w:val="0"/>
                    <w:keepLines w:val="0"/>
                    <w:widowControl/>
                    <w:suppressLineNumbers w:val="0"/>
                    <w:jc w:val="center"/>
                    <w:textAlignment w:val="center"/>
                    <w:rPr>
                      <w:rFonts w:hint="default" w:ascii="Times New Roman" w:hAnsi="Times New Roman" w:eastAsia="宋体" w:cs="Times New Roman"/>
                      <w:i w:val="0"/>
                      <w:iCs w:val="0"/>
                      <w:color w:val="0000FF"/>
                      <w:kern w:val="0"/>
                      <w:sz w:val="21"/>
                      <w:szCs w:val="21"/>
                      <w:u w:val="none"/>
                      <w:lang w:val="en-US" w:eastAsia="zh-CN" w:bidi="ar"/>
                    </w:rPr>
                  </w:pPr>
                  <w:r>
                    <w:rPr>
                      <w:rFonts w:hint="eastAsia" w:cs="Times New Roman"/>
                      <w:i w:val="0"/>
                      <w:iCs w:val="0"/>
                      <w:color w:val="0000FF"/>
                      <w:kern w:val="0"/>
                      <w:sz w:val="21"/>
                      <w:szCs w:val="21"/>
                      <w:u w:val="none"/>
                      <w:lang w:val="en-US" w:eastAsia="zh-CN" w:bidi="ar"/>
                    </w:rPr>
                    <w:t>0.01</w:t>
                  </w:r>
                </w:p>
              </w:tc>
              <w:tc>
                <w:tcPr>
                  <w:tcW w:w="1702" w:type="dxa"/>
                  <w:tcBorders>
                    <w:tl2br w:val="nil"/>
                    <w:tr2bl w:val="nil"/>
                  </w:tcBorders>
                  <w:shd w:val="clear" w:color="auto" w:fill="auto"/>
                  <w:noWrap w:val="0"/>
                  <w:vAlign w:val="center"/>
                </w:tcPr>
                <w:p w14:paraId="018AA7C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FF"/>
                      <w:sz w:val="21"/>
                      <w:szCs w:val="21"/>
                      <w:lang w:val="en-US" w:eastAsia="zh-CN"/>
                    </w:rPr>
                  </w:pPr>
                  <w:r>
                    <w:rPr>
                      <w:rFonts w:hint="eastAsia" w:cs="Times New Roman"/>
                      <w:color w:val="0000FF"/>
                      <w:sz w:val="21"/>
                      <w:szCs w:val="21"/>
                      <w:lang w:val="en-US" w:eastAsia="zh-CN"/>
                    </w:rPr>
                    <w:t>2500</w:t>
                  </w:r>
                </w:p>
              </w:tc>
              <w:tc>
                <w:tcPr>
                  <w:tcW w:w="1701" w:type="dxa"/>
                  <w:tcBorders>
                    <w:tl2br w:val="nil"/>
                    <w:tr2bl w:val="nil"/>
                  </w:tcBorders>
                  <w:shd w:val="clear" w:color="auto" w:fill="auto"/>
                  <w:noWrap w:val="0"/>
                  <w:vAlign w:val="center"/>
                </w:tcPr>
                <w:p w14:paraId="15A8051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FF"/>
                      <w:sz w:val="21"/>
                      <w:szCs w:val="21"/>
                      <w:lang w:val="en-US" w:eastAsia="zh-CN"/>
                    </w:rPr>
                  </w:pPr>
                  <w:r>
                    <w:rPr>
                      <w:rFonts w:hint="eastAsia" w:cs="Times New Roman"/>
                      <w:color w:val="0000FF"/>
                      <w:sz w:val="21"/>
                      <w:szCs w:val="21"/>
                      <w:lang w:val="en-US" w:eastAsia="zh-CN"/>
                    </w:rPr>
                    <w:t>0.000004</w:t>
                  </w:r>
                </w:p>
              </w:tc>
            </w:tr>
            <w:tr w14:paraId="382CFF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796" w:type="dxa"/>
                  <w:tcBorders>
                    <w:tl2br w:val="nil"/>
                    <w:tr2bl w:val="nil"/>
                  </w:tcBorders>
                  <w:shd w:val="clear" w:color="auto" w:fill="auto"/>
                  <w:noWrap w:val="0"/>
                  <w:vAlign w:val="center"/>
                </w:tcPr>
                <w:p w14:paraId="00EF38B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氨气</w:t>
                  </w:r>
                </w:p>
              </w:tc>
              <w:tc>
                <w:tcPr>
                  <w:tcW w:w="2305" w:type="dxa"/>
                  <w:tcBorders>
                    <w:tl2br w:val="nil"/>
                    <w:tr2bl w:val="nil"/>
                  </w:tcBorders>
                  <w:shd w:val="clear" w:color="auto" w:fill="auto"/>
                  <w:noWrap w:val="0"/>
                  <w:vAlign w:val="center"/>
                </w:tcPr>
                <w:p w14:paraId="1B270FA8">
                  <w:pPr>
                    <w:keepNext w:val="0"/>
                    <w:keepLines w:val="0"/>
                    <w:widowControl/>
                    <w:suppressLineNumbers w:val="0"/>
                    <w:jc w:val="center"/>
                    <w:textAlignment w:val="center"/>
                    <w:rPr>
                      <w:rFonts w:hint="default" w:ascii="Times New Roman" w:hAnsi="Times New Roman" w:eastAsia="宋体" w:cs="Times New Roman"/>
                      <w:color w:val="0000FF"/>
                      <w:sz w:val="21"/>
                      <w:szCs w:val="21"/>
                      <w:lang w:val="en-US"/>
                    </w:rPr>
                  </w:pPr>
                  <w:r>
                    <w:rPr>
                      <w:rFonts w:hint="default" w:ascii="Times New Roman" w:hAnsi="Times New Roman" w:eastAsia="宋体" w:cs="Times New Roman"/>
                      <w:i w:val="0"/>
                      <w:iCs w:val="0"/>
                      <w:color w:val="0000FF"/>
                      <w:kern w:val="0"/>
                      <w:sz w:val="21"/>
                      <w:szCs w:val="21"/>
                      <w:u w:val="none"/>
                      <w:lang w:val="en-US" w:eastAsia="zh-CN" w:bidi="ar"/>
                    </w:rPr>
                    <w:t>0.18</w:t>
                  </w:r>
                </w:p>
              </w:tc>
              <w:tc>
                <w:tcPr>
                  <w:tcW w:w="1702" w:type="dxa"/>
                  <w:tcBorders>
                    <w:tl2br w:val="nil"/>
                    <w:tr2bl w:val="nil"/>
                  </w:tcBorders>
                  <w:shd w:val="clear" w:color="auto" w:fill="auto"/>
                  <w:noWrap w:val="0"/>
                  <w:vAlign w:val="center"/>
                </w:tcPr>
                <w:p w14:paraId="324487A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5</w:t>
                  </w:r>
                </w:p>
              </w:tc>
              <w:tc>
                <w:tcPr>
                  <w:tcW w:w="1701" w:type="dxa"/>
                  <w:tcBorders>
                    <w:tl2br w:val="nil"/>
                    <w:tr2bl w:val="nil"/>
                  </w:tcBorders>
                  <w:shd w:val="clear" w:color="auto" w:fill="auto"/>
                  <w:noWrap w:val="0"/>
                  <w:vAlign w:val="center"/>
                </w:tcPr>
                <w:p w14:paraId="56A5380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FF"/>
                      <w:sz w:val="21"/>
                      <w:szCs w:val="21"/>
                      <w:lang w:val="en-US"/>
                    </w:rPr>
                  </w:pPr>
                  <w:r>
                    <w:rPr>
                      <w:rFonts w:hint="default" w:ascii="Times New Roman" w:hAnsi="Times New Roman" w:eastAsia="宋体" w:cs="Times New Roman"/>
                      <w:color w:val="0000FF"/>
                      <w:sz w:val="21"/>
                      <w:szCs w:val="21"/>
                      <w:lang w:val="en-US" w:eastAsia="zh-CN"/>
                    </w:rPr>
                    <w:t>0.036</w:t>
                  </w:r>
                </w:p>
              </w:tc>
            </w:tr>
            <w:tr w14:paraId="372322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796" w:type="dxa"/>
                  <w:tcBorders>
                    <w:tl2br w:val="nil"/>
                    <w:tr2bl w:val="nil"/>
                  </w:tcBorders>
                  <w:shd w:val="clear" w:color="auto" w:fill="auto"/>
                  <w:noWrap w:val="0"/>
                  <w:vAlign w:val="center"/>
                </w:tcPr>
                <w:p w14:paraId="03ABACD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硫化氢</w:t>
                  </w:r>
                </w:p>
              </w:tc>
              <w:tc>
                <w:tcPr>
                  <w:tcW w:w="2305" w:type="dxa"/>
                  <w:tcBorders>
                    <w:tl2br w:val="nil"/>
                    <w:tr2bl w:val="nil"/>
                  </w:tcBorders>
                  <w:shd w:val="clear" w:color="auto" w:fill="auto"/>
                  <w:noWrap w:val="0"/>
                  <w:vAlign w:val="center"/>
                </w:tcPr>
                <w:p w14:paraId="24A0799A">
                  <w:pPr>
                    <w:keepNext w:val="0"/>
                    <w:keepLines w:val="0"/>
                    <w:widowControl/>
                    <w:suppressLineNumbers w:val="0"/>
                    <w:jc w:val="center"/>
                    <w:textAlignment w:val="center"/>
                    <w:rPr>
                      <w:rFonts w:hint="default" w:ascii="Times New Roman" w:hAnsi="Times New Roman" w:eastAsia="宋体" w:cs="Times New Roman"/>
                      <w:color w:val="0000FF"/>
                      <w:sz w:val="21"/>
                      <w:szCs w:val="21"/>
                      <w:lang w:val="en-US"/>
                    </w:rPr>
                  </w:pPr>
                  <w:r>
                    <w:rPr>
                      <w:rFonts w:hint="default" w:ascii="Times New Roman" w:hAnsi="Times New Roman" w:eastAsia="宋体" w:cs="Times New Roman"/>
                      <w:i w:val="0"/>
                      <w:iCs w:val="0"/>
                      <w:color w:val="0000FF"/>
                      <w:kern w:val="0"/>
                      <w:sz w:val="21"/>
                      <w:szCs w:val="21"/>
                      <w:u w:val="none"/>
                      <w:lang w:val="en-US" w:eastAsia="zh-CN" w:bidi="ar"/>
                    </w:rPr>
                    <w:t>0.097</w:t>
                  </w:r>
                </w:p>
              </w:tc>
              <w:tc>
                <w:tcPr>
                  <w:tcW w:w="1702" w:type="dxa"/>
                  <w:tcBorders>
                    <w:tl2br w:val="nil"/>
                    <w:tr2bl w:val="nil"/>
                  </w:tcBorders>
                  <w:shd w:val="clear" w:color="auto" w:fill="auto"/>
                  <w:noWrap w:val="0"/>
                  <w:vAlign w:val="center"/>
                </w:tcPr>
                <w:p w14:paraId="42C1062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rPr>
                    <w:t>2.5</w:t>
                  </w:r>
                </w:p>
              </w:tc>
              <w:tc>
                <w:tcPr>
                  <w:tcW w:w="1701" w:type="dxa"/>
                  <w:tcBorders>
                    <w:tl2br w:val="nil"/>
                    <w:tr2bl w:val="nil"/>
                  </w:tcBorders>
                  <w:shd w:val="clear" w:color="auto" w:fill="auto"/>
                  <w:noWrap w:val="0"/>
                  <w:vAlign w:val="center"/>
                </w:tcPr>
                <w:p w14:paraId="4C3E3A0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FF"/>
                      <w:sz w:val="21"/>
                      <w:szCs w:val="21"/>
                      <w:lang w:val="en-US"/>
                    </w:rPr>
                  </w:pPr>
                  <w:r>
                    <w:rPr>
                      <w:rFonts w:hint="default" w:ascii="Times New Roman" w:hAnsi="Times New Roman" w:eastAsia="宋体" w:cs="Times New Roman"/>
                      <w:color w:val="0000FF"/>
                      <w:sz w:val="21"/>
                      <w:szCs w:val="21"/>
                      <w:lang w:val="en-US" w:eastAsia="zh-CN"/>
                    </w:rPr>
                    <w:t>0.0388</w:t>
                  </w:r>
                </w:p>
              </w:tc>
            </w:tr>
            <w:tr w14:paraId="2C833F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796" w:type="dxa"/>
                  <w:tcBorders>
                    <w:tl2br w:val="nil"/>
                    <w:tr2bl w:val="nil"/>
                  </w:tcBorders>
                  <w:shd w:val="clear" w:color="auto" w:fill="auto"/>
                  <w:noWrap w:val="0"/>
                  <w:vAlign w:val="center"/>
                </w:tcPr>
                <w:p w14:paraId="0EB5506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FF"/>
                      <w:sz w:val="21"/>
                      <w:szCs w:val="21"/>
                    </w:rPr>
                  </w:pPr>
                  <w:r>
                    <w:rPr>
                      <w:rFonts w:hint="default" w:ascii="Times New Roman" w:hAnsi="Times New Roman" w:eastAsia="宋体" w:cs="Times New Roman"/>
                      <w:color w:val="0000FF"/>
                      <w:sz w:val="21"/>
                      <w:szCs w:val="21"/>
                      <w:lang w:val="en-US" w:eastAsia="zh-CN"/>
                    </w:rPr>
                    <w:t>甲烷</w:t>
                  </w:r>
                </w:p>
              </w:tc>
              <w:tc>
                <w:tcPr>
                  <w:tcW w:w="2305" w:type="dxa"/>
                  <w:tcBorders>
                    <w:tl2br w:val="nil"/>
                    <w:tr2bl w:val="nil"/>
                  </w:tcBorders>
                  <w:shd w:val="clear" w:color="auto" w:fill="auto"/>
                  <w:noWrap w:val="0"/>
                  <w:vAlign w:val="center"/>
                </w:tcPr>
                <w:p w14:paraId="6127C1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bCs/>
                      <w:color w:val="0000FF"/>
                      <w:sz w:val="21"/>
                      <w:szCs w:val="21"/>
                      <w:lang w:val="en-US" w:eastAsia="zh-CN"/>
                    </w:rPr>
                  </w:pPr>
                  <w:r>
                    <w:rPr>
                      <w:rFonts w:hint="default" w:ascii="Times New Roman" w:hAnsi="Times New Roman" w:eastAsia="宋体" w:cs="Times New Roman"/>
                      <w:bCs/>
                      <w:color w:val="0000FF"/>
                      <w:sz w:val="21"/>
                      <w:szCs w:val="21"/>
                      <w:lang w:val="en-US" w:eastAsia="zh-CN"/>
                    </w:rPr>
                    <w:t>少量</w:t>
                  </w:r>
                </w:p>
              </w:tc>
              <w:tc>
                <w:tcPr>
                  <w:tcW w:w="1702" w:type="dxa"/>
                  <w:tcBorders>
                    <w:tl2br w:val="nil"/>
                    <w:tr2bl w:val="nil"/>
                  </w:tcBorders>
                  <w:shd w:val="clear" w:color="auto" w:fill="auto"/>
                  <w:noWrap w:val="0"/>
                  <w:vAlign w:val="center"/>
                </w:tcPr>
                <w:p w14:paraId="7EB2033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10</w:t>
                  </w:r>
                </w:p>
              </w:tc>
              <w:tc>
                <w:tcPr>
                  <w:tcW w:w="1701" w:type="dxa"/>
                  <w:tcBorders>
                    <w:tl2br w:val="nil"/>
                    <w:tr2bl w:val="nil"/>
                  </w:tcBorders>
                  <w:shd w:val="clear" w:color="auto" w:fill="auto"/>
                  <w:noWrap w:val="0"/>
                  <w:vAlign w:val="center"/>
                </w:tcPr>
                <w:p w14:paraId="7978411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w:t>
                  </w:r>
                </w:p>
              </w:tc>
            </w:tr>
            <w:tr w14:paraId="3791FD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803" w:type="dxa"/>
                  <w:gridSpan w:val="3"/>
                  <w:tcBorders>
                    <w:tl2br w:val="nil"/>
                    <w:tr2bl w:val="nil"/>
                  </w:tcBorders>
                  <w:shd w:val="clear" w:color="auto" w:fill="auto"/>
                  <w:noWrap w:val="0"/>
                  <w:vAlign w:val="center"/>
                </w:tcPr>
                <w:p w14:paraId="6E6EDB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合计</w:t>
                  </w:r>
                </w:p>
              </w:tc>
              <w:tc>
                <w:tcPr>
                  <w:tcW w:w="1701" w:type="dxa"/>
                  <w:tcBorders>
                    <w:tl2br w:val="nil"/>
                    <w:tr2bl w:val="nil"/>
                  </w:tcBorders>
                  <w:shd w:val="clear" w:color="auto" w:fill="auto"/>
                  <w:noWrap w:val="0"/>
                  <w:vAlign w:val="center"/>
                </w:tcPr>
                <w:p w14:paraId="622808E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FF"/>
                      <w:sz w:val="21"/>
                      <w:szCs w:val="21"/>
                      <w:lang w:val="en-US" w:eastAsia="zh-CN"/>
                    </w:rPr>
                  </w:pPr>
                  <w:r>
                    <w:rPr>
                      <w:rFonts w:hint="default" w:ascii="Times New Roman" w:hAnsi="Times New Roman" w:eastAsia="宋体" w:cs="Times New Roman"/>
                      <w:color w:val="0000FF"/>
                      <w:sz w:val="21"/>
                      <w:szCs w:val="21"/>
                      <w:lang w:val="en-US" w:eastAsia="zh-CN"/>
                    </w:rPr>
                    <w:t>0.0748</w:t>
                  </w:r>
                  <w:r>
                    <w:rPr>
                      <w:rFonts w:hint="eastAsia" w:cs="Times New Roman"/>
                      <w:color w:val="0000FF"/>
                      <w:sz w:val="21"/>
                      <w:szCs w:val="21"/>
                      <w:lang w:val="en-US" w:eastAsia="zh-CN"/>
                    </w:rPr>
                    <w:t>04</w:t>
                  </w:r>
                </w:p>
              </w:tc>
            </w:tr>
          </w:tbl>
          <w:p w14:paraId="3436BB7D">
            <w:pPr>
              <w:keepNext w:val="0"/>
              <w:keepLines w:val="0"/>
              <w:pageBreakBefore w:val="0"/>
              <w:widowControl/>
              <w:wordWrap/>
              <w:topLinePunct w:val="0"/>
              <w:bidi w:val="0"/>
              <w:spacing w:line="360" w:lineRule="auto"/>
              <w:ind w:firstLine="480" w:firstLineChars="200"/>
              <w:jc w:val="left"/>
              <w:rPr>
                <w:rFonts w:hint="default" w:ascii="Times New Roman" w:hAnsi="Times New Roman" w:eastAsia="宋体" w:cs="Times New Roman"/>
                <w:b/>
                <w:bCs/>
                <w:color w:val="0000FF"/>
                <w:sz w:val="24"/>
                <w:szCs w:val="24"/>
              </w:rPr>
            </w:pPr>
            <w:r>
              <w:rPr>
                <w:rFonts w:hint="default" w:ascii="Times New Roman" w:hAnsi="Times New Roman" w:eastAsia="宋体" w:cs="Times New Roman"/>
                <w:color w:val="0000FF"/>
                <w:kern w:val="0"/>
                <w:sz w:val="24"/>
                <w:szCs w:val="24"/>
              </w:rPr>
              <w:t>本项目</w:t>
            </w:r>
            <w:r>
              <w:rPr>
                <w:rFonts w:hint="default" w:ascii="Times New Roman" w:hAnsi="Times New Roman" w:eastAsia="宋体" w:cs="Times New Roman"/>
                <w:color w:val="0000FF"/>
                <w:kern w:val="0"/>
                <w:sz w:val="24"/>
                <w:szCs w:val="24"/>
                <w:lang w:val="en-US" w:eastAsia="zh-CN"/>
              </w:rPr>
              <w:t>产生</w:t>
            </w:r>
            <w:r>
              <w:rPr>
                <w:rFonts w:hint="default" w:ascii="Times New Roman" w:hAnsi="Times New Roman" w:eastAsia="宋体" w:cs="Times New Roman"/>
                <w:b w:val="0"/>
                <w:bCs w:val="0"/>
                <w:color w:val="0000FF"/>
                <w:sz w:val="24"/>
                <w:szCs w:val="24"/>
                <w:lang w:val="en-US" w:eastAsia="zh-CN"/>
              </w:rPr>
              <w:t>NH</w:t>
            </w:r>
            <w:r>
              <w:rPr>
                <w:rFonts w:hint="default" w:ascii="Times New Roman" w:hAnsi="Times New Roman" w:eastAsia="宋体" w:cs="Times New Roman"/>
                <w:b w:val="0"/>
                <w:bCs w:val="0"/>
                <w:color w:val="0000FF"/>
                <w:sz w:val="24"/>
                <w:szCs w:val="24"/>
                <w:vertAlign w:val="subscript"/>
                <w:lang w:val="en-US" w:eastAsia="zh-CN"/>
              </w:rPr>
              <w:t>3</w:t>
            </w:r>
            <w:r>
              <w:rPr>
                <w:rFonts w:hint="default" w:ascii="Times New Roman" w:hAnsi="Times New Roman" w:eastAsia="宋体" w:cs="Times New Roman"/>
                <w:b w:val="0"/>
                <w:bCs w:val="0"/>
                <w:color w:val="0000FF"/>
                <w:sz w:val="24"/>
                <w:szCs w:val="24"/>
                <w:lang w:val="en-US" w:eastAsia="zh-CN"/>
              </w:rPr>
              <w:t>、H</w:t>
            </w:r>
            <w:r>
              <w:rPr>
                <w:rFonts w:hint="default" w:ascii="Times New Roman" w:hAnsi="Times New Roman" w:eastAsia="宋体" w:cs="Times New Roman"/>
                <w:b w:val="0"/>
                <w:bCs w:val="0"/>
                <w:color w:val="0000FF"/>
                <w:sz w:val="24"/>
                <w:szCs w:val="24"/>
                <w:vertAlign w:val="subscript"/>
                <w:lang w:val="en-US" w:eastAsia="zh-CN"/>
              </w:rPr>
              <w:t>2</w:t>
            </w:r>
            <w:r>
              <w:rPr>
                <w:rFonts w:hint="default" w:ascii="Times New Roman" w:hAnsi="Times New Roman" w:eastAsia="宋体" w:cs="Times New Roman"/>
                <w:b w:val="0"/>
                <w:bCs w:val="0"/>
                <w:color w:val="0000FF"/>
                <w:sz w:val="24"/>
                <w:szCs w:val="24"/>
                <w:lang w:val="en-US" w:eastAsia="zh-CN"/>
              </w:rPr>
              <w:t>S和CH</w:t>
            </w:r>
            <w:r>
              <w:rPr>
                <w:rFonts w:hint="default" w:ascii="Times New Roman" w:hAnsi="Times New Roman" w:eastAsia="宋体" w:cs="Times New Roman"/>
                <w:b w:val="0"/>
                <w:bCs w:val="0"/>
                <w:color w:val="0000FF"/>
                <w:sz w:val="24"/>
                <w:szCs w:val="24"/>
                <w:vertAlign w:val="subscript"/>
                <w:lang w:val="en-US" w:eastAsia="zh-CN"/>
              </w:rPr>
              <w:t>4</w:t>
            </w:r>
            <w:r>
              <w:rPr>
                <w:rFonts w:hint="default" w:ascii="Times New Roman" w:hAnsi="Times New Roman" w:eastAsia="宋体" w:cs="Times New Roman"/>
                <w:b w:val="0"/>
                <w:bCs w:val="0"/>
                <w:color w:val="0000FF"/>
                <w:sz w:val="24"/>
                <w:szCs w:val="24"/>
                <w:lang w:val="en-US" w:eastAsia="zh-CN"/>
              </w:rPr>
              <w:t>的环节主要是发酵罐区，NH</w:t>
            </w:r>
            <w:r>
              <w:rPr>
                <w:rFonts w:hint="default" w:ascii="Times New Roman" w:hAnsi="Times New Roman" w:eastAsia="宋体" w:cs="Times New Roman"/>
                <w:b w:val="0"/>
                <w:bCs w:val="0"/>
                <w:color w:val="0000FF"/>
                <w:sz w:val="24"/>
                <w:szCs w:val="24"/>
                <w:vertAlign w:val="subscript"/>
                <w:lang w:val="en-US" w:eastAsia="zh-CN"/>
              </w:rPr>
              <w:t>3</w:t>
            </w:r>
            <w:r>
              <w:rPr>
                <w:rFonts w:hint="default" w:ascii="Times New Roman" w:hAnsi="Times New Roman" w:eastAsia="宋体" w:cs="Times New Roman"/>
                <w:b w:val="0"/>
                <w:bCs w:val="0"/>
                <w:color w:val="0000FF"/>
                <w:sz w:val="24"/>
                <w:szCs w:val="24"/>
                <w:lang w:val="en-US" w:eastAsia="zh-CN"/>
              </w:rPr>
              <w:t>、H</w:t>
            </w:r>
            <w:r>
              <w:rPr>
                <w:rFonts w:hint="default" w:ascii="Times New Roman" w:hAnsi="Times New Roman" w:eastAsia="宋体" w:cs="Times New Roman"/>
                <w:b w:val="0"/>
                <w:bCs w:val="0"/>
                <w:color w:val="0000FF"/>
                <w:sz w:val="24"/>
                <w:szCs w:val="24"/>
                <w:vertAlign w:val="subscript"/>
                <w:lang w:val="en-US" w:eastAsia="zh-CN"/>
              </w:rPr>
              <w:t>2</w:t>
            </w:r>
            <w:r>
              <w:rPr>
                <w:rFonts w:hint="default" w:ascii="Times New Roman" w:hAnsi="Times New Roman" w:eastAsia="宋体" w:cs="Times New Roman"/>
                <w:b w:val="0"/>
                <w:bCs w:val="0"/>
                <w:color w:val="0000FF"/>
                <w:sz w:val="24"/>
                <w:szCs w:val="24"/>
                <w:lang w:val="en-US" w:eastAsia="zh-CN"/>
              </w:rPr>
              <w:t>S和CH</w:t>
            </w:r>
            <w:r>
              <w:rPr>
                <w:rFonts w:hint="default" w:ascii="Times New Roman" w:hAnsi="Times New Roman" w:eastAsia="宋体" w:cs="Times New Roman"/>
                <w:b w:val="0"/>
                <w:bCs w:val="0"/>
                <w:color w:val="0000FF"/>
                <w:sz w:val="24"/>
                <w:szCs w:val="24"/>
                <w:vertAlign w:val="subscript"/>
                <w:lang w:val="en-US" w:eastAsia="zh-CN"/>
              </w:rPr>
              <w:t>4</w:t>
            </w:r>
            <w:r>
              <w:rPr>
                <w:rFonts w:hint="default" w:ascii="Times New Roman" w:hAnsi="Times New Roman" w:eastAsia="宋体" w:cs="Times New Roman"/>
                <w:b w:val="0"/>
                <w:bCs w:val="0"/>
                <w:color w:val="0000FF"/>
                <w:sz w:val="24"/>
                <w:szCs w:val="24"/>
                <w:lang w:val="en-US" w:eastAsia="zh-CN"/>
              </w:rPr>
              <w:t>以无组织形式排入环境空气，不在项目区内贮存，最大存在总量以每日产生量计</w:t>
            </w:r>
            <w:r>
              <w:rPr>
                <w:rFonts w:hint="default" w:ascii="Times New Roman" w:hAnsi="Times New Roman" w:eastAsia="宋体" w:cs="Times New Roman"/>
                <w:color w:val="0000FF"/>
                <w:kern w:val="0"/>
                <w:sz w:val="24"/>
                <w:szCs w:val="24"/>
                <w:lang w:val="en-US" w:eastAsia="zh-CN"/>
              </w:rPr>
              <w:t>。</w:t>
            </w:r>
          </w:p>
          <w:p w14:paraId="2C4EA768">
            <w:pPr>
              <w:widowControl/>
              <w:spacing w:line="480" w:lineRule="exact"/>
              <w:ind w:firstLine="480" w:firstLineChars="200"/>
              <w:jc w:val="left"/>
              <w:rPr>
                <w:rFonts w:hint="default" w:ascii="Times New Roman" w:hAnsi="Times New Roman" w:eastAsia="宋体" w:cs="Times New Roman"/>
                <w:color w:val="0000FF"/>
                <w:sz w:val="24"/>
              </w:rPr>
            </w:pPr>
            <w:r>
              <w:rPr>
                <w:rFonts w:hint="default" w:ascii="Times New Roman" w:hAnsi="Times New Roman" w:eastAsia="宋体" w:cs="Times New Roman"/>
                <w:color w:val="0000FF"/>
                <w:sz w:val="24"/>
              </w:rPr>
              <w:t>根据以上分析，项目Q值为</w:t>
            </w:r>
            <w:r>
              <w:rPr>
                <w:rFonts w:hint="default" w:ascii="Times New Roman" w:hAnsi="Times New Roman" w:eastAsia="宋体" w:cs="Times New Roman"/>
                <w:color w:val="0000FF"/>
                <w:sz w:val="24"/>
                <w:lang w:val="en-US" w:eastAsia="zh-CN"/>
              </w:rPr>
              <w:t>0.0748</w:t>
            </w:r>
            <w:r>
              <w:rPr>
                <w:rFonts w:hint="eastAsia" w:cs="Times New Roman"/>
                <w:color w:val="0000FF"/>
                <w:sz w:val="24"/>
                <w:lang w:val="en-US" w:eastAsia="zh-CN"/>
              </w:rPr>
              <w:t>04</w:t>
            </w:r>
            <w:r>
              <w:rPr>
                <w:rFonts w:hint="default" w:ascii="Times New Roman" w:hAnsi="Times New Roman" w:eastAsia="宋体" w:cs="Times New Roman"/>
                <w:color w:val="0000FF"/>
                <w:sz w:val="24"/>
              </w:rPr>
              <w:t>，Q＜1，则本项目无需开展环境风险专项评价。</w:t>
            </w:r>
          </w:p>
          <w:p w14:paraId="2E65B934">
            <w:pPr>
              <w:pStyle w:val="2"/>
              <w:spacing w:line="480" w:lineRule="exact"/>
              <w:ind w:firstLine="480" w:firstLineChars="200"/>
              <w:jc w:val="left"/>
              <w:rPr>
                <w:rFonts w:hint="default" w:ascii="Times New Roman" w:hAnsi="Times New Roman" w:eastAsia="宋体" w:cs="Times New Roman"/>
                <w:b w:val="0"/>
                <w:bCs w:val="0"/>
                <w:color w:val="0000FF"/>
                <w:kern w:val="0"/>
                <w:sz w:val="24"/>
                <w:szCs w:val="24"/>
                <w:lang w:val="en-US" w:eastAsia="zh-CN"/>
              </w:rPr>
            </w:pPr>
            <w:r>
              <w:rPr>
                <w:rFonts w:hint="default" w:ascii="Times New Roman" w:hAnsi="Times New Roman" w:eastAsia="宋体" w:cs="Times New Roman"/>
                <w:b w:val="0"/>
                <w:bCs w:val="0"/>
                <w:color w:val="0000FF"/>
                <w:kern w:val="0"/>
                <w:sz w:val="24"/>
                <w:szCs w:val="24"/>
                <w:lang w:val="en-US" w:eastAsia="zh-CN"/>
              </w:rPr>
              <w:t>本项目运营过程中最大风险是有机肥料发生的火灾和爆炸。</w:t>
            </w:r>
          </w:p>
          <w:p w14:paraId="7679DA22">
            <w:pPr>
              <w:pStyle w:val="2"/>
              <w:spacing w:line="480" w:lineRule="exact"/>
              <w:ind w:firstLine="480" w:firstLineChars="200"/>
              <w:jc w:val="left"/>
              <w:rPr>
                <w:rFonts w:hint="default" w:ascii="Times New Roman" w:hAnsi="Times New Roman" w:eastAsia="宋体" w:cs="Times New Roman"/>
                <w:b w:val="0"/>
                <w:bCs w:val="0"/>
                <w:color w:val="0000FF"/>
                <w:kern w:val="0"/>
                <w:sz w:val="24"/>
                <w:szCs w:val="24"/>
                <w:lang w:val="en-US" w:eastAsia="zh-CN"/>
              </w:rPr>
            </w:pPr>
            <w:r>
              <w:rPr>
                <w:rFonts w:hint="default" w:ascii="Times New Roman" w:hAnsi="Times New Roman" w:eastAsia="宋体" w:cs="Times New Roman"/>
                <w:b w:val="0"/>
                <w:bCs w:val="0"/>
                <w:color w:val="0000FF"/>
                <w:kern w:val="0"/>
                <w:sz w:val="24"/>
                <w:szCs w:val="24"/>
                <w:lang w:val="en-US" w:eastAsia="zh-CN"/>
              </w:rPr>
              <w:t>本项目运营期可能发生的风险事故为有</w:t>
            </w:r>
            <w:r>
              <w:rPr>
                <w:rFonts w:hint="eastAsia" w:ascii="Times New Roman" w:cs="Times New Roman"/>
                <w:b w:val="0"/>
                <w:bCs w:val="0"/>
                <w:color w:val="0000FF"/>
                <w:kern w:val="0"/>
                <w:sz w:val="24"/>
                <w:szCs w:val="24"/>
                <w:lang w:val="en-US" w:eastAsia="zh-CN"/>
              </w:rPr>
              <w:t>废机油、</w:t>
            </w:r>
            <w:r>
              <w:rPr>
                <w:rFonts w:hint="default" w:ascii="Times New Roman" w:hAnsi="Times New Roman" w:eastAsia="宋体" w:cs="Times New Roman"/>
                <w:b w:val="0"/>
                <w:bCs w:val="0"/>
                <w:color w:val="0000FF"/>
                <w:kern w:val="0"/>
                <w:sz w:val="24"/>
                <w:szCs w:val="24"/>
                <w:lang w:val="en-US" w:eastAsia="zh-CN"/>
              </w:rPr>
              <w:t>机肥料燃烧引起的火灾。厂区有机肥料成品仓库内设置消防设施，定期检查维护。综合以上因素，本项目发生风险事故发生概率很低。</w:t>
            </w:r>
          </w:p>
          <w:p w14:paraId="4D9B5666">
            <w:pPr>
              <w:pStyle w:val="2"/>
              <w:spacing w:line="480" w:lineRule="exact"/>
              <w:ind w:firstLine="241" w:firstLineChars="100"/>
              <w:jc w:val="left"/>
              <w:rPr>
                <w:rFonts w:hint="default" w:ascii="Times New Roman" w:hAnsi="Times New Roman" w:eastAsia="宋体" w:cs="Times New Roman"/>
                <w:b/>
                <w:bCs w:val="0"/>
                <w:color w:val="0000FF"/>
                <w:lang w:val="en-US" w:eastAsia="zh-CN"/>
              </w:rPr>
            </w:pPr>
            <w:r>
              <w:rPr>
                <w:rFonts w:hint="eastAsia" w:ascii="Times New Roman" w:cs="Times New Roman"/>
                <w:b/>
                <w:bCs w:val="0"/>
                <w:color w:val="0000FF"/>
                <w:lang w:val="en-US" w:eastAsia="zh-CN"/>
              </w:rPr>
              <w:t>7</w:t>
            </w:r>
            <w:r>
              <w:rPr>
                <w:rFonts w:hint="default" w:ascii="Times New Roman" w:hAnsi="Times New Roman" w:eastAsia="宋体" w:cs="Times New Roman"/>
                <w:b/>
                <w:bCs w:val="0"/>
                <w:color w:val="0000FF"/>
              </w:rPr>
              <w:t>.</w:t>
            </w:r>
            <w:r>
              <w:rPr>
                <w:rFonts w:hint="default" w:ascii="Times New Roman" w:hAnsi="Times New Roman" w:eastAsia="宋体" w:cs="Times New Roman"/>
                <w:b/>
                <w:bCs w:val="0"/>
                <w:color w:val="0000FF"/>
                <w:lang w:val="en-US" w:eastAsia="zh-CN"/>
              </w:rPr>
              <w:t>2风险事故</w:t>
            </w:r>
            <w:r>
              <w:rPr>
                <w:rFonts w:hint="default" w:ascii="Times New Roman" w:hAnsi="Times New Roman" w:eastAsia="宋体" w:cs="Times New Roman"/>
                <w:b/>
                <w:bCs w:val="0"/>
                <w:color w:val="0000FF"/>
              </w:rPr>
              <w:t>环境</w:t>
            </w:r>
            <w:r>
              <w:rPr>
                <w:rFonts w:hint="default" w:ascii="Times New Roman" w:hAnsi="Times New Roman" w:eastAsia="宋体" w:cs="Times New Roman"/>
                <w:b/>
                <w:bCs w:val="0"/>
                <w:color w:val="0000FF"/>
                <w:lang w:val="en-US" w:eastAsia="zh-CN"/>
              </w:rPr>
              <w:t>影响</w:t>
            </w:r>
          </w:p>
          <w:p w14:paraId="1DF0ECC3">
            <w:pPr>
              <w:pStyle w:val="2"/>
              <w:spacing w:line="480" w:lineRule="exact"/>
              <w:ind w:firstLine="480" w:firstLineChars="200"/>
              <w:jc w:val="left"/>
              <w:rPr>
                <w:rFonts w:hint="default" w:ascii="Times New Roman" w:hAnsi="Times New Roman" w:eastAsia="宋体" w:cs="Times New Roman"/>
                <w:b w:val="0"/>
                <w:bCs/>
                <w:color w:val="0000FF"/>
                <w:highlight w:val="none"/>
              </w:rPr>
            </w:pPr>
            <w:r>
              <w:rPr>
                <w:rFonts w:hint="default" w:ascii="Times New Roman" w:hAnsi="Times New Roman" w:eastAsia="宋体" w:cs="Times New Roman"/>
                <w:b w:val="0"/>
                <w:bCs/>
                <w:color w:val="0000FF"/>
                <w:highlight w:val="none"/>
              </w:rPr>
              <w:t>（1）环境影响</w:t>
            </w:r>
          </w:p>
          <w:p w14:paraId="3FFF1DA3">
            <w:pPr>
              <w:spacing w:line="520" w:lineRule="exact"/>
              <w:ind w:firstLine="480" w:firstLineChars="200"/>
              <w:rPr>
                <w:rFonts w:hint="default" w:ascii="Times New Roman" w:hAnsi="Times New Roman" w:eastAsia="宋体" w:cs="Times New Roman"/>
                <w:color w:val="0000FF"/>
                <w:sz w:val="24"/>
                <w:szCs w:val="24"/>
                <w:highlight w:val="none"/>
                <w:lang w:val="en-US" w:eastAsia="zh-CN"/>
              </w:rPr>
            </w:pPr>
            <w:r>
              <w:rPr>
                <w:rFonts w:hint="default" w:ascii="Times New Roman" w:hAnsi="Times New Roman" w:eastAsia="宋体" w:cs="Times New Roman"/>
                <w:color w:val="0000FF"/>
                <w:sz w:val="24"/>
                <w:szCs w:val="24"/>
                <w:highlight w:val="none"/>
              </w:rPr>
              <w:t>本项目涉及</w:t>
            </w:r>
            <w:r>
              <w:rPr>
                <w:rFonts w:hint="eastAsia" w:cs="Times New Roman"/>
                <w:color w:val="0000FF"/>
                <w:sz w:val="24"/>
                <w:szCs w:val="24"/>
                <w:highlight w:val="none"/>
                <w:lang w:val="en-US" w:eastAsia="zh-CN"/>
              </w:rPr>
              <w:t>废机油暂存、</w:t>
            </w:r>
            <w:r>
              <w:rPr>
                <w:rFonts w:hint="default" w:ascii="Times New Roman" w:hAnsi="Times New Roman" w:eastAsia="宋体" w:cs="Times New Roman"/>
                <w:b w:val="0"/>
                <w:bCs w:val="0"/>
                <w:color w:val="0000FF"/>
                <w:kern w:val="0"/>
                <w:sz w:val="24"/>
                <w:szCs w:val="24"/>
                <w:lang w:val="en-US" w:eastAsia="zh-CN"/>
              </w:rPr>
              <w:t>有机肥料</w:t>
            </w:r>
            <w:r>
              <w:rPr>
                <w:rFonts w:hint="default" w:ascii="Times New Roman" w:hAnsi="Times New Roman" w:eastAsia="宋体" w:cs="Times New Roman"/>
                <w:color w:val="0000FF"/>
                <w:sz w:val="24"/>
                <w:szCs w:val="24"/>
                <w:highlight w:val="none"/>
              </w:rPr>
              <w:t>储存、运输过程中存在发生火灾。</w:t>
            </w:r>
            <w:r>
              <w:rPr>
                <w:rFonts w:hint="eastAsia" w:cs="Times New Roman"/>
                <w:color w:val="0000FF"/>
                <w:sz w:val="24"/>
                <w:szCs w:val="24"/>
                <w:highlight w:val="none"/>
                <w:lang w:val="en-US" w:eastAsia="zh-CN"/>
              </w:rPr>
              <w:t>废机油、</w:t>
            </w:r>
            <w:r>
              <w:rPr>
                <w:rFonts w:hint="default" w:ascii="Times New Roman" w:hAnsi="Times New Roman" w:eastAsia="宋体" w:cs="Times New Roman"/>
                <w:b w:val="0"/>
                <w:bCs w:val="0"/>
                <w:color w:val="0000FF"/>
                <w:kern w:val="0"/>
                <w:sz w:val="24"/>
                <w:szCs w:val="24"/>
                <w:lang w:val="en-US" w:eastAsia="zh-CN"/>
              </w:rPr>
              <w:t>有机肥料</w:t>
            </w:r>
            <w:r>
              <w:rPr>
                <w:rFonts w:hint="default" w:ascii="Times New Roman" w:hAnsi="Times New Roman" w:eastAsia="宋体" w:cs="Times New Roman"/>
                <w:color w:val="0000FF"/>
                <w:sz w:val="24"/>
                <w:szCs w:val="24"/>
                <w:highlight w:val="none"/>
              </w:rPr>
              <w:t>火灾产生大量有害气体，同时产生消防废水。</w:t>
            </w:r>
            <w:r>
              <w:rPr>
                <w:rFonts w:hint="eastAsia" w:cs="Times New Roman"/>
                <w:color w:val="0000FF"/>
                <w:sz w:val="24"/>
                <w:szCs w:val="24"/>
                <w:highlight w:val="none"/>
                <w:lang w:val="en-US" w:eastAsia="zh-CN"/>
              </w:rPr>
              <w:t>废机油、</w:t>
            </w:r>
            <w:r>
              <w:rPr>
                <w:rFonts w:hint="default" w:ascii="Times New Roman" w:hAnsi="Times New Roman" w:eastAsia="宋体" w:cs="Times New Roman"/>
                <w:b w:val="0"/>
                <w:bCs w:val="0"/>
                <w:color w:val="0000FF"/>
                <w:kern w:val="0"/>
                <w:sz w:val="24"/>
                <w:szCs w:val="24"/>
                <w:lang w:val="en-US" w:eastAsia="zh-CN"/>
              </w:rPr>
              <w:t>有机肥料</w:t>
            </w:r>
            <w:r>
              <w:rPr>
                <w:rFonts w:hint="default" w:ascii="Times New Roman" w:hAnsi="Times New Roman" w:eastAsia="宋体" w:cs="Times New Roman"/>
                <w:color w:val="0000FF"/>
                <w:sz w:val="24"/>
                <w:szCs w:val="24"/>
                <w:highlight w:val="none"/>
              </w:rPr>
              <w:t>燃烧烟气含有大量的 SO</w:t>
            </w:r>
            <w:r>
              <w:rPr>
                <w:rFonts w:hint="default" w:ascii="Times New Roman" w:hAnsi="Times New Roman" w:eastAsia="宋体" w:cs="Times New Roman"/>
                <w:color w:val="0000FF"/>
                <w:sz w:val="24"/>
                <w:szCs w:val="24"/>
                <w:highlight w:val="none"/>
                <w:vertAlign w:val="subscript"/>
              </w:rPr>
              <w:t>2</w:t>
            </w:r>
            <w:r>
              <w:rPr>
                <w:rFonts w:hint="default" w:ascii="Times New Roman" w:hAnsi="Times New Roman" w:eastAsia="宋体" w:cs="Times New Roman"/>
                <w:color w:val="0000FF"/>
                <w:sz w:val="24"/>
                <w:szCs w:val="24"/>
                <w:highlight w:val="none"/>
              </w:rPr>
              <w:t>、NO</w:t>
            </w:r>
            <w:r>
              <w:rPr>
                <w:rFonts w:hint="default" w:ascii="Times New Roman" w:hAnsi="Times New Roman" w:eastAsia="宋体" w:cs="Times New Roman"/>
                <w:color w:val="0000FF"/>
                <w:sz w:val="24"/>
                <w:szCs w:val="24"/>
                <w:highlight w:val="none"/>
                <w:vertAlign w:val="subscript"/>
                <w:lang w:val="en-US" w:eastAsia="zh-CN"/>
              </w:rPr>
              <w:t>X</w:t>
            </w:r>
            <w:r>
              <w:rPr>
                <w:rFonts w:hint="default" w:ascii="Times New Roman" w:hAnsi="Times New Roman" w:eastAsia="宋体" w:cs="Times New Roman"/>
                <w:color w:val="0000FF"/>
                <w:sz w:val="24"/>
                <w:szCs w:val="24"/>
                <w:highlight w:val="none"/>
              </w:rPr>
              <w:t>、烟尘等危害物，事故发生时，其排放的污染物会造成局部大气环境质量的下降，此外，SO</w:t>
            </w:r>
            <w:r>
              <w:rPr>
                <w:rFonts w:hint="default" w:ascii="Times New Roman" w:hAnsi="Times New Roman" w:eastAsia="宋体" w:cs="Times New Roman"/>
                <w:color w:val="0000FF"/>
                <w:sz w:val="24"/>
                <w:szCs w:val="24"/>
                <w:highlight w:val="none"/>
                <w:vertAlign w:val="subscript"/>
              </w:rPr>
              <w:t>2</w:t>
            </w:r>
            <w:r>
              <w:rPr>
                <w:rFonts w:hint="default" w:ascii="Times New Roman" w:hAnsi="Times New Roman" w:eastAsia="宋体" w:cs="Times New Roman"/>
                <w:color w:val="0000FF"/>
                <w:sz w:val="24"/>
                <w:szCs w:val="24"/>
                <w:highlight w:val="none"/>
              </w:rPr>
              <w:t>和 NO</w:t>
            </w:r>
            <w:r>
              <w:rPr>
                <w:rFonts w:hint="default" w:ascii="Times New Roman" w:hAnsi="Times New Roman" w:eastAsia="宋体" w:cs="Times New Roman"/>
                <w:color w:val="0000FF"/>
                <w:sz w:val="24"/>
                <w:szCs w:val="24"/>
                <w:highlight w:val="none"/>
                <w:vertAlign w:val="subscript"/>
                <w:lang w:val="en-US" w:eastAsia="zh-CN"/>
              </w:rPr>
              <w:t>X</w:t>
            </w:r>
            <w:r>
              <w:rPr>
                <w:rFonts w:hint="default" w:ascii="Times New Roman" w:hAnsi="Times New Roman" w:eastAsia="宋体" w:cs="Times New Roman"/>
                <w:color w:val="0000FF"/>
                <w:sz w:val="24"/>
                <w:szCs w:val="24"/>
                <w:highlight w:val="none"/>
              </w:rPr>
              <w:t>都是造成酸雨的主要污染气体。</w:t>
            </w:r>
            <w:r>
              <w:rPr>
                <w:rFonts w:hint="default" w:ascii="Times New Roman" w:hAnsi="Times New Roman" w:eastAsia="宋体" w:cs="Times New Roman"/>
                <w:color w:val="0000FF"/>
                <w:sz w:val="24"/>
                <w:szCs w:val="24"/>
                <w:highlight w:val="none"/>
                <w:lang w:val="en-US" w:eastAsia="zh-CN"/>
              </w:rPr>
              <w:t>在运输装卸过程中，由于粉尘浓度过高可能会引起爆炸。</w:t>
            </w:r>
          </w:p>
          <w:p w14:paraId="4949E4C8">
            <w:pPr>
              <w:pStyle w:val="2"/>
              <w:spacing w:line="480" w:lineRule="exact"/>
              <w:ind w:firstLine="480" w:firstLineChars="200"/>
              <w:jc w:val="left"/>
              <w:rPr>
                <w:rFonts w:hint="default" w:ascii="Times New Roman" w:hAnsi="Times New Roman" w:eastAsia="宋体" w:cs="Times New Roman"/>
                <w:b w:val="0"/>
                <w:bCs/>
                <w:color w:val="0000FF"/>
                <w:highlight w:val="none"/>
              </w:rPr>
            </w:pPr>
            <w:r>
              <w:rPr>
                <w:rFonts w:hint="default" w:ascii="Times New Roman" w:hAnsi="Times New Roman" w:eastAsia="宋体" w:cs="Times New Roman"/>
                <w:b w:val="0"/>
                <w:bCs/>
                <w:color w:val="0000FF"/>
                <w:highlight w:val="none"/>
              </w:rPr>
              <w:t>（2）防范措施</w:t>
            </w:r>
          </w:p>
          <w:p w14:paraId="2031D973">
            <w:pPr>
              <w:spacing w:line="520" w:lineRule="exact"/>
              <w:ind w:firstLine="480" w:firstLineChars="200"/>
              <w:rPr>
                <w:rFonts w:hint="default" w:ascii="Times New Roman" w:hAnsi="Times New Roman" w:eastAsia="宋体" w:cs="Times New Roman"/>
                <w:b w:val="0"/>
                <w:bCs/>
                <w:color w:val="0000FF"/>
                <w:highlight w:val="none"/>
              </w:rPr>
            </w:pPr>
            <w:r>
              <w:rPr>
                <w:rFonts w:hint="default" w:ascii="Times New Roman" w:hAnsi="Times New Roman" w:eastAsia="宋体" w:cs="Times New Roman"/>
                <w:b w:val="0"/>
                <w:bCs/>
                <w:color w:val="0000FF"/>
                <w:highlight w:val="none"/>
                <w:lang w:val="en-US" w:eastAsia="zh-CN"/>
              </w:rPr>
              <w:t>①</w:t>
            </w:r>
            <w:r>
              <w:rPr>
                <w:rFonts w:hint="default" w:ascii="Times New Roman" w:hAnsi="Times New Roman" w:eastAsia="宋体" w:cs="Times New Roman"/>
                <w:b w:val="0"/>
                <w:bCs/>
                <w:color w:val="0000FF"/>
                <w:highlight w:val="none"/>
              </w:rPr>
              <w:t>本项目</w:t>
            </w:r>
            <w:r>
              <w:rPr>
                <w:rFonts w:hint="default" w:ascii="Times New Roman" w:hAnsi="Times New Roman" w:eastAsia="宋体" w:cs="Times New Roman"/>
                <w:b w:val="0"/>
                <w:bCs/>
                <w:color w:val="0000FF"/>
                <w:highlight w:val="none"/>
                <w:lang w:val="en-US" w:eastAsia="zh-CN"/>
              </w:rPr>
              <w:t>定期检查</w:t>
            </w:r>
            <w:r>
              <w:rPr>
                <w:rFonts w:hint="default" w:ascii="Times New Roman" w:hAnsi="Times New Roman" w:eastAsia="宋体" w:cs="Times New Roman"/>
                <w:b w:val="0"/>
                <w:bCs w:val="0"/>
                <w:color w:val="0000FF"/>
                <w:kern w:val="0"/>
                <w:sz w:val="24"/>
                <w:szCs w:val="24"/>
                <w:lang w:val="en-US" w:eastAsia="zh-CN"/>
              </w:rPr>
              <w:t>有机肥料成品</w:t>
            </w:r>
            <w:r>
              <w:rPr>
                <w:rFonts w:hint="default" w:ascii="Times New Roman" w:hAnsi="Times New Roman" w:eastAsia="宋体" w:cs="Times New Roman"/>
                <w:b w:val="0"/>
                <w:bCs/>
                <w:color w:val="0000FF"/>
                <w:highlight w:val="none"/>
                <w:lang w:val="en-US" w:eastAsia="zh-CN"/>
              </w:rPr>
              <w:t>仓库，控制物料含水率，采用人员巡逻制度，2小时为1轮班</w:t>
            </w:r>
            <w:r>
              <w:rPr>
                <w:rFonts w:hint="default" w:ascii="Times New Roman" w:hAnsi="Times New Roman" w:eastAsia="宋体" w:cs="Times New Roman"/>
                <w:b w:val="0"/>
                <w:bCs/>
                <w:color w:val="0000FF"/>
                <w:highlight w:val="none"/>
              </w:rPr>
              <w:t>。</w:t>
            </w:r>
          </w:p>
          <w:p w14:paraId="40791196">
            <w:pPr>
              <w:spacing w:line="480" w:lineRule="exact"/>
              <w:ind w:firstLine="480" w:firstLineChars="200"/>
              <w:rPr>
                <w:rFonts w:hint="default" w:ascii="Times New Roman" w:hAnsi="Times New Roman" w:eastAsia="宋体" w:cs="Times New Roman"/>
                <w:color w:val="0000FF"/>
                <w:sz w:val="24"/>
                <w:szCs w:val="32"/>
              </w:rPr>
            </w:pPr>
            <w:r>
              <w:rPr>
                <w:rFonts w:hint="default" w:ascii="Times New Roman" w:hAnsi="Times New Roman" w:eastAsia="宋体" w:cs="Times New Roman"/>
                <w:color w:val="0000FF"/>
                <w:sz w:val="24"/>
                <w:szCs w:val="32"/>
              </w:rPr>
              <w:t>②消除粉尘源：采用良好的除尘设施来控制厂房内的粉尘是首要的，</w:t>
            </w:r>
            <w:r>
              <w:rPr>
                <w:rFonts w:hint="default" w:ascii="Times New Roman" w:hAnsi="Times New Roman" w:eastAsia="宋体" w:cs="Times New Roman"/>
                <w:color w:val="0000FF"/>
                <w:sz w:val="24"/>
                <w:szCs w:val="32"/>
                <w:lang w:val="en-US" w:eastAsia="zh-CN"/>
              </w:rPr>
              <w:t>本项目采用喷淋除尘</w:t>
            </w:r>
            <w:r>
              <w:rPr>
                <w:rFonts w:hint="default" w:ascii="Times New Roman" w:hAnsi="Times New Roman" w:eastAsia="宋体" w:cs="Times New Roman"/>
                <w:color w:val="0000FF"/>
                <w:sz w:val="24"/>
                <w:szCs w:val="32"/>
              </w:rPr>
              <w:t>。</w:t>
            </w:r>
          </w:p>
          <w:p w14:paraId="04F9ECDB">
            <w:pPr>
              <w:spacing w:line="480" w:lineRule="exact"/>
              <w:ind w:firstLine="480" w:firstLineChars="200"/>
              <w:rPr>
                <w:rFonts w:hint="default" w:ascii="Times New Roman" w:hAnsi="Times New Roman" w:eastAsia="宋体" w:cs="Times New Roman"/>
                <w:color w:val="0000FF"/>
                <w:sz w:val="24"/>
                <w:szCs w:val="32"/>
              </w:rPr>
            </w:pPr>
            <w:r>
              <w:rPr>
                <w:rFonts w:hint="default" w:ascii="Times New Roman" w:hAnsi="Times New Roman" w:eastAsia="宋体" w:cs="Times New Roman"/>
                <w:color w:val="0000FF"/>
                <w:sz w:val="24"/>
                <w:szCs w:val="32"/>
              </w:rPr>
              <w:t>③严格控制点火源：消除点火源是预防粉尘爆炸的最实用、最有效的措施。在常见点火源中，电火花、静电、摩擦火花、明火、高温物体表面、焊接切割火花等是引起粉尘爆炸的主要原因。因此，应对此高度重视。此类场所的电气设备应严格按照《爆炸和火灾危险环境电力装置设计规范》进行设计、安装，达到整体防爆要求，尽量不安装或少安装不易产生静电，撞击不产生火花的材料制作，并采取静电接地保护措施。需要指出的是，粉尘清理不及时，长期运转积热引起的火灾事故屡有发生，这也应引起人们的重视。</w:t>
            </w:r>
          </w:p>
          <w:p w14:paraId="058B5C89">
            <w:pPr>
              <w:spacing w:line="480" w:lineRule="exact"/>
              <w:ind w:firstLine="480" w:firstLineChars="200"/>
              <w:rPr>
                <w:rFonts w:hint="default" w:ascii="Times New Roman" w:hAnsi="Times New Roman" w:eastAsia="宋体" w:cs="Times New Roman"/>
                <w:color w:val="0000FF"/>
                <w:sz w:val="24"/>
                <w:szCs w:val="32"/>
              </w:rPr>
            </w:pPr>
            <w:r>
              <w:rPr>
                <w:rFonts w:hint="default" w:ascii="Times New Roman" w:hAnsi="Times New Roman" w:eastAsia="宋体" w:cs="Times New Roman"/>
                <w:color w:val="0000FF"/>
                <w:sz w:val="24"/>
                <w:szCs w:val="32"/>
              </w:rPr>
              <w:t>④设置防爆监控系统：配备自动监测、自动报警系统以及消防设施，房子火灾或者爆炸的发生。</w:t>
            </w:r>
          </w:p>
          <w:p w14:paraId="61224455">
            <w:pPr>
              <w:pStyle w:val="2"/>
              <w:spacing w:line="480" w:lineRule="exact"/>
              <w:ind w:firstLine="480" w:firstLineChars="200"/>
              <w:jc w:val="left"/>
              <w:rPr>
                <w:rFonts w:hint="eastAsia" w:ascii="Times New Roman" w:cs="Times New Roman"/>
                <w:b w:val="0"/>
                <w:bCs/>
                <w:color w:val="0000FF"/>
                <w:lang w:val="en-US" w:eastAsia="zh-CN"/>
              </w:rPr>
            </w:pPr>
            <w:r>
              <w:rPr>
                <w:rFonts w:hint="eastAsia" w:ascii="Times New Roman" w:cs="Times New Roman"/>
                <w:b w:val="0"/>
                <w:bCs/>
                <w:color w:val="0000FF"/>
                <w:lang w:val="en-US" w:eastAsia="zh-CN"/>
              </w:rPr>
              <w:t>④定期检查危险废物贮存库，防止出现贮存区域发生地面开裂等情况出现。</w:t>
            </w:r>
          </w:p>
          <w:p w14:paraId="11732A01">
            <w:pPr>
              <w:pStyle w:val="2"/>
              <w:spacing w:line="480" w:lineRule="exact"/>
              <w:ind w:firstLine="480" w:firstLineChars="200"/>
              <w:jc w:val="left"/>
              <w:rPr>
                <w:rFonts w:hint="default" w:ascii="Times New Roman" w:hAnsi="Times New Roman" w:eastAsia="宋体" w:cs="Times New Roman"/>
                <w:b w:val="0"/>
                <w:bCs/>
                <w:color w:val="0000FF"/>
              </w:rPr>
            </w:pPr>
            <w:r>
              <w:rPr>
                <w:rFonts w:hint="default" w:ascii="Times New Roman" w:hAnsi="Times New Roman" w:eastAsia="宋体" w:cs="Times New Roman"/>
                <w:b w:val="0"/>
                <w:bCs/>
                <w:color w:val="0000FF"/>
              </w:rPr>
              <w:t>（3）应急处置措施</w:t>
            </w:r>
          </w:p>
          <w:p w14:paraId="1EF0C543">
            <w:pPr>
              <w:pStyle w:val="2"/>
              <w:spacing w:line="480" w:lineRule="exact"/>
              <w:ind w:firstLine="480" w:firstLineChars="200"/>
              <w:jc w:val="left"/>
              <w:rPr>
                <w:rFonts w:hint="default" w:ascii="Times New Roman" w:hAnsi="Times New Roman" w:eastAsia="宋体" w:cs="Times New Roman"/>
                <w:b w:val="0"/>
                <w:bCs/>
                <w:color w:val="0000FF"/>
                <w:lang w:val="en-US" w:eastAsia="zh-CN"/>
              </w:rPr>
            </w:pPr>
            <w:r>
              <w:rPr>
                <w:rFonts w:hint="default" w:ascii="Times New Roman" w:hAnsi="Times New Roman" w:eastAsia="宋体" w:cs="Times New Roman"/>
                <w:b w:val="0"/>
                <w:bCs/>
                <w:color w:val="0000FF"/>
              </w:rPr>
              <w:t>在发生火灾或者爆炸事故时，应第一时间封闭区域，减少污染物的扩散。如火势较小可自行使用灭火器等消防设施进行灭火。如火势较大，则拨打电话向消防部门求助。火灾处理后，消防废水收集至废水收集池处</w:t>
            </w:r>
            <w:r>
              <w:rPr>
                <w:rFonts w:hint="default" w:ascii="Times New Roman" w:hAnsi="Times New Roman" w:eastAsia="宋体" w:cs="Times New Roman"/>
                <w:b w:val="0"/>
                <w:bCs/>
                <w:color w:val="0000FF"/>
                <w:lang w:eastAsia="zh-CN"/>
              </w:rPr>
              <w:t>，</w:t>
            </w:r>
            <w:r>
              <w:rPr>
                <w:rFonts w:hint="default" w:ascii="Times New Roman" w:hAnsi="Times New Roman" w:eastAsia="宋体" w:cs="Times New Roman"/>
                <w:b w:val="0"/>
                <w:bCs/>
                <w:color w:val="0000FF"/>
                <w:lang w:val="en-US" w:eastAsia="zh-CN"/>
              </w:rPr>
              <w:t>集中作为危险废物交由资质单位处置。</w:t>
            </w:r>
          </w:p>
          <w:p w14:paraId="2161CB45">
            <w:pPr>
              <w:pStyle w:val="2"/>
              <w:spacing w:line="480" w:lineRule="exact"/>
              <w:ind w:firstLine="482" w:firstLineChars="200"/>
              <w:jc w:val="left"/>
              <w:rPr>
                <w:rFonts w:hint="default" w:ascii="Times New Roman" w:hAnsi="Times New Roman" w:eastAsia="宋体" w:cs="Times New Roman"/>
                <w:b/>
                <w:bCs w:val="0"/>
                <w:color w:val="0000FF"/>
              </w:rPr>
            </w:pPr>
            <w:r>
              <w:rPr>
                <w:rFonts w:hint="eastAsia" w:ascii="Times New Roman" w:cs="Times New Roman"/>
                <w:b/>
                <w:bCs w:val="0"/>
                <w:color w:val="0000FF"/>
                <w:lang w:val="en-US" w:eastAsia="zh-CN"/>
              </w:rPr>
              <w:t>7</w:t>
            </w:r>
            <w:r>
              <w:rPr>
                <w:rFonts w:hint="default" w:ascii="Times New Roman" w:hAnsi="Times New Roman" w:eastAsia="宋体" w:cs="Times New Roman"/>
                <w:b/>
                <w:bCs w:val="0"/>
                <w:color w:val="0000FF"/>
              </w:rPr>
              <w:t>.</w:t>
            </w:r>
            <w:r>
              <w:rPr>
                <w:rFonts w:hint="default" w:ascii="Times New Roman" w:hAnsi="Times New Roman" w:eastAsia="宋体" w:cs="Times New Roman"/>
                <w:b/>
                <w:bCs w:val="0"/>
                <w:color w:val="0000FF"/>
                <w:lang w:val="en-US" w:eastAsia="zh-CN"/>
              </w:rPr>
              <w:t>3</w:t>
            </w:r>
            <w:r>
              <w:rPr>
                <w:rFonts w:hint="default" w:ascii="Times New Roman" w:hAnsi="Times New Roman" w:eastAsia="宋体" w:cs="Times New Roman"/>
                <w:b/>
                <w:bCs w:val="0"/>
                <w:color w:val="0000FF"/>
              </w:rPr>
              <w:t>应急监测</w:t>
            </w:r>
          </w:p>
          <w:p w14:paraId="2CCEA733">
            <w:pPr>
              <w:spacing w:line="480" w:lineRule="exact"/>
              <w:ind w:firstLine="480" w:firstLineChars="200"/>
              <w:jc w:val="left"/>
              <w:rPr>
                <w:rFonts w:hint="default" w:ascii="Times New Roman" w:hAnsi="Times New Roman" w:eastAsia="宋体" w:cs="Times New Roman"/>
                <w:color w:val="0000FF"/>
                <w:sz w:val="24"/>
              </w:rPr>
            </w:pPr>
            <w:r>
              <w:rPr>
                <w:rFonts w:hint="default" w:ascii="Times New Roman" w:hAnsi="Times New Roman" w:eastAsia="宋体" w:cs="Times New Roman"/>
                <w:b w:val="0"/>
                <w:bCs/>
                <w:color w:val="0000FF"/>
                <w:sz w:val="24"/>
              </w:rPr>
              <w:t>发生环境污染事件后，受影响区域应进行连续环境监测工作，在监测单位未到达事故现场之前，监测组要先对污染物的成分，污染区域范围做初步的了解，并对监测布点的可能性做出初步的判断，</w:t>
            </w:r>
            <w:r>
              <w:rPr>
                <w:rFonts w:hint="default" w:ascii="Times New Roman" w:hAnsi="Times New Roman" w:eastAsia="宋体" w:cs="Times New Roman"/>
                <w:color w:val="0000FF"/>
                <w:sz w:val="24"/>
              </w:rPr>
              <w:t>单位要协助现场监测人员及时对事故影响边界进行大气、水体、土壤的监测，确定危险物质的浓度、成分及流量，处置过程中要及时提供上述监测数据。</w:t>
            </w:r>
          </w:p>
          <w:p w14:paraId="4583534F">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0000FF"/>
                <w:kern w:val="2"/>
                <w:sz w:val="24"/>
                <w:szCs w:val="20"/>
                <w:highlight w:val="none"/>
                <w:lang w:val="en-US" w:eastAsia="zh-CN"/>
              </w:rPr>
            </w:pPr>
            <w:r>
              <w:rPr>
                <w:rFonts w:hint="default" w:ascii="Times New Roman" w:hAnsi="Times New Roman" w:eastAsia="宋体" w:cs="Times New Roman"/>
                <w:color w:val="0000FF"/>
                <w:kern w:val="2"/>
                <w:sz w:val="24"/>
                <w:szCs w:val="20"/>
                <w:highlight w:val="none"/>
                <w:lang w:val="en-US" w:eastAsia="zh-CN"/>
              </w:rPr>
              <w:t>①监测项目</w:t>
            </w:r>
          </w:p>
          <w:p w14:paraId="617566E9">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0000FF"/>
                <w:kern w:val="2"/>
                <w:sz w:val="24"/>
                <w:szCs w:val="20"/>
                <w:highlight w:val="none"/>
                <w:lang w:val="en-US" w:eastAsia="zh-CN"/>
              </w:rPr>
            </w:pPr>
            <w:r>
              <w:rPr>
                <w:rFonts w:hint="default" w:ascii="Times New Roman" w:hAnsi="Times New Roman" w:eastAsia="宋体" w:cs="Times New Roman"/>
                <w:color w:val="0000FF"/>
                <w:kern w:val="2"/>
                <w:sz w:val="24"/>
                <w:szCs w:val="20"/>
                <w:highlight w:val="none"/>
                <w:lang w:val="en-US" w:eastAsia="zh-CN"/>
              </w:rPr>
              <w:t>环境空气：TSP、氨、硫化氢、臭气浓度、甲烷；</w:t>
            </w:r>
          </w:p>
          <w:p w14:paraId="2FB298BF">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0000FF"/>
                <w:kern w:val="2"/>
                <w:sz w:val="24"/>
                <w:szCs w:val="20"/>
                <w:highlight w:val="none"/>
                <w:lang w:val="en-US" w:eastAsia="zh-CN"/>
              </w:rPr>
            </w:pPr>
            <w:r>
              <w:rPr>
                <w:rFonts w:hint="default" w:ascii="Times New Roman" w:hAnsi="Times New Roman" w:eastAsia="宋体" w:cs="Times New Roman"/>
                <w:color w:val="0000FF"/>
                <w:kern w:val="2"/>
                <w:sz w:val="24"/>
                <w:szCs w:val="20"/>
                <w:highlight w:val="none"/>
                <w:lang w:val="en-US" w:eastAsia="zh-CN"/>
              </w:rPr>
              <w:t>地下水：pH、COD、BOD、SS、氨氮、动植物油</w:t>
            </w:r>
            <w:r>
              <w:rPr>
                <w:rFonts w:hint="eastAsia" w:cs="Times New Roman"/>
                <w:color w:val="0000FF"/>
                <w:kern w:val="2"/>
                <w:sz w:val="24"/>
                <w:szCs w:val="20"/>
                <w:highlight w:val="none"/>
                <w:lang w:val="en-US" w:eastAsia="zh-CN"/>
              </w:rPr>
              <w:t>、石油烃</w:t>
            </w:r>
            <w:r>
              <w:rPr>
                <w:rFonts w:hint="default" w:ascii="Times New Roman" w:hAnsi="Times New Roman" w:eastAsia="宋体" w:cs="Times New Roman"/>
                <w:color w:val="0000FF"/>
                <w:kern w:val="2"/>
                <w:sz w:val="24"/>
                <w:szCs w:val="20"/>
                <w:highlight w:val="none"/>
                <w:lang w:val="en-US" w:eastAsia="zh-CN"/>
              </w:rPr>
              <w:t>；</w:t>
            </w:r>
          </w:p>
          <w:p w14:paraId="4DCAC500">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0000FF"/>
                <w:kern w:val="2"/>
                <w:sz w:val="24"/>
                <w:szCs w:val="20"/>
                <w:highlight w:val="none"/>
                <w:lang w:val="en-US" w:eastAsia="zh-CN"/>
              </w:rPr>
            </w:pPr>
            <w:r>
              <w:rPr>
                <w:rFonts w:hint="default" w:ascii="Times New Roman" w:hAnsi="Times New Roman" w:eastAsia="宋体" w:cs="Times New Roman"/>
                <w:color w:val="0000FF"/>
                <w:kern w:val="2"/>
                <w:sz w:val="24"/>
                <w:szCs w:val="20"/>
                <w:highlight w:val="none"/>
                <w:lang w:val="en-US" w:eastAsia="zh-CN"/>
              </w:rPr>
              <w:t>②监测区域</w:t>
            </w:r>
          </w:p>
          <w:p w14:paraId="012124E0">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0000FF"/>
                <w:kern w:val="2"/>
                <w:sz w:val="24"/>
                <w:szCs w:val="20"/>
                <w:highlight w:val="none"/>
                <w:lang w:val="en-US" w:eastAsia="zh-CN"/>
              </w:rPr>
            </w:pPr>
            <w:r>
              <w:rPr>
                <w:rFonts w:hint="default" w:ascii="Times New Roman" w:hAnsi="Times New Roman" w:eastAsia="宋体" w:cs="Times New Roman"/>
                <w:color w:val="0000FF"/>
                <w:kern w:val="2"/>
                <w:sz w:val="24"/>
                <w:szCs w:val="20"/>
                <w:highlight w:val="none"/>
                <w:lang w:val="en-US" w:eastAsia="zh-CN"/>
              </w:rPr>
              <w:t>大气环境：本项目周边区域</w:t>
            </w:r>
            <w:r>
              <w:rPr>
                <w:rFonts w:hint="eastAsia" w:cs="Times New Roman"/>
                <w:color w:val="0000FF"/>
                <w:kern w:val="2"/>
                <w:sz w:val="24"/>
                <w:szCs w:val="20"/>
                <w:highlight w:val="none"/>
                <w:lang w:val="en-US" w:eastAsia="zh-CN"/>
              </w:rPr>
              <w:t>（</w:t>
            </w:r>
            <w:r>
              <w:rPr>
                <w:rFonts w:hint="default" w:ascii="Times New Roman" w:hAnsi="Times New Roman" w:eastAsia="宋体" w:cs="Times New Roman"/>
                <w:color w:val="0000FF"/>
                <w:kern w:val="2"/>
                <w:sz w:val="24"/>
                <w:szCs w:val="20"/>
                <w:highlight w:val="none"/>
                <w:lang w:val="en-US" w:eastAsia="zh-CN"/>
              </w:rPr>
              <w:t>根据事故排放量定监测范围</w:t>
            </w:r>
            <w:r>
              <w:rPr>
                <w:rFonts w:hint="eastAsia" w:cs="Times New Roman"/>
                <w:color w:val="0000FF"/>
                <w:kern w:val="2"/>
                <w:sz w:val="24"/>
                <w:szCs w:val="20"/>
                <w:highlight w:val="none"/>
                <w:lang w:val="en-US" w:eastAsia="zh-CN"/>
              </w:rPr>
              <w:t>）</w:t>
            </w:r>
            <w:r>
              <w:rPr>
                <w:rFonts w:hint="default" w:ascii="Times New Roman" w:hAnsi="Times New Roman" w:eastAsia="宋体" w:cs="Times New Roman"/>
                <w:color w:val="0000FF"/>
                <w:kern w:val="2"/>
                <w:sz w:val="24"/>
                <w:szCs w:val="20"/>
                <w:highlight w:val="none"/>
                <w:lang w:val="en-US" w:eastAsia="zh-CN"/>
              </w:rPr>
              <w:t>；</w:t>
            </w:r>
          </w:p>
          <w:p w14:paraId="311515E5">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0" w:firstLineChars="200"/>
              <w:jc w:val="both"/>
              <w:textAlignment w:val="auto"/>
              <w:rPr>
                <w:rFonts w:hint="default" w:ascii="Times New Roman" w:hAnsi="Times New Roman" w:eastAsia="宋体" w:cs="Times New Roman"/>
                <w:color w:val="0000FF"/>
                <w:kern w:val="2"/>
                <w:sz w:val="24"/>
                <w:szCs w:val="20"/>
                <w:highlight w:val="none"/>
                <w:lang w:val="en-US" w:eastAsia="zh-CN"/>
              </w:rPr>
            </w:pPr>
            <w:r>
              <w:rPr>
                <w:rFonts w:hint="default" w:ascii="Times New Roman" w:hAnsi="Times New Roman" w:eastAsia="宋体" w:cs="Times New Roman"/>
                <w:color w:val="0000FF"/>
                <w:kern w:val="2"/>
                <w:sz w:val="24"/>
                <w:szCs w:val="20"/>
                <w:highlight w:val="none"/>
                <w:lang w:val="en-US" w:eastAsia="zh-CN"/>
              </w:rPr>
              <w:t>水环境：本项目周边地下水环境</w:t>
            </w:r>
          </w:p>
          <w:p w14:paraId="7F6722A3">
            <w:pPr>
              <w:pStyle w:val="2"/>
              <w:spacing w:line="480" w:lineRule="exact"/>
              <w:ind w:firstLine="482" w:firstLineChars="200"/>
              <w:jc w:val="left"/>
              <w:rPr>
                <w:rFonts w:hint="default" w:ascii="Times New Roman" w:hAnsi="Times New Roman" w:eastAsia="宋体" w:cs="Times New Roman"/>
                <w:b/>
                <w:bCs w:val="0"/>
                <w:color w:val="0000FF"/>
                <w:lang w:eastAsia="zh-CN"/>
              </w:rPr>
            </w:pPr>
            <w:r>
              <w:rPr>
                <w:rFonts w:hint="eastAsia" w:ascii="Times New Roman" w:cs="Times New Roman"/>
                <w:b/>
                <w:bCs w:val="0"/>
                <w:color w:val="0000FF"/>
                <w:lang w:val="en-US" w:eastAsia="zh-CN"/>
              </w:rPr>
              <w:t>7</w:t>
            </w:r>
            <w:r>
              <w:rPr>
                <w:rFonts w:hint="default" w:ascii="Times New Roman" w:hAnsi="Times New Roman" w:eastAsia="宋体" w:cs="Times New Roman"/>
                <w:b/>
                <w:bCs w:val="0"/>
                <w:color w:val="0000FF"/>
              </w:rPr>
              <w:t>.</w:t>
            </w:r>
            <w:r>
              <w:rPr>
                <w:rFonts w:hint="default" w:ascii="Times New Roman" w:hAnsi="Times New Roman" w:eastAsia="宋体" w:cs="Times New Roman"/>
                <w:b/>
                <w:bCs w:val="0"/>
                <w:color w:val="0000FF"/>
                <w:lang w:val="en-US" w:eastAsia="zh-CN"/>
              </w:rPr>
              <w:t>4应急预案</w:t>
            </w:r>
          </w:p>
          <w:p w14:paraId="63D3888F">
            <w:pPr>
              <w:spacing w:line="360" w:lineRule="auto"/>
              <w:ind w:firstLine="480" w:firstLineChars="200"/>
              <w:rPr>
                <w:rFonts w:hint="default" w:ascii="Times New Roman" w:hAnsi="Times New Roman" w:eastAsia="宋体" w:cs="Times New Roman"/>
                <w:color w:val="0000FF"/>
                <w:kern w:val="2"/>
                <w:sz w:val="24"/>
                <w:szCs w:val="24"/>
                <w:lang w:bidi="ar"/>
              </w:rPr>
            </w:pPr>
            <w:r>
              <w:rPr>
                <w:rFonts w:hint="default" w:ascii="Times New Roman" w:hAnsi="Times New Roman" w:eastAsia="宋体" w:cs="Times New Roman"/>
                <w:color w:val="0000FF"/>
                <w:kern w:val="2"/>
                <w:sz w:val="24"/>
                <w:szCs w:val="24"/>
                <w:lang w:bidi="ar"/>
              </w:rPr>
              <w:t>为了有效预防、及时控制、积极应对可能发生的安全生产事故，高效、有序地组织安全生产事故抢救工作，最大限度地减少人员伤亡和财产损失，维护正常地社会秩序和工作秩序，促进工程安全有序地进行，建设单位应根据本次建设内容对现有的环境风险应急救援预案进行</w:t>
            </w:r>
            <w:r>
              <w:rPr>
                <w:rFonts w:hint="eastAsia" w:cs="Times New Roman"/>
                <w:color w:val="0000FF"/>
                <w:kern w:val="2"/>
                <w:sz w:val="24"/>
                <w:szCs w:val="24"/>
                <w:lang w:val="en-US" w:eastAsia="zh-CN" w:bidi="ar"/>
              </w:rPr>
              <w:t>编制</w:t>
            </w:r>
            <w:r>
              <w:rPr>
                <w:rFonts w:hint="default" w:ascii="Times New Roman" w:hAnsi="Times New Roman" w:eastAsia="宋体" w:cs="Times New Roman"/>
                <w:color w:val="0000FF"/>
                <w:kern w:val="2"/>
                <w:sz w:val="24"/>
                <w:szCs w:val="24"/>
                <w:lang w:bidi="ar"/>
              </w:rPr>
              <w:t>并定期进行演练</w:t>
            </w:r>
            <w:r>
              <w:rPr>
                <w:rFonts w:hint="eastAsia" w:cs="Times New Roman"/>
                <w:color w:val="0000FF"/>
                <w:kern w:val="2"/>
                <w:sz w:val="24"/>
                <w:szCs w:val="24"/>
                <w:lang w:eastAsia="zh-CN" w:bidi="ar"/>
              </w:rPr>
              <w:t>。</w:t>
            </w:r>
          </w:p>
          <w:p w14:paraId="36C5E59B">
            <w:pPr>
              <w:pageBreakBefore w:val="0"/>
              <w:widowControl w:val="0"/>
              <w:kinsoku/>
              <w:wordWrap/>
              <w:overflowPunct/>
              <w:topLinePunct w:val="0"/>
              <w:autoSpaceDE/>
              <w:autoSpaceDN/>
              <w:bidi w:val="0"/>
              <w:adjustRightInd/>
              <w:snapToGrid/>
              <w:spacing w:before="0" w:after="0" w:line="480" w:lineRule="exact"/>
              <w:ind w:right="0"/>
              <w:jc w:val="both"/>
              <w:textAlignment w:val="auto"/>
              <w:rPr>
                <w:rFonts w:hint="default" w:ascii="Times New Roman" w:hAnsi="Times New Roman" w:eastAsia="宋体" w:cs="Times New Roman"/>
                <w:b/>
                <w:color w:val="auto"/>
                <w:kern w:val="2"/>
                <w:sz w:val="28"/>
                <w:szCs w:val="28"/>
                <w:highlight w:val="none"/>
                <w:lang w:val="en-US" w:eastAsia="zh-CN" w:bidi="ar-SA"/>
              </w:rPr>
            </w:pPr>
            <w:r>
              <w:rPr>
                <w:rFonts w:hint="eastAsia" w:cs="Times New Roman"/>
                <w:b/>
                <w:color w:val="auto"/>
                <w:kern w:val="2"/>
                <w:sz w:val="28"/>
                <w:szCs w:val="28"/>
                <w:highlight w:val="none"/>
                <w:lang w:val="en-US" w:eastAsia="zh-CN" w:bidi="ar-SA"/>
              </w:rPr>
              <w:t>8、</w:t>
            </w:r>
            <w:r>
              <w:rPr>
                <w:rFonts w:hint="default" w:ascii="Times New Roman" w:hAnsi="Times New Roman" w:eastAsia="宋体" w:cs="Times New Roman"/>
                <w:b/>
                <w:color w:val="auto"/>
                <w:kern w:val="2"/>
                <w:sz w:val="28"/>
                <w:szCs w:val="28"/>
                <w:highlight w:val="none"/>
                <w:lang w:val="en-US" w:eastAsia="zh-CN" w:bidi="ar-SA"/>
              </w:rPr>
              <w:t>“三同时”验收</w:t>
            </w:r>
          </w:p>
          <w:p w14:paraId="4CEFF39E">
            <w:pPr>
              <w:keepNext w:val="0"/>
              <w:keepLines w:val="0"/>
              <w:pageBreakBefore w:val="0"/>
              <w:widowControl/>
              <w:kinsoku/>
              <w:wordWrap/>
              <w:overflowPunct/>
              <w:topLinePunct w:val="0"/>
              <w:autoSpaceDE/>
              <w:autoSpaceDN/>
              <w:bidi w:val="0"/>
              <w:adjustRightInd/>
              <w:snapToGrid/>
              <w:spacing w:line="500" w:lineRule="exact"/>
              <w:ind w:firstLine="480" w:firstLineChars="200"/>
              <w:jc w:val="both"/>
              <w:textAlignment w:val="auto"/>
              <w:rPr>
                <w:rFonts w:hint="default" w:ascii="Times New Roman" w:hAnsi="Times New Roman" w:eastAsia="宋体" w:cs="Times New Roman"/>
                <w:b w:val="0"/>
                <w:bCs w:val="0"/>
                <w:color w:val="auto"/>
                <w:kern w:val="0"/>
                <w:sz w:val="24"/>
                <w:szCs w:val="24"/>
                <w:highlight w:val="none"/>
                <w:lang w:val="en-US" w:eastAsia="zh-CN" w:bidi="ar-SA"/>
              </w:rPr>
            </w:pPr>
            <w:r>
              <w:rPr>
                <w:rFonts w:hint="default" w:ascii="Times New Roman" w:hAnsi="Times New Roman" w:eastAsia="宋体" w:cs="Times New Roman"/>
                <w:b w:val="0"/>
                <w:bCs w:val="0"/>
                <w:color w:val="auto"/>
                <w:kern w:val="0"/>
                <w:sz w:val="24"/>
                <w:szCs w:val="24"/>
                <w:highlight w:val="none"/>
                <w:lang w:val="en-US" w:eastAsia="zh-CN" w:bidi="ar-SA"/>
              </w:rPr>
              <w:t>本项目环境保护设施“三同时”验收一览表见表4.12-1。</w:t>
            </w:r>
          </w:p>
          <w:p w14:paraId="0EBEAAE7">
            <w:pPr>
              <w:spacing w:line="240" w:lineRule="auto"/>
              <w:jc w:val="center"/>
              <w:rPr>
                <w:rFonts w:hint="default" w:ascii="Times New Roman" w:hAnsi="Times New Roman" w:eastAsia="宋体" w:cs="Times New Roman"/>
                <w:b/>
                <w:bCs/>
                <w:color w:val="auto"/>
                <w:kern w:val="2"/>
                <w:sz w:val="21"/>
                <w:szCs w:val="21"/>
                <w:highlight w:val="none"/>
                <w:lang w:val="en-US" w:eastAsia="zh-CN"/>
              </w:rPr>
            </w:pPr>
            <w:r>
              <w:rPr>
                <w:rFonts w:hint="default" w:ascii="Times New Roman" w:hAnsi="Times New Roman" w:eastAsia="宋体" w:cs="Times New Roman"/>
                <w:b/>
                <w:bCs/>
                <w:color w:val="auto"/>
                <w:kern w:val="2"/>
                <w:sz w:val="21"/>
                <w:szCs w:val="21"/>
                <w:highlight w:val="none"/>
                <w:lang w:val="en-US" w:eastAsia="zh-CN"/>
              </w:rPr>
              <w:t>表4.12-1环保设施“三同时”验收一览表</w:t>
            </w:r>
          </w:p>
          <w:tbl>
            <w:tblPr>
              <w:tblStyle w:val="22"/>
              <w:tblW w:w="85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90"/>
              <w:gridCol w:w="711"/>
              <w:gridCol w:w="525"/>
              <w:gridCol w:w="884"/>
              <w:gridCol w:w="1594"/>
              <w:gridCol w:w="840"/>
              <w:gridCol w:w="2175"/>
              <w:gridCol w:w="1285"/>
            </w:tblGrid>
            <w:tr w14:paraId="069946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490" w:type="dxa"/>
                  <w:noWrap w:val="0"/>
                  <w:vAlign w:val="center"/>
                </w:tcPr>
                <w:p w14:paraId="7B7EC77F">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类别</w:t>
                  </w:r>
                </w:p>
              </w:tc>
              <w:tc>
                <w:tcPr>
                  <w:tcW w:w="711" w:type="dxa"/>
                  <w:noWrap w:val="0"/>
                  <w:vAlign w:val="center"/>
                </w:tcPr>
                <w:p w14:paraId="67C8E0DC">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监测点位</w:t>
                  </w:r>
                </w:p>
              </w:tc>
              <w:tc>
                <w:tcPr>
                  <w:tcW w:w="525" w:type="dxa"/>
                  <w:noWrap w:val="0"/>
                  <w:vAlign w:val="center"/>
                </w:tcPr>
                <w:p w14:paraId="4D3F51F3">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治理项目</w:t>
                  </w:r>
                </w:p>
              </w:tc>
              <w:tc>
                <w:tcPr>
                  <w:tcW w:w="884" w:type="dxa"/>
                  <w:noWrap w:val="0"/>
                  <w:vAlign w:val="center"/>
                </w:tcPr>
                <w:p w14:paraId="0809AD7C">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污染因子</w:t>
                  </w:r>
                </w:p>
              </w:tc>
              <w:tc>
                <w:tcPr>
                  <w:tcW w:w="1594" w:type="dxa"/>
                  <w:noWrap w:val="0"/>
                  <w:vAlign w:val="center"/>
                </w:tcPr>
                <w:p w14:paraId="6697A3B9">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主要环保措施</w:t>
                  </w:r>
                </w:p>
              </w:tc>
              <w:tc>
                <w:tcPr>
                  <w:tcW w:w="840" w:type="dxa"/>
                  <w:noWrap w:val="0"/>
                  <w:vAlign w:val="center"/>
                </w:tcPr>
                <w:p w14:paraId="32C97557">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数量</w:t>
                  </w:r>
                </w:p>
              </w:tc>
              <w:tc>
                <w:tcPr>
                  <w:tcW w:w="2175" w:type="dxa"/>
                  <w:noWrap w:val="0"/>
                  <w:vAlign w:val="center"/>
                </w:tcPr>
                <w:p w14:paraId="1C8F6324">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验收标准</w:t>
                  </w:r>
                </w:p>
              </w:tc>
              <w:tc>
                <w:tcPr>
                  <w:tcW w:w="1285" w:type="dxa"/>
                  <w:noWrap w:val="0"/>
                  <w:vAlign w:val="center"/>
                </w:tcPr>
                <w:p w14:paraId="202502ED">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标准限值</w:t>
                  </w:r>
                </w:p>
              </w:tc>
            </w:tr>
            <w:tr w14:paraId="056219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490" w:type="dxa"/>
                  <w:vMerge w:val="restart"/>
                  <w:noWrap w:val="0"/>
                  <w:vAlign w:val="center"/>
                </w:tcPr>
                <w:p w14:paraId="573A425A">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废气</w:t>
                  </w:r>
                </w:p>
                <w:p w14:paraId="1D065093">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处理</w:t>
                  </w:r>
                </w:p>
              </w:tc>
              <w:tc>
                <w:tcPr>
                  <w:tcW w:w="711" w:type="dxa"/>
                  <w:vMerge w:val="restart"/>
                  <w:noWrap w:val="0"/>
                  <w:vAlign w:val="center"/>
                </w:tcPr>
                <w:p w14:paraId="2EC45F00">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DA001</w:t>
                  </w:r>
                </w:p>
              </w:tc>
              <w:tc>
                <w:tcPr>
                  <w:tcW w:w="525" w:type="dxa"/>
                  <w:vMerge w:val="restart"/>
                  <w:noWrap w:val="0"/>
                  <w:vAlign w:val="center"/>
                </w:tcPr>
                <w:p w14:paraId="2A00314E">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有组织</w:t>
                  </w:r>
                </w:p>
              </w:tc>
              <w:tc>
                <w:tcPr>
                  <w:tcW w:w="884" w:type="dxa"/>
                  <w:noWrap w:val="0"/>
                  <w:vAlign w:val="center"/>
                </w:tcPr>
                <w:p w14:paraId="1CE487C9">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氨</w:t>
                  </w:r>
                </w:p>
              </w:tc>
              <w:tc>
                <w:tcPr>
                  <w:tcW w:w="1594" w:type="dxa"/>
                  <w:vMerge w:val="restart"/>
                  <w:noWrap w:val="0"/>
                  <w:vAlign w:val="center"/>
                </w:tcPr>
                <w:p w14:paraId="08A394C2">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集气罩+生物除臭塔（滴滤法）+15m排气筒</w:t>
                  </w:r>
                </w:p>
              </w:tc>
              <w:tc>
                <w:tcPr>
                  <w:tcW w:w="840" w:type="dxa"/>
                  <w:vMerge w:val="restart"/>
                  <w:noWrap w:val="0"/>
                  <w:vAlign w:val="center"/>
                </w:tcPr>
                <w:p w14:paraId="53B3343A">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1套</w:t>
                  </w:r>
                </w:p>
              </w:tc>
              <w:tc>
                <w:tcPr>
                  <w:tcW w:w="2175" w:type="dxa"/>
                  <w:vMerge w:val="restart"/>
                  <w:noWrap w:val="0"/>
                  <w:vAlign w:val="center"/>
                </w:tcPr>
                <w:p w14:paraId="7ED76E2D">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2"/>
                      <w:sz w:val="21"/>
                      <w:szCs w:val="21"/>
                      <w:lang w:val="en-US" w:eastAsia="zh-CN" w:bidi="ar-SA"/>
                    </w:rPr>
                    <w:t>《恶臭污染物排放标准》（GB14554-93）表2 恶臭污染物排放标准值</w:t>
                  </w:r>
                </w:p>
              </w:tc>
              <w:tc>
                <w:tcPr>
                  <w:tcW w:w="1285" w:type="dxa"/>
                  <w:noWrap w:val="0"/>
                  <w:vAlign w:val="center"/>
                </w:tcPr>
                <w:p w14:paraId="35928068">
                  <w:pPr>
                    <w:spacing w:line="240" w:lineRule="auto"/>
                    <w:jc w:val="center"/>
                    <w:rPr>
                      <w:rFonts w:hint="default" w:ascii="Times New Roman" w:hAnsi="Times New Roman" w:eastAsia="宋体" w:cs="Times New Roman"/>
                      <w:snapToGrid w:val="0"/>
                      <w:color w:val="auto"/>
                      <w:kern w:val="2"/>
                      <w:sz w:val="21"/>
                      <w:szCs w:val="21"/>
                      <w:highlight w:val="none"/>
                      <w:lang w:val="en-US" w:eastAsia="zh-CN"/>
                    </w:rPr>
                  </w:pPr>
                  <w:r>
                    <w:rPr>
                      <w:rFonts w:hint="default" w:ascii="Times New Roman" w:hAnsi="Times New Roman" w:eastAsia="宋体" w:cs="Times New Roman"/>
                      <w:snapToGrid w:val="0"/>
                      <w:color w:val="auto"/>
                      <w:kern w:val="2"/>
                      <w:sz w:val="21"/>
                      <w:szCs w:val="21"/>
                      <w:highlight w:val="none"/>
                      <w:lang w:val="en-US" w:eastAsia="zh-CN"/>
                    </w:rPr>
                    <w:t>4.9kg/h</w:t>
                  </w:r>
                </w:p>
              </w:tc>
            </w:tr>
            <w:tr w14:paraId="5A005F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490" w:type="dxa"/>
                  <w:vMerge w:val="continue"/>
                  <w:noWrap w:val="0"/>
                  <w:vAlign w:val="center"/>
                </w:tcPr>
                <w:p w14:paraId="04ECA376">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c>
                <w:tcPr>
                  <w:tcW w:w="711" w:type="dxa"/>
                  <w:vMerge w:val="continue"/>
                  <w:noWrap w:val="0"/>
                  <w:vAlign w:val="center"/>
                </w:tcPr>
                <w:p w14:paraId="1E1DECCC">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c>
                <w:tcPr>
                  <w:tcW w:w="525" w:type="dxa"/>
                  <w:vMerge w:val="continue"/>
                  <w:noWrap w:val="0"/>
                  <w:vAlign w:val="center"/>
                </w:tcPr>
                <w:p w14:paraId="50B41EC4">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c>
                <w:tcPr>
                  <w:tcW w:w="884" w:type="dxa"/>
                  <w:noWrap w:val="0"/>
                  <w:vAlign w:val="center"/>
                </w:tcPr>
                <w:p w14:paraId="70914733">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硫化氢</w:t>
                  </w:r>
                </w:p>
              </w:tc>
              <w:tc>
                <w:tcPr>
                  <w:tcW w:w="1594" w:type="dxa"/>
                  <w:vMerge w:val="continue"/>
                  <w:noWrap w:val="0"/>
                  <w:vAlign w:val="center"/>
                </w:tcPr>
                <w:p w14:paraId="629DE50E">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c>
                <w:tcPr>
                  <w:tcW w:w="840" w:type="dxa"/>
                  <w:vMerge w:val="continue"/>
                  <w:noWrap w:val="0"/>
                  <w:vAlign w:val="center"/>
                </w:tcPr>
                <w:p w14:paraId="3A89C94D">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c>
                <w:tcPr>
                  <w:tcW w:w="2175" w:type="dxa"/>
                  <w:vMerge w:val="continue"/>
                  <w:noWrap w:val="0"/>
                  <w:vAlign w:val="center"/>
                </w:tcPr>
                <w:p w14:paraId="501EA021">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1"/>
                      <w:highlight w:val="none"/>
                      <w:lang w:val="en-US" w:eastAsia="zh-CN" w:bidi="ar-SA"/>
                    </w:rPr>
                  </w:pPr>
                </w:p>
              </w:tc>
              <w:tc>
                <w:tcPr>
                  <w:tcW w:w="1285" w:type="dxa"/>
                  <w:noWrap w:val="0"/>
                  <w:vAlign w:val="center"/>
                </w:tcPr>
                <w:p w14:paraId="5A8B0C16">
                  <w:pPr>
                    <w:spacing w:line="240" w:lineRule="auto"/>
                    <w:jc w:val="center"/>
                    <w:rPr>
                      <w:rFonts w:hint="default" w:ascii="Times New Roman" w:hAnsi="Times New Roman" w:eastAsia="宋体" w:cs="Times New Roman"/>
                      <w:snapToGrid w:val="0"/>
                      <w:color w:val="auto"/>
                      <w:kern w:val="2"/>
                      <w:sz w:val="21"/>
                      <w:szCs w:val="21"/>
                      <w:highlight w:val="none"/>
                      <w:lang w:val="en-US" w:eastAsia="zh-CN"/>
                    </w:rPr>
                  </w:pPr>
                  <w:r>
                    <w:rPr>
                      <w:rFonts w:hint="default" w:ascii="Times New Roman" w:hAnsi="Times New Roman" w:eastAsia="宋体" w:cs="Times New Roman"/>
                      <w:snapToGrid w:val="0"/>
                      <w:color w:val="auto"/>
                      <w:kern w:val="2"/>
                      <w:sz w:val="21"/>
                      <w:szCs w:val="21"/>
                      <w:highlight w:val="none"/>
                      <w:lang w:val="en-US" w:eastAsia="zh-CN"/>
                    </w:rPr>
                    <w:t>0.33kg/h</w:t>
                  </w:r>
                </w:p>
              </w:tc>
            </w:tr>
            <w:tr w14:paraId="10FB96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490" w:type="dxa"/>
                  <w:vMerge w:val="continue"/>
                  <w:noWrap w:val="0"/>
                  <w:vAlign w:val="center"/>
                </w:tcPr>
                <w:p w14:paraId="7AF9227B">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c>
                <w:tcPr>
                  <w:tcW w:w="711" w:type="dxa"/>
                  <w:vMerge w:val="continue"/>
                  <w:noWrap w:val="0"/>
                  <w:vAlign w:val="center"/>
                </w:tcPr>
                <w:p w14:paraId="6434160B">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c>
                <w:tcPr>
                  <w:tcW w:w="525" w:type="dxa"/>
                  <w:vMerge w:val="continue"/>
                  <w:noWrap w:val="0"/>
                  <w:vAlign w:val="center"/>
                </w:tcPr>
                <w:p w14:paraId="4E471447">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c>
                <w:tcPr>
                  <w:tcW w:w="884" w:type="dxa"/>
                  <w:noWrap w:val="0"/>
                  <w:vAlign w:val="center"/>
                </w:tcPr>
                <w:p w14:paraId="5EFDDA51">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臭气浓度</w:t>
                  </w:r>
                </w:p>
              </w:tc>
              <w:tc>
                <w:tcPr>
                  <w:tcW w:w="1594" w:type="dxa"/>
                  <w:vMerge w:val="continue"/>
                  <w:noWrap w:val="0"/>
                  <w:vAlign w:val="center"/>
                </w:tcPr>
                <w:p w14:paraId="513BA6CC">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c>
                <w:tcPr>
                  <w:tcW w:w="840" w:type="dxa"/>
                  <w:vMerge w:val="continue"/>
                  <w:noWrap w:val="0"/>
                  <w:vAlign w:val="center"/>
                </w:tcPr>
                <w:p w14:paraId="5C122C66">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c>
                <w:tcPr>
                  <w:tcW w:w="2175" w:type="dxa"/>
                  <w:vMerge w:val="continue"/>
                  <w:noWrap w:val="0"/>
                  <w:vAlign w:val="center"/>
                </w:tcPr>
                <w:p w14:paraId="1FB2DCE8">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0"/>
                      <w:sz w:val="21"/>
                      <w:szCs w:val="21"/>
                      <w:highlight w:val="none"/>
                      <w:lang w:val="en-US" w:eastAsia="zh-CN" w:bidi="ar-SA"/>
                    </w:rPr>
                  </w:pPr>
                </w:p>
              </w:tc>
              <w:tc>
                <w:tcPr>
                  <w:tcW w:w="1285" w:type="dxa"/>
                  <w:noWrap w:val="0"/>
                  <w:vAlign w:val="center"/>
                </w:tcPr>
                <w:p w14:paraId="1E90B065">
                  <w:pPr>
                    <w:spacing w:line="240" w:lineRule="auto"/>
                    <w:jc w:val="center"/>
                    <w:rPr>
                      <w:rFonts w:hint="default" w:ascii="Times New Roman" w:hAnsi="Times New Roman" w:eastAsia="宋体" w:cs="Times New Roman"/>
                      <w:snapToGrid w:val="0"/>
                      <w:color w:val="auto"/>
                      <w:kern w:val="2"/>
                      <w:sz w:val="21"/>
                      <w:szCs w:val="21"/>
                      <w:highlight w:val="none"/>
                      <w:lang w:val="en-US" w:eastAsia="zh-CN"/>
                    </w:rPr>
                  </w:pPr>
                  <w:r>
                    <w:rPr>
                      <w:rFonts w:hint="default" w:ascii="Times New Roman" w:hAnsi="Times New Roman" w:eastAsia="宋体" w:cs="Times New Roman"/>
                      <w:snapToGrid w:val="0"/>
                      <w:color w:val="auto"/>
                      <w:kern w:val="2"/>
                      <w:sz w:val="21"/>
                      <w:szCs w:val="21"/>
                      <w:highlight w:val="none"/>
                      <w:lang w:val="en-US" w:eastAsia="zh-CN"/>
                    </w:rPr>
                    <w:t>2000（臭气浓度）</w:t>
                  </w:r>
                </w:p>
              </w:tc>
            </w:tr>
            <w:tr w14:paraId="0A2435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490" w:type="dxa"/>
                  <w:vMerge w:val="continue"/>
                  <w:noWrap w:val="0"/>
                  <w:vAlign w:val="center"/>
                </w:tcPr>
                <w:p w14:paraId="6AB9DBCB">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c>
                <w:tcPr>
                  <w:tcW w:w="711" w:type="dxa"/>
                  <w:noWrap w:val="0"/>
                  <w:vAlign w:val="center"/>
                </w:tcPr>
                <w:p w14:paraId="46D6253F">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DA002</w:t>
                  </w:r>
                </w:p>
              </w:tc>
              <w:tc>
                <w:tcPr>
                  <w:tcW w:w="525" w:type="dxa"/>
                  <w:noWrap w:val="0"/>
                  <w:vAlign w:val="center"/>
                </w:tcPr>
                <w:p w14:paraId="00A72885">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有组织</w:t>
                  </w:r>
                </w:p>
              </w:tc>
              <w:tc>
                <w:tcPr>
                  <w:tcW w:w="884" w:type="dxa"/>
                  <w:noWrap w:val="0"/>
                  <w:vAlign w:val="center"/>
                </w:tcPr>
                <w:p w14:paraId="7752D186">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颗粒物</w:t>
                  </w:r>
                </w:p>
              </w:tc>
              <w:tc>
                <w:tcPr>
                  <w:tcW w:w="1594" w:type="dxa"/>
                  <w:noWrap w:val="0"/>
                  <w:vAlign w:val="center"/>
                </w:tcPr>
                <w:p w14:paraId="27138A29">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袋式除尘</w:t>
                  </w:r>
                </w:p>
                <w:p w14:paraId="26BCC451">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+15m排气筒</w:t>
                  </w:r>
                </w:p>
              </w:tc>
              <w:tc>
                <w:tcPr>
                  <w:tcW w:w="840" w:type="dxa"/>
                  <w:noWrap w:val="0"/>
                  <w:vAlign w:val="center"/>
                </w:tcPr>
                <w:p w14:paraId="615824FF">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1套</w:t>
                  </w:r>
                </w:p>
              </w:tc>
              <w:tc>
                <w:tcPr>
                  <w:tcW w:w="2175" w:type="dxa"/>
                  <w:noWrap w:val="0"/>
                  <w:vAlign w:val="center"/>
                </w:tcPr>
                <w:p w14:paraId="73FD8602">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《大气污染物综合排放标准》（GB 16297-1996）表2 新污染源大气污染物排放限值</w:t>
                  </w:r>
                </w:p>
              </w:tc>
              <w:tc>
                <w:tcPr>
                  <w:tcW w:w="1285" w:type="dxa"/>
                  <w:noWrap w:val="0"/>
                  <w:vAlign w:val="center"/>
                </w:tcPr>
                <w:p w14:paraId="09D3C156">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3.5kg/h，120mg/m</w:t>
                  </w:r>
                  <w:r>
                    <w:rPr>
                      <w:rFonts w:hint="default" w:ascii="Times New Roman" w:hAnsi="Times New Roman" w:eastAsia="宋体" w:cs="Times New Roman"/>
                      <w:color w:val="auto"/>
                      <w:kern w:val="0"/>
                      <w:sz w:val="21"/>
                      <w:szCs w:val="21"/>
                      <w:highlight w:val="none"/>
                      <w:vertAlign w:val="superscript"/>
                      <w:lang w:val="en-US" w:eastAsia="zh-CN" w:bidi="ar-SA"/>
                    </w:rPr>
                    <w:t>3</w:t>
                  </w:r>
                </w:p>
              </w:tc>
            </w:tr>
            <w:tr w14:paraId="68AF3A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15" w:hRule="atLeast"/>
                <w:jc w:val="center"/>
              </w:trPr>
              <w:tc>
                <w:tcPr>
                  <w:tcW w:w="490" w:type="dxa"/>
                  <w:vMerge w:val="continue"/>
                  <w:noWrap w:val="0"/>
                  <w:vAlign w:val="center"/>
                </w:tcPr>
                <w:p w14:paraId="1CF5EC65">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c>
                <w:tcPr>
                  <w:tcW w:w="711" w:type="dxa"/>
                  <w:vMerge w:val="restart"/>
                  <w:noWrap w:val="0"/>
                  <w:vAlign w:val="center"/>
                </w:tcPr>
                <w:p w14:paraId="7CC7BC84">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厂界上风向1个监测点，下风向3个监测点</w:t>
                  </w:r>
                </w:p>
              </w:tc>
              <w:tc>
                <w:tcPr>
                  <w:tcW w:w="525" w:type="dxa"/>
                  <w:vMerge w:val="restart"/>
                  <w:noWrap w:val="0"/>
                  <w:vAlign w:val="center"/>
                </w:tcPr>
                <w:p w14:paraId="43AB8206">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无组织</w:t>
                  </w:r>
                </w:p>
              </w:tc>
              <w:tc>
                <w:tcPr>
                  <w:tcW w:w="884" w:type="dxa"/>
                  <w:noWrap w:val="0"/>
                  <w:vAlign w:val="center"/>
                </w:tcPr>
                <w:p w14:paraId="671C52CF">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颗粒物</w:t>
                  </w:r>
                </w:p>
              </w:tc>
              <w:tc>
                <w:tcPr>
                  <w:tcW w:w="1594" w:type="dxa"/>
                  <w:noWrap w:val="0"/>
                  <w:vAlign w:val="center"/>
                </w:tcPr>
                <w:p w14:paraId="7F7A101E">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加强车辆管理、湿料混合，加强封闭式作业、封闭式成品仓库</w:t>
                  </w:r>
                </w:p>
              </w:tc>
              <w:tc>
                <w:tcPr>
                  <w:tcW w:w="840" w:type="dxa"/>
                  <w:noWrap w:val="0"/>
                  <w:vAlign w:val="center"/>
                </w:tcPr>
                <w:p w14:paraId="7912CBF9">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w:t>
                  </w:r>
                </w:p>
              </w:tc>
              <w:tc>
                <w:tcPr>
                  <w:tcW w:w="2175" w:type="dxa"/>
                  <w:noWrap w:val="0"/>
                  <w:vAlign w:val="center"/>
                </w:tcPr>
                <w:p w14:paraId="31CE254B">
                  <w:pPr>
                    <w:widowControl w:val="0"/>
                    <w:overflowPunct w:val="0"/>
                    <w:autoSpaceDE w:val="0"/>
                    <w:autoSpaceDN w:val="0"/>
                    <w:bidi w:val="0"/>
                    <w:adjustRightInd w:val="0"/>
                    <w:snapToGrid w:val="0"/>
                    <w:spacing w:before="0" w:after="0" w:line="40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《大气污染物综合排放标准》（GB 16297-1996）表2 新污染源大气污染物排放限值</w:t>
                  </w:r>
                </w:p>
              </w:tc>
              <w:tc>
                <w:tcPr>
                  <w:tcW w:w="1285" w:type="dxa"/>
                  <w:noWrap w:val="0"/>
                  <w:vAlign w:val="center"/>
                </w:tcPr>
                <w:p w14:paraId="228C36BE">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color w:val="auto"/>
                      <w:kern w:val="2"/>
                      <w:sz w:val="21"/>
                      <w:szCs w:val="21"/>
                      <w:lang w:val="en-US" w:eastAsia="zh-CN" w:bidi="ar-SA"/>
                    </w:rPr>
                    <w:t>1.0</w:t>
                  </w:r>
                  <w:r>
                    <w:rPr>
                      <w:rFonts w:hint="default" w:ascii="Times New Roman" w:hAnsi="Times New Roman" w:eastAsia="宋体" w:cs="Times New Roman"/>
                      <w:snapToGrid w:val="0"/>
                      <w:color w:val="auto"/>
                      <w:kern w:val="2"/>
                      <w:sz w:val="21"/>
                      <w:szCs w:val="21"/>
                      <w:highlight w:val="none"/>
                    </w:rPr>
                    <w:t>mg/m</w:t>
                  </w:r>
                  <w:r>
                    <w:rPr>
                      <w:rFonts w:hint="default" w:ascii="Times New Roman" w:hAnsi="Times New Roman" w:eastAsia="宋体" w:cs="Times New Roman"/>
                      <w:snapToGrid w:val="0"/>
                      <w:color w:val="auto"/>
                      <w:kern w:val="2"/>
                      <w:sz w:val="21"/>
                      <w:szCs w:val="21"/>
                      <w:highlight w:val="none"/>
                      <w:vertAlign w:val="superscript"/>
                    </w:rPr>
                    <w:t>3</w:t>
                  </w:r>
                </w:p>
              </w:tc>
            </w:tr>
            <w:tr w14:paraId="5A8B0F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9" w:hRule="atLeast"/>
                <w:jc w:val="center"/>
              </w:trPr>
              <w:tc>
                <w:tcPr>
                  <w:tcW w:w="490" w:type="dxa"/>
                  <w:vMerge w:val="continue"/>
                  <w:noWrap w:val="0"/>
                  <w:vAlign w:val="center"/>
                </w:tcPr>
                <w:p w14:paraId="186C12AF">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c>
                <w:tcPr>
                  <w:tcW w:w="711" w:type="dxa"/>
                  <w:vMerge w:val="continue"/>
                  <w:noWrap w:val="0"/>
                  <w:vAlign w:val="center"/>
                </w:tcPr>
                <w:p w14:paraId="5D8DEF7B">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c>
                <w:tcPr>
                  <w:tcW w:w="525" w:type="dxa"/>
                  <w:vMerge w:val="continue"/>
                  <w:noWrap w:val="0"/>
                  <w:vAlign w:val="center"/>
                </w:tcPr>
                <w:p w14:paraId="2877EFB2">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c>
                <w:tcPr>
                  <w:tcW w:w="884" w:type="dxa"/>
                  <w:noWrap w:val="0"/>
                  <w:vAlign w:val="center"/>
                </w:tcPr>
                <w:p w14:paraId="4DDE62BB">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氨</w:t>
                  </w:r>
                </w:p>
              </w:tc>
              <w:tc>
                <w:tcPr>
                  <w:tcW w:w="1594" w:type="dxa"/>
                  <w:vMerge w:val="restart"/>
                  <w:noWrap w:val="0"/>
                  <w:vAlign w:val="center"/>
                </w:tcPr>
                <w:p w14:paraId="7DC61785">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加强封闭式作业、喷洒除臭剂</w:t>
                  </w:r>
                </w:p>
              </w:tc>
              <w:tc>
                <w:tcPr>
                  <w:tcW w:w="840" w:type="dxa"/>
                  <w:vMerge w:val="restart"/>
                  <w:noWrap w:val="0"/>
                  <w:vAlign w:val="center"/>
                </w:tcPr>
                <w:p w14:paraId="2747B662">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w:t>
                  </w:r>
                </w:p>
              </w:tc>
              <w:tc>
                <w:tcPr>
                  <w:tcW w:w="2175" w:type="dxa"/>
                  <w:vMerge w:val="restart"/>
                  <w:noWrap w:val="0"/>
                  <w:vAlign w:val="center"/>
                </w:tcPr>
                <w:p w14:paraId="15DC99BE">
                  <w:pPr>
                    <w:widowControl w:val="0"/>
                    <w:overflowPunct w:val="0"/>
                    <w:autoSpaceDE w:val="0"/>
                    <w:autoSpaceDN w:val="0"/>
                    <w:bidi w:val="0"/>
                    <w:adjustRightInd w:val="0"/>
                    <w:snapToGrid w:val="0"/>
                    <w:spacing w:before="0" w:after="0" w:line="400" w:lineRule="exact"/>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《恶臭污染物排放标准》（GB14554-93）表1 恶臭污染物厂界标准值中二级标准限值</w:t>
                  </w:r>
                </w:p>
              </w:tc>
              <w:tc>
                <w:tcPr>
                  <w:tcW w:w="1285" w:type="dxa"/>
                  <w:noWrap w:val="0"/>
                  <w:vAlign w:val="center"/>
                </w:tcPr>
                <w:p w14:paraId="436ECE4C">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color w:val="auto"/>
                      <w:kern w:val="2"/>
                      <w:sz w:val="21"/>
                      <w:szCs w:val="21"/>
                      <w:lang w:val="en-US" w:eastAsia="zh-CN" w:bidi="ar-SA"/>
                    </w:rPr>
                    <w:t>1.5</w:t>
                  </w:r>
                  <w:r>
                    <w:rPr>
                      <w:rFonts w:hint="default" w:ascii="Times New Roman" w:hAnsi="Times New Roman" w:eastAsia="宋体" w:cs="Times New Roman"/>
                      <w:snapToGrid w:val="0"/>
                      <w:color w:val="auto"/>
                      <w:kern w:val="2"/>
                      <w:sz w:val="21"/>
                      <w:szCs w:val="21"/>
                      <w:highlight w:val="none"/>
                    </w:rPr>
                    <w:t>mg/m</w:t>
                  </w:r>
                  <w:r>
                    <w:rPr>
                      <w:rFonts w:hint="default" w:ascii="Times New Roman" w:hAnsi="Times New Roman" w:eastAsia="宋体" w:cs="Times New Roman"/>
                      <w:snapToGrid w:val="0"/>
                      <w:color w:val="auto"/>
                      <w:kern w:val="2"/>
                      <w:sz w:val="21"/>
                      <w:szCs w:val="21"/>
                      <w:highlight w:val="none"/>
                      <w:vertAlign w:val="superscript"/>
                    </w:rPr>
                    <w:t>3</w:t>
                  </w:r>
                </w:p>
              </w:tc>
            </w:tr>
            <w:tr w14:paraId="0737C7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78" w:hRule="atLeast"/>
                <w:jc w:val="center"/>
              </w:trPr>
              <w:tc>
                <w:tcPr>
                  <w:tcW w:w="490" w:type="dxa"/>
                  <w:vMerge w:val="continue"/>
                  <w:noWrap w:val="0"/>
                  <w:vAlign w:val="center"/>
                </w:tcPr>
                <w:p w14:paraId="5EC1C6B0">
                  <w:pPr>
                    <w:widowControl w:val="0"/>
                    <w:spacing w:line="320" w:lineRule="exact"/>
                    <w:jc w:val="center"/>
                    <w:rPr>
                      <w:rFonts w:hint="default" w:ascii="Times New Roman" w:hAnsi="Times New Roman" w:eastAsia="宋体" w:cs="Times New Roman"/>
                      <w:color w:val="auto"/>
                      <w:sz w:val="21"/>
                      <w:szCs w:val="21"/>
                    </w:rPr>
                  </w:pPr>
                </w:p>
              </w:tc>
              <w:tc>
                <w:tcPr>
                  <w:tcW w:w="711" w:type="dxa"/>
                  <w:vMerge w:val="continue"/>
                  <w:noWrap w:val="0"/>
                  <w:vAlign w:val="center"/>
                </w:tcPr>
                <w:p w14:paraId="6077D148">
                  <w:pPr>
                    <w:widowControl w:val="0"/>
                    <w:spacing w:line="320" w:lineRule="exact"/>
                    <w:jc w:val="center"/>
                    <w:rPr>
                      <w:rFonts w:hint="default" w:ascii="Times New Roman" w:hAnsi="Times New Roman" w:eastAsia="宋体" w:cs="Times New Roman"/>
                      <w:color w:val="auto"/>
                      <w:sz w:val="21"/>
                      <w:szCs w:val="21"/>
                    </w:rPr>
                  </w:pPr>
                </w:p>
              </w:tc>
              <w:tc>
                <w:tcPr>
                  <w:tcW w:w="525" w:type="dxa"/>
                  <w:vMerge w:val="continue"/>
                  <w:noWrap w:val="0"/>
                  <w:vAlign w:val="center"/>
                </w:tcPr>
                <w:p w14:paraId="16498F89">
                  <w:pPr>
                    <w:widowControl w:val="0"/>
                    <w:spacing w:line="320" w:lineRule="exact"/>
                    <w:jc w:val="center"/>
                    <w:rPr>
                      <w:rFonts w:hint="default" w:ascii="Times New Roman" w:hAnsi="Times New Roman" w:eastAsia="宋体" w:cs="Times New Roman"/>
                      <w:color w:val="auto"/>
                      <w:sz w:val="21"/>
                      <w:szCs w:val="21"/>
                    </w:rPr>
                  </w:pPr>
                </w:p>
              </w:tc>
              <w:tc>
                <w:tcPr>
                  <w:tcW w:w="884" w:type="dxa"/>
                  <w:noWrap w:val="0"/>
                  <w:vAlign w:val="center"/>
                </w:tcPr>
                <w:p w14:paraId="6C7E3213">
                  <w:pPr>
                    <w:widowControl w:val="0"/>
                    <w:spacing w:line="320" w:lineRule="exac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硫化氢</w:t>
                  </w:r>
                </w:p>
              </w:tc>
              <w:tc>
                <w:tcPr>
                  <w:tcW w:w="1594" w:type="dxa"/>
                  <w:vMerge w:val="continue"/>
                  <w:noWrap w:val="0"/>
                  <w:vAlign w:val="center"/>
                </w:tcPr>
                <w:p w14:paraId="7A5FC050">
                  <w:pPr>
                    <w:widowControl w:val="0"/>
                    <w:spacing w:line="320" w:lineRule="exact"/>
                    <w:jc w:val="center"/>
                    <w:rPr>
                      <w:rFonts w:hint="default" w:ascii="Times New Roman" w:hAnsi="Times New Roman" w:eastAsia="宋体" w:cs="Times New Roman"/>
                      <w:color w:val="auto"/>
                      <w:sz w:val="21"/>
                      <w:szCs w:val="21"/>
                    </w:rPr>
                  </w:pPr>
                </w:p>
              </w:tc>
              <w:tc>
                <w:tcPr>
                  <w:tcW w:w="840" w:type="dxa"/>
                  <w:vMerge w:val="continue"/>
                  <w:noWrap w:val="0"/>
                  <w:vAlign w:val="center"/>
                </w:tcPr>
                <w:p w14:paraId="6EC9E215">
                  <w:pPr>
                    <w:widowControl w:val="0"/>
                    <w:spacing w:line="320" w:lineRule="exact"/>
                    <w:jc w:val="center"/>
                    <w:rPr>
                      <w:rFonts w:hint="default" w:ascii="Times New Roman" w:hAnsi="Times New Roman" w:eastAsia="宋体" w:cs="Times New Roman"/>
                      <w:color w:val="auto"/>
                      <w:sz w:val="21"/>
                      <w:szCs w:val="21"/>
                    </w:rPr>
                  </w:pPr>
                </w:p>
              </w:tc>
              <w:tc>
                <w:tcPr>
                  <w:tcW w:w="2175" w:type="dxa"/>
                  <w:vMerge w:val="continue"/>
                  <w:noWrap w:val="0"/>
                  <w:vAlign w:val="center"/>
                </w:tcPr>
                <w:p w14:paraId="75148EF7">
                  <w:pPr>
                    <w:widowControl w:val="0"/>
                    <w:spacing w:line="320" w:lineRule="exact"/>
                    <w:jc w:val="center"/>
                    <w:rPr>
                      <w:rFonts w:hint="default" w:ascii="Times New Roman" w:hAnsi="Times New Roman" w:eastAsia="宋体" w:cs="Times New Roman"/>
                      <w:color w:val="auto"/>
                      <w:sz w:val="21"/>
                      <w:szCs w:val="21"/>
                    </w:rPr>
                  </w:pPr>
                </w:p>
              </w:tc>
              <w:tc>
                <w:tcPr>
                  <w:tcW w:w="1285" w:type="dxa"/>
                  <w:noWrap w:val="0"/>
                  <w:vAlign w:val="center"/>
                </w:tcPr>
                <w:p w14:paraId="46595A61">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snapToGrid w:val="0"/>
                      <w:color w:val="auto"/>
                      <w:kern w:val="0"/>
                      <w:sz w:val="21"/>
                      <w:szCs w:val="21"/>
                      <w:highlight w:val="none"/>
                      <w:lang w:val="en-US" w:eastAsia="zh-CN" w:bidi="ar-SA"/>
                    </w:rPr>
                  </w:pPr>
                  <w:r>
                    <w:rPr>
                      <w:rFonts w:hint="default" w:ascii="Times New Roman" w:hAnsi="Times New Roman" w:eastAsia="宋体" w:cs="Times New Roman"/>
                      <w:color w:val="auto"/>
                      <w:kern w:val="2"/>
                      <w:sz w:val="21"/>
                      <w:szCs w:val="21"/>
                      <w:lang w:val="en-US" w:eastAsia="zh-CN" w:bidi="ar-SA"/>
                    </w:rPr>
                    <w:t>0.06</w:t>
                  </w:r>
                  <w:r>
                    <w:rPr>
                      <w:rFonts w:hint="default" w:ascii="Times New Roman" w:hAnsi="Times New Roman" w:eastAsia="宋体" w:cs="Times New Roman"/>
                      <w:snapToGrid w:val="0"/>
                      <w:color w:val="auto"/>
                      <w:kern w:val="2"/>
                      <w:sz w:val="21"/>
                      <w:szCs w:val="21"/>
                      <w:highlight w:val="none"/>
                    </w:rPr>
                    <w:t>mg/m</w:t>
                  </w:r>
                  <w:r>
                    <w:rPr>
                      <w:rFonts w:hint="default" w:ascii="Times New Roman" w:hAnsi="Times New Roman" w:eastAsia="宋体" w:cs="Times New Roman"/>
                      <w:snapToGrid w:val="0"/>
                      <w:color w:val="auto"/>
                      <w:kern w:val="2"/>
                      <w:sz w:val="21"/>
                      <w:szCs w:val="21"/>
                      <w:highlight w:val="none"/>
                      <w:vertAlign w:val="superscript"/>
                    </w:rPr>
                    <w:t>3</w:t>
                  </w:r>
                </w:p>
              </w:tc>
            </w:tr>
            <w:tr w14:paraId="7B341B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490" w:type="dxa"/>
                  <w:vMerge w:val="continue"/>
                  <w:noWrap w:val="0"/>
                  <w:vAlign w:val="center"/>
                </w:tcPr>
                <w:p w14:paraId="5DB9494F">
                  <w:pPr>
                    <w:widowControl w:val="0"/>
                    <w:spacing w:line="320" w:lineRule="exact"/>
                    <w:jc w:val="center"/>
                    <w:rPr>
                      <w:rFonts w:hint="default" w:ascii="Times New Roman" w:hAnsi="Times New Roman" w:eastAsia="宋体" w:cs="Times New Roman"/>
                      <w:color w:val="auto"/>
                      <w:sz w:val="21"/>
                      <w:szCs w:val="21"/>
                    </w:rPr>
                  </w:pPr>
                </w:p>
              </w:tc>
              <w:tc>
                <w:tcPr>
                  <w:tcW w:w="711" w:type="dxa"/>
                  <w:vMerge w:val="continue"/>
                  <w:noWrap w:val="0"/>
                  <w:vAlign w:val="center"/>
                </w:tcPr>
                <w:p w14:paraId="5FE2FF1E">
                  <w:pPr>
                    <w:widowControl w:val="0"/>
                    <w:spacing w:line="320" w:lineRule="exact"/>
                    <w:jc w:val="center"/>
                    <w:rPr>
                      <w:rFonts w:hint="default" w:ascii="Times New Roman" w:hAnsi="Times New Roman" w:eastAsia="宋体" w:cs="Times New Roman"/>
                      <w:color w:val="auto"/>
                      <w:sz w:val="21"/>
                      <w:szCs w:val="21"/>
                    </w:rPr>
                  </w:pPr>
                </w:p>
              </w:tc>
              <w:tc>
                <w:tcPr>
                  <w:tcW w:w="525" w:type="dxa"/>
                  <w:vMerge w:val="continue"/>
                  <w:noWrap w:val="0"/>
                  <w:vAlign w:val="center"/>
                </w:tcPr>
                <w:p w14:paraId="6EA4AD93">
                  <w:pPr>
                    <w:widowControl w:val="0"/>
                    <w:spacing w:line="320" w:lineRule="exact"/>
                    <w:jc w:val="center"/>
                    <w:rPr>
                      <w:rFonts w:hint="default" w:ascii="Times New Roman" w:hAnsi="Times New Roman" w:eastAsia="宋体" w:cs="Times New Roman"/>
                      <w:color w:val="auto"/>
                      <w:sz w:val="21"/>
                      <w:szCs w:val="21"/>
                    </w:rPr>
                  </w:pPr>
                </w:p>
              </w:tc>
              <w:tc>
                <w:tcPr>
                  <w:tcW w:w="884" w:type="dxa"/>
                  <w:noWrap w:val="0"/>
                  <w:vAlign w:val="center"/>
                </w:tcPr>
                <w:p w14:paraId="6AF004E2">
                  <w:pPr>
                    <w:widowControl w:val="0"/>
                    <w:spacing w:line="320" w:lineRule="exact"/>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臭气浓度</w:t>
                  </w:r>
                </w:p>
              </w:tc>
              <w:tc>
                <w:tcPr>
                  <w:tcW w:w="1594" w:type="dxa"/>
                  <w:vMerge w:val="continue"/>
                  <w:noWrap w:val="0"/>
                  <w:vAlign w:val="center"/>
                </w:tcPr>
                <w:p w14:paraId="6643A4F5">
                  <w:pPr>
                    <w:widowControl w:val="0"/>
                    <w:spacing w:line="320" w:lineRule="exact"/>
                    <w:jc w:val="center"/>
                    <w:rPr>
                      <w:rFonts w:hint="default" w:ascii="Times New Roman" w:hAnsi="Times New Roman" w:eastAsia="宋体" w:cs="Times New Roman"/>
                      <w:color w:val="auto"/>
                      <w:sz w:val="21"/>
                      <w:szCs w:val="21"/>
                    </w:rPr>
                  </w:pPr>
                </w:p>
              </w:tc>
              <w:tc>
                <w:tcPr>
                  <w:tcW w:w="840" w:type="dxa"/>
                  <w:vMerge w:val="continue"/>
                  <w:noWrap w:val="0"/>
                  <w:vAlign w:val="center"/>
                </w:tcPr>
                <w:p w14:paraId="7917D87A">
                  <w:pPr>
                    <w:widowControl w:val="0"/>
                    <w:spacing w:line="320" w:lineRule="exact"/>
                    <w:jc w:val="center"/>
                    <w:rPr>
                      <w:rFonts w:hint="default" w:ascii="Times New Roman" w:hAnsi="Times New Roman" w:eastAsia="宋体" w:cs="Times New Roman"/>
                      <w:color w:val="auto"/>
                      <w:sz w:val="21"/>
                      <w:szCs w:val="21"/>
                    </w:rPr>
                  </w:pPr>
                </w:p>
              </w:tc>
              <w:tc>
                <w:tcPr>
                  <w:tcW w:w="2175" w:type="dxa"/>
                  <w:vMerge w:val="continue"/>
                  <w:noWrap w:val="0"/>
                  <w:vAlign w:val="center"/>
                </w:tcPr>
                <w:p w14:paraId="18D436E9">
                  <w:pPr>
                    <w:widowControl w:val="0"/>
                    <w:spacing w:line="320" w:lineRule="exact"/>
                    <w:jc w:val="center"/>
                    <w:rPr>
                      <w:rFonts w:hint="default" w:ascii="Times New Roman" w:hAnsi="Times New Roman" w:eastAsia="宋体" w:cs="Times New Roman"/>
                      <w:color w:val="auto"/>
                      <w:sz w:val="21"/>
                      <w:szCs w:val="21"/>
                    </w:rPr>
                  </w:pPr>
                </w:p>
              </w:tc>
              <w:tc>
                <w:tcPr>
                  <w:tcW w:w="1285" w:type="dxa"/>
                  <w:noWrap w:val="0"/>
                  <w:vAlign w:val="center"/>
                </w:tcPr>
                <w:p w14:paraId="5E6EF212">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20（无量纲）</w:t>
                  </w:r>
                </w:p>
              </w:tc>
            </w:tr>
            <w:tr w14:paraId="723C78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490" w:type="dxa"/>
                  <w:noWrap w:val="0"/>
                  <w:vAlign w:val="center"/>
                </w:tcPr>
                <w:p w14:paraId="798F3B5B">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噪声</w:t>
                  </w:r>
                </w:p>
                <w:p w14:paraId="117F6FE8">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控制</w:t>
                  </w:r>
                </w:p>
              </w:tc>
              <w:tc>
                <w:tcPr>
                  <w:tcW w:w="711" w:type="dxa"/>
                  <w:noWrap w:val="0"/>
                  <w:vAlign w:val="center"/>
                </w:tcPr>
                <w:p w14:paraId="3E96422B">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厂界4个监测点</w:t>
                  </w:r>
                </w:p>
              </w:tc>
              <w:tc>
                <w:tcPr>
                  <w:tcW w:w="525" w:type="dxa"/>
                  <w:noWrap w:val="0"/>
                  <w:vAlign w:val="center"/>
                </w:tcPr>
                <w:p w14:paraId="76B75EE0">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生产设备</w:t>
                  </w:r>
                </w:p>
              </w:tc>
              <w:tc>
                <w:tcPr>
                  <w:tcW w:w="884" w:type="dxa"/>
                  <w:noWrap w:val="0"/>
                  <w:vAlign w:val="center"/>
                </w:tcPr>
                <w:p w14:paraId="4957548D">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机械噪声</w:t>
                  </w:r>
                </w:p>
              </w:tc>
              <w:tc>
                <w:tcPr>
                  <w:tcW w:w="1594" w:type="dxa"/>
                  <w:noWrap w:val="0"/>
                  <w:vAlign w:val="center"/>
                </w:tcPr>
                <w:p w14:paraId="42C1ACCC">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选用具有减震、降噪、隔声、消声设计的设备</w:t>
                  </w:r>
                </w:p>
              </w:tc>
              <w:tc>
                <w:tcPr>
                  <w:tcW w:w="840" w:type="dxa"/>
                  <w:noWrap w:val="0"/>
                  <w:vAlign w:val="center"/>
                </w:tcPr>
                <w:p w14:paraId="428FE476">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若干</w:t>
                  </w:r>
                </w:p>
              </w:tc>
              <w:tc>
                <w:tcPr>
                  <w:tcW w:w="2175" w:type="dxa"/>
                  <w:noWrap w:val="0"/>
                  <w:vAlign w:val="center"/>
                </w:tcPr>
                <w:p w14:paraId="05B4DC92">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《工业企业厂界环境噪声排放标准》（GB12348-2008）中2类标准</w:t>
                  </w:r>
                </w:p>
              </w:tc>
              <w:tc>
                <w:tcPr>
                  <w:tcW w:w="1285" w:type="dxa"/>
                  <w:noWrap w:val="0"/>
                  <w:vAlign w:val="center"/>
                </w:tcPr>
                <w:p w14:paraId="7660FE29">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昼间≤60</w:t>
                  </w:r>
                  <w:r>
                    <w:rPr>
                      <w:rFonts w:hint="default" w:ascii="Times New Roman" w:hAnsi="Times New Roman" w:eastAsia="宋体" w:cs="Times New Roman"/>
                      <w:color w:val="auto"/>
                      <w:kern w:val="2"/>
                      <w:sz w:val="21"/>
                      <w:szCs w:val="21"/>
                      <w:highlight w:val="none"/>
                      <w:lang w:val="en-US" w:eastAsia="zh-CN" w:bidi="ar-SA"/>
                    </w:rPr>
                    <w:t>dB(A)，夜间≤50dB(A)</w:t>
                  </w:r>
                </w:p>
              </w:tc>
            </w:tr>
            <w:tr w14:paraId="7D56F9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490" w:type="dxa"/>
                  <w:vMerge w:val="restart"/>
                  <w:noWrap w:val="0"/>
                  <w:vAlign w:val="center"/>
                </w:tcPr>
                <w:p w14:paraId="610B740E">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固体废物</w:t>
                  </w:r>
                </w:p>
              </w:tc>
              <w:tc>
                <w:tcPr>
                  <w:tcW w:w="711" w:type="dxa"/>
                  <w:vMerge w:val="restart"/>
                  <w:noWrap w:val="0"/>
                  <w:vAlign w:val="center"/>
                </w:tcPr>
                <w:p w14:paraId="14EE56C1">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w:t>
                  </w:r>
                </w:p>
              </w:tc>
              <w:tc>
                <w:tcPr>
                  <w:tcW w:w="525" w:type="dxa"/>
                  <w:noWrap w:val="0"/>
                  <w:vAlign w:val="center"/>
                </w:tcPr>
                <w:p w14:paraId="4C7CA9ED">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生活垃圾</w:t>
                  </w:r>
                </w:p>
              </w:tc>
              <w:tc>
                <w:tcPr>
                  <w:tcW w:w="884" w:type="dxa"/>
                  <w:noWrap w:val="0"/>
                  <w:vAlign w:val="center"/>
                </w:tcPr>
                <w:p w14:paraId="6C0D7852">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生活垃圾</w:t>
                  </w:r>
                </w:p>
              </w:tc>
              <w:tc>
                <w:tcPr>
                  <w:tcW w:w="1594" w:type="dxa"/>
                  <w:noWrap w:val="0"/>
                  <w:vAlign w:val="center"/>
                </w:tcPr>
                <w:p w14:paraId="19444B3E">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可密封生活垃圾收集点</w:t>
                  </w:r>
                </w:p>
              </w:tc>
              <w:tc>
                <w:tcPr>
                  <w:tcW w:w="840" w:type="dxa"/>
                  <w:noWrap w:val="0"/>
                  <w:vAlign w:val="center"/>
                </w:tcPr>
                <w:p w14:paraId="4BC53E75">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1个</w:t>
                  </w:r>
                </w:p>
              </w:tc>
              <w:tc>
                <w:tcPr>
                  <w:tcW w:w="2175" w:type="dxa"/>
                  <w:vMerge w:val="restart"/>
                  <w:noWrap w:val="0"/>
                  <w:vAlign w:val="center"/>
                </w:tcPr>
                <w:p w14:paraId="18E0CA23">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《一般工业固体废物贮存和填埋污染控制标准》（GB 18599-2020）</w:t>
                  </w:r>
                </w:p>
              </w:tc>
              <w:tc>
                <w:tcPr>
                  <w:tcW w:w="1285" w:type="dxa"/>
                  <w:vMerge w:val="restart"/>
                  <w:noWrap w:val="0"/>
                  <w:vAlign w:val="center"/>
                </w:tcPr>
                <w:p w14:paraId="3B8D1DEA">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w:t>
                  </w:r>
                </w:p>
              </w:tc>
            </w:tr>
            <w:tr w14:paraId="206344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3" w:hRule="atLeast"/>
                <w:jc w:val="center"/>
              </w:trPr>
              <w:tc>
                <w:tcPr>
                  <w:tcW w:w="490" w:type="dxa"/>
                  <w:vMerge w:val="continue"/>
                  <w:noWrap w:val="0"/>
                  <w:vAlign w:val="center"/>
                </w:tcPr>
                <w:p w14:paraId="612EA3A3">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c>
                <w:tcPr>
                  <w:tcW w:w="711" w:type="dxa"/>
                  <w:vMerge w:val="continue"/>
                  <w:noWrap w:val="0"/>
                  <w:vAlign w:val="center"/>
                </w:tcPr>
                <w:p w14:paraId="323DA82C">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c>
                <w:tcPr>
                  <w:tcW w:w="525" w:type="dxa"/>
                  <w:noWrap w:val="0"/>
                  <w:vAlign w:val="center"/>
                </w:tcPr>
                <w:p w14:paraId="2CF77329">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一般固废</w:t>
                  </w:r>
                </w:p>
              </w:tc>
              <w:tc>
                <w:tcPr>
                  <w:tcW w:w="884" w:type="dxa"/>
                  <w:noWrap w:val="0"/>
                  <w:vAlign w:val="center"/>
                </w:tcPr>
                <w:p w14:paraId="05AE9DF5">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除尘灰、废包装袋、不合格品、废</w:t>
                  </w:r>
                  <w:r>
                    <w:rPr>
                      <w:rFonts w:hint="eastAsia" w:cs="Times New Roman"/>
                      <w:color w:val="auto"/>
                      <w:kern w:val="0"/>
                      <w:sz w:val="21"/>
                      <w:szCs w:val="21"/>
                      <w:highlight w:val="none"/>
                      <w:lang w:val="en-US" w:eastAsia="zh-CN" w:bidi="ar-SA"/>
                    </w:rPr>
                    <w:t>布袋</w:t>
                  </w:r>
                  <w:r>
                    <w:rPr>
                      <w:rFonts w:hint="default" w:ascii="Times New Roman" w:hAnsi="Times New Roman" w:eastAsia="宋体" w:cs="Times New Roman"/>
                      <w:color w:val="auto"/>
                      <w:kern w:val="0"/>
                      <w:sz w:val="21"/>
                      <w:szCs w:val="21"/>
                      <w:highlight w:val="none"/>
                      <w:lang w:val="en-US" w:eastAsia="zh-CN" w:bidi="ar-SA"/>
                    </w:rPr>
                    <w:t>、废填料</w:t>
                  </w:r>
                </w:p>
              </w:tc>
              <w:tc>
                <w:tcPr>
                  <w:tcW w:w="1594" w:type="dxa"/>
                  <w:noWrap w:val="0"/>
                  <w:vAlign w:val="center"/>
                </w:tcPr>
                <w:p w14:paraId="3DB28D52">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依托生产车间内设置一般固废暂存区域</w:t>
                  </w:r>
                </w:p>
              </w:tc>
              <w:tc>
                <w:tcPr>
                  <w:tcW w:w="840" w:type="dxa"/>
                  <w:noWrap w:val="0"/>
                  <w:vAlign w:val="center"/>
                </w:tcPr>
                <w:p w14:paraId="52083B55">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w:t>
                  </w:r>
                </w:p>
              </w:tc>
              <w:tc>
                <w:tcPr>
                  <w:tcW w:w="2175" w:type="dxa"/>
                  <w:vMerge w:val="continue"/>
                  <w:noWrap w:val="0"/>
                  <w:vAlign w:val="center"/>
                </w:tcPr>
                <w:p w14:paraId="433EF3BF">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c>
                <w:tcPr>
                  <w:tcW w:w="1285" w:type="dxa"/>
                  <w:vMerge w:val="continue"/>
                  <w:noWrap w:val="0"/>
                  <w:vAlign w:val="center"/>
                </w:tcPr>
                <w:p w14:paraId="338D38DF">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r>
            <w:tr w14:paraId="29D7AB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3" w:hRule="atLeast"/>
                <w:jc w:val="center"/>
              </w:trPr>
              <w:tc>
                <w:tcPr>
                  <w:tcW w:w="490" w:type="dxa"/>
                  <w:vMerge w:val="continue"/>
                  <w:noWrap w:val="0"/>
                  <w:vAlign w:val="center"/>
                </w:tcPr>
                <w:p w14:paraId="4D547AA1">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c>
                <w:tcPr>
                  <w:tcW w:w="711" w:type="dxa"/>
                  <w:vMerge w:val="continue"/>
                  <w:noWrap w:val="0"/>
                  <w:vAlign w:val="center"/>
                </w:tcPr>
                <w:p w14:paraId="602E74FA">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c>
                <w:tcPr>
                  <w:tcW w:w="525" w:type="dxa"/>
                  <w:noWrap w:val="0"/>
                  <w:vAlign w:val="center"/>
                </w:tcPr>
                <w:p w14:paraId="7E34C3F6">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危险废物</w:t>
                  </w:r>
                </w:p>
              </w:tc>
              <w:tc>
                <w:tcPr>
                  <w:tcW w:w="884" w:type="dxa"/>
                  <w:noWrap w:val="0"/>
                  <w:vAlign w:val="center"/>
                </w:tcPr>
                <w:p w14:paraId="7DFA0481">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废机油</w:t>
                  </w:r>
                </w:p>
              </w:tc>
              <w:tc>
                <w:tcPr>
                  <w:tcW w:w="1594" w:type="dxa"/>
                  <w:noWrap w:val="0"/>
                  <w:vAlign w:val="center"/>
                </w:tcPr>
                <w:p w14:paraId="3766F13A">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新建1座5m</w:t>
                  </w:r>
                  <w:r>
                    <w:rPr>
                      <w:rFonts w:hint="eastAsia" w:cs="Times New Roman"/>
                      <w:color w:val="auto"/>
                      <w:kern w:val="0"/>
                      <w:sz w:val="21"/>
                      <w:szCs w:val="21"/>
                      <w:highlight w:val="none"/>
                      <w:vertAlign w:val="superscript"/>
                      <w:lang w:val="en-US" w:eastAsia="zh-CN" w:bidi="ar-SA"/>
                    </w:rPr>
                    <w:t>2</w:t>
                  </w:r>
                  <w:r>
                    <w:rPr>
                      <w:rFonts w:hint="eastAsia" w:cs="Times New Roman"/>
                      <w:color w:val="auto"/>
                      <w:kern w:val="0"/>
                      <w:sz w:val="21"/>
                      <w:szCs w:val="21"/>
                      <w:highlight w:val="none"/>
                      <w:lang w:val="en-US" w:eastAsia="zh-CN" w:bidi="ar-SA"/>
                    </w:rPr>
                    <w:t>危险废物贮存库</w:t>
                  </w:r>
                </w:p>
              </w:tc>
              <w:tc>
                <w:tcPr>
                  <w:tcW w:w="840" w:type="dxa"/>
                  <w:noWrap w:val="0"/>
                  <w:vAlign w:val="center"/>
                </w:tcPr>
                <w:p w14:paraId="57E355F7">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w:t>
                  </w:r>
                </w:p>
              </w:tc>
              <w:tc>
                <w:tcPr>
                  <w:tcW w:w="2175" w:type="dxa"/>
                  <w:noWrap w:val="0"/>
                  <w:vAlign w:val="center"/>
                </w:tcPr>
                <w:p w14:paraId="31DD2CCF">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《危险废物贮存污染控制标准》（GB 18597-2023）</w:t>
                  </w:r>
                </w:p>
              </w:tc>
              <w:tc>
                <w:tcPr>
                  <w:tcW w:w="1285" w:type="dxa"/>
                  <w:noWrap w:val="0"/>
                  <w:vAlign w:val="center"/>
                </w:tcPr>
                <w:p w14:paraId="176D552B">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w:t>
                  </w:r>
                </w:p>
              </w:tc>
            </w:tr>
            <w:tr w14:paraId="023E17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90" w:type="dxa"/>
                  <w:vMerge w:val="restart"/>
                  <w:noWrap w:val="0"/>
                  <w:vAlign w:val="center"/>
                </w:tcPr>
                <w:p w14:paraId="4483E17E">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其他</w:t>
                  </w:r>
                </w:p>
              </w:tc>
              <w:tc>
                <w:tcPr>
                  <w:tcW w:w="711" w:type="dxa"/>
                  <w:vMerge w:val="restart"/>
                  <w:noWrap w:val="0"/>
                  <w:vAlign w:val="center"/>
                </w:tcPr>
                <w:p w14:paraId="17DFEEC4">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w:t>
                  </w:r>
                </w:p>
              </w:tc>
              <w:tc>
                <w:tcPr>
                  <w:tcW w:w="525" w:type="dxa"/>
                  <w:noWrap w:val="0"/>
                  <w:vAlign w:val="center"/>
                </w:tcPr>
                <w:p w14:paraId="3382C7CD">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消防</w:t>
                  </w:r>
                </w:p>
              </w:tc>
              <w:tc>
                <w:tcPr>
                  <w:tcW w:w="2478" w:type="dxa"/>
                  <w:gridSpan w:val="2"/>
                  <w:noWrap w:val="0"/>
                  <w:vAlign w:val="center"/>
                </w:tcPr>
                <w:p w14:paraId="3A451947">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消防设施</w:t>
                  </w:r>
                </w:p>
              </w:tc>
              <w:tc>
                <w:tcPr>
                  <w:tcW w:w="840" w:type="dxa"/>
                  <w:noWrap w:val="0"/>
                  <w:vAlign w:val="center"/>
                </w:tcPr>
                <w:p w14:paraId="115C0F48">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若干</w:t>
                  </w:r>
                </w:p>
              </w:tc>
              <w:tc>
                <w:tcPr>
                  <w:tcW w:w="2175" w:type="dxa"/>
                  <w:vMerge w:val="restart"/>
                  <w:noWrap w:val="0"/>
                  <w:vAlign w:val="center"/>
                </w:tcPr>
                <w:p w14:paraId="10FF9B6F">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满足规范要求</w:t>
                  </w:r>
                </w:p>
              </w:tc>
              <w:tc>
                <w:tcPr>
                  <w:tcW w:w="1285" w:type="dxa"/>
                  <w:vMerge w:val="restart"/>
                  <w:noWrap w:val="0"/>
                  <w:vAlign w:val="center"/>
                </w:tcPr>
                <w:p w14:paraId="211B12C2">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w:t>
                  </w:r>
                </w:p>
              </w:tc>
            </w:tr>
            <w:tr w14:paraId="11DDD0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490" w:type="dxa"/>
                  <w:vMerge w:val="continue"/>
                  <w:noWrap w:val="0"/>
                  <w:vAlign w:val="center"/>
                </w:tcPr>
                <w:p w14:paraId="006D4207">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c>
                <w:tcPr>
                  <w:tcW w:w="711" w:type="dxa"/>
                  <w:vMerge w:val="continue"/>
                  <w:noWrap w:val="0"/>
                  <w:vAlign w:val="center"/>
                </w:tcPr>
                <w:p w14:paraId="2C7EB257">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c>
                <w:tcPr>
                  <w:tcW w:w="525" w:type="dxa"/>
                  <w:noWrap w:val="0"/>
                  <w:vAlign w:val="center"/>
                </w:tcPr>
                <w:p w14:paraId="2408E38A">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职工防护</w:t>
                  </w:r>
                </w:p>
              </w:tc>
              <w:tc>
                <w:tcPr>
                  <w:tcW w:w="2478" w:type="dxa"/>
                  <w:gridSpan w:val="2"/>
                  <w:noWrap w:val="0"/>
                  <w:vAlign w:val="center"/>
                </w:tcPr>
                <w:p w14:paraId="1A9642B3">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职工防护用具</w:t>
                  </w:r>
                </w:p>
              </w:tc>
              <w:tc>
                <w:tcPr>
                  <w:tcW w:w="840" w:type="dxa"/>
                  <w:noWrap w:val="0"/>
                  <w:vAlign w:val="center"/>
                </w:tcPr>
                <w:p w14:paraId="5F3C644E">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若干</w:t>
                  </w:r>
                </w:p>
              </w:tc>
              <w:tc>
                <w:tcPr>
                  <w:tcW w:w="2175" w:type="dxa"/>
                  <w:vMerge w:val="continue"/>
                  <w:noWrap w:val="0"/>
                  <w:vAlign w:val="center"/>
                </w:tcPr>
                <w:p w14:paraId="3B08249D">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c>
                <w:tcPr>
                  <w:tcW w:w="1285" w:type="dxa"/>
                  <w:vMerge w:val="continue"/>
                  <w:noWrap w:val="0"/>
                  <w:vAlign w:val="center"/>
                </w:tcPr>
                <w:p w14:paraId="6E81BCB7">
                  <w:pPr>
                    <w:widowControl w:val="0"/>
                    <w:spacing w:line="320" w:lineRule="exact"/>
                    <w:jc w:val="center"/>
                    <w:rPr>
                      <w:rFonts w:hint="default" w:ascii="Times New Roman" w:hAnsi="Times New Roman" w:eastAsia="宋体" w:cs="Times New Roman"/>
                      <w:color w:val="auto"/>
                      <w:kern w:val="0"/>
                      <w:sz w:val="21"/>
                      <w:szCs w:val="21"/>
                      <w:highlight w:val="none"/>
                      <w:lang w:val="en-US" w:eastAsia="zh-CN" w:bidi="ar-SA"/>
                    </w:rPr>
                  </w:pPr>
                </w:p>
              </w:tc>
            </w:tr>
          </w:tbl>
          <w:p w14:paraId="190B62E5">
            <w:pPr>
              <w:widowControl w:val="0"/>
              <w:overflowPunct w:val="0"/>
              <w:autoSpaceDE w:val="0"/>
              <w:autoSpaceDN w:val="0"/>
              <w:adjustRightInd w:val="0"/>
              <w:snapToGrid w:val="0"/>
              <w:spacing w:before="0" w:after="0" w:line="360" w:lineRule="auto"/>
              <w:ind w:right="0" w:firstLine="380" w:firstLineChars="200"/>
              <w:jc w:val="both"/>
              <w:rPr>
                <w:rFonts w:hint="default" w:ascii="Times New Roman" w:hAnsi="Times New Roman" w:eastAsia="宋体" w:cs="Times New Roman"/>
                <w:bCs/>
                <w:snapToGrid w:val="0"/>
                <w:color w:val="auto"/>
                <w:spacing w:val="-10"/>
                <w:kern w:val="2"/>
                <w:sz w:val="21"/>
                <w:szCs w:val="21"/>
                <w:highlight w:val="none"/>
                <w:lang w:val="en-US" w:eastAsia="zh-CN" w:bidi="ar-SA"/>
              </w:rPr>
            </w:pPr>
          </w:p>
        </w:tc>
      </w:tr>
    </w:tbl>
    <w:p w14:paraId="59E1E46A">
      <w:pPr>
        <w:pStyle w:val="21"/>
        <w:rPr>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0A6762B">
      <w:pPr>
        <w:widowControl w:val="0"/>
        <w:overflowPunct w:val="0"/>
        <w:autoSpaceDE w:val="0"/>
        <w:autoSpaceDN w:val="0"/>
        <w:bidi w:val="0"/>
        <w:adjustRightInd w:val="0"/>
        <w:snapToGrid w:val="0"/>
        <w:spacing w:before="0" w:after="0" w:line="560" w:lineRule="exact"/>
        <w:ind w:left="0" w:right="0" w:firstLine="0" w:firstLineChars="0"/>
        <w:jc w:val="center"/>
        <w:outlineLvl w:val="0"/>
        <w:rPr>
          <w:rFonts w:ascii="Times New Roman" w:hAnsi="Times New Roman" w:eastAsia="宋体" w:cs="宋体"/>
          <w:b/>
          <w:color w:val="auto"/>
          <w:kern w:val="44"/>
          <w:sz w:val="28"/>
          <w:szCs w:val="22"/>
          <w:lang w:val="en-US" w:eastAsia="zh-CN" w:bidi="ar-SA"/>
        </w:rPr>
      </w:pPr>
      <w:bookmarkStart w:id="95" w:name="_Toc30678"/>
      <w:bookmarkStart w:id="96" w:name="_Toc21082"/>
      <w:bookmarkStart w:id="97" w:name="_Toc1901"/>
      <w:r>
        <w:rPr>
          <w:rFonts w:ascii="Times New Roman" w:hAnsi="Times New Roman" w:eastAsia="宋体" w:cs="宋体"/>
          <w:b/>
          <w:color w:val="auto"/>
          <w:kern w:val="44"/>
          <w:sz w:val="28"/>
          <w:szCs w:val="22"/>
          <w:lang w:val="en-US" w:eastAsia="zh-CN" w:bidi="ar-SA"/>
        </w:rPr>
        <w:t>五、环境保护措施监督检查清单</w:t>
      </w:r>
      <w:bookmarkEnd w:id="95"/>
      <w:bookmarkEnd w:id="96"/>
      <w:bookmarkEnd w:id="97"/>
    </w:p>
    <w:tbl>
      <w:tblPr>
        <w:tblStyle w:val="2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667"/>
        <w:gridCol w:w="1487"/>
        <w:gridCol w:w="1335"/>
        <w:gridCol w:w="1830"/>
        <w:gridCol w:w="3140"/>
      </w:tblGrid>
      <w:tr w14:paraId="0C0DF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9" w:type="dxa"/>
            <w:gridSpan w:val="2"/>
            <w:tcBorders>
              <w:tl2br w:val="single" w:color="auto" w:sz="4" w:space="0"/>
            </w:tcBorders>
            <w:vAlign w:val="center"/>
          </w:tcPr>
          <w:p w14:paraId="577EB29E">
            <w:pPr>
              <w:widowControl w:val="0"/>
              <w:overflowPunct w:val="0"/>
              <w:autoSpaceDE w:val="0"/>
              <w:autoSpaceDN w:val="0"/>
              <w:bidi w:val="0"/>
              <w:adjustRightInd w:val="0"/>
              <w:snapToGrid w:val="0"/>
              <w:spacing w:before="0" w:after="0" w:line="400" w:lineRule="exact"/>
              <w:ind w:left="0" w:right="0" w:firstLine="0" w:firstLineChars="0"/>
              <w:jc w:val="right"/>
              <w:rPr>
                <w:rFonts w:hint="eastAsia"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内容</w:t>
            </w:r>
          </w:p>
          <w:p w14:paraId="677D33CE">
            <w:pPr>
              <w:widowControl w:val="0"/>
              <w:overflowPunct w:val="0"/>
              <w:autoSpaceDE w:val="0"/>
              <w:autoSpaceDN w:val="0"/>
              <w:bidi w:val="0"/>
              <w:adjustRightInd w:val="0"/>
              <w:snapToGrid w:val="0"/>
              <w:spacing w:before="0" w:after="0" w:line="400" w:lineRule="exact"/>
              <w:ind w:left="0" w:right="0" w:firstLine="0" w:firstLineChars="0"/>
              <w:jc w:val="left"/>
              <w:rPr>
                <w:rFonts w:hint="default"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要素</w:t>
            </w:r>
          </w:p>
        </w:tc>
        <w:tc>
          <w:tcPr>
            <w:tcW w:w="1487" w:type="dxa"/>
            <w:vAlign w:val="center"/>
          </w:tcPr>
          <w:p w14:paraId="727AD461">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ascii="Times New Roman" w:hAnsi="Times New Roman" w:eastAsia="宋体" w:cs="宋体"/>
                <w:color w:val="auto"/>
                <w:sz w:val="21"/>
                <w:szCs w:val="22"/>
                <w:lang w:val="en-US" w:eastAsia="zh-CN" w:bidi="ar-SA"/>
              </w:rPr>
              <w:t>排放口(编号、名称)/污染源</w:t>
            </w:r>
          </w:p>
        </w:tc>
        <w:tc>
          <w:tcPr>
            <w:tcW w:w="1335" w:type="dxa"/>
            <w:vAlign w:val="center"/>
          </w:tcPr>
          <w:p w14:paraId="74CEB75F">
            <w:pPr>
              <w:widowControl w:val="0"/>
              <w:overflowPunct w:val="0"/>
              <w:autoSpaceDE w:val="0"/>
              <w:autoSpaceDN w:val="0"/>
              <w:bidi w:val="0"/>
              <w:adjustRightInd w:val="0"/>
              <w:snapToGrid w:val="0"/>
              <w:spacing w:before="0" w:after="0" w:line="400" w:lineRule="exact"/>
              <w:ind w:left="0" w:right="0" w:firstLine="0" w:firstLineChars="0"/>
              <w:jc w:val="center"/>
              <w:rPr>
                <w:rFonts w:ascii="Times New Roman" w:hAnsi="Times New Roman" w:eastAsia="宋体" w:cs="宋体"/>
                <w:color w:val="auto"/>
                <w:sz w:val="21"/>
                <w:szCs w:val="22"/>
                <w:lang w:val="en-US" w:eastAsia="zh-CN" w:bidi="ar-SA"/>
              </w:rPr>
            </w:pPr>
            <w:r>
              <w:rPr>
                <w:rFonts w:ascii="Times New Roman" w:hAnsi="Times New Roman" w:eastAsia="宋体" w:cs="宋体"/>
                <w:color w:val="auto"/>
                <w:sz w:val="21"/>
                <w:szCs w:val="22"/>
                <w:lang w:val="en-US" w:eastAsia="zh-CN" w:bidi="ar-SA"/>
              </w:rPr>
              <w:t>污染物</w:t>
            </w:r>
          </w:p>
          <w:p w14:paraId="2087391B">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ascii="Times New Roman" w:hAnsi="Times New Roman" w:eastAsia="宋体" w:cs="宋体"/>
                <w:color w:val="auto"/>
                <w:sz w:val="21"/>
                <w:szCs w:val="22"/>
                <w:lang w:val="en-US" w:eastAsia="zh-CN" w:bidi="ar-SA"/>
              </w:rPr>
              <w:t>项目</w:t>
            </w:r>
          </w:p>
        </w:tc>
        <w:tc>
          <w:tcPr>
            <w:tcW w:w="1830" w:type="dxa"/>
            <w:vAlign w:val="center"/>
          </w:tcPr>
          <w:p w14:paraId="1D059CDD">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ascii="Times New Roman" w:hAnsi="Times New Roman" w:eastAsia="宋体" w:cs="宋体"/>
                <w:color w:val="auto"/>
                <w:sz w:val="21"/>
                <w:szCs w:val="22"/>
                <w:lang w:val="en-US" w:eastAsia="zh-CN" w:bidi="ar-SA"/>
              </w:rPr>
              <w:t>环境保护措施</w:t>
            </w:r>
          </w:p>
        </w:tc>
        <w:tc>
          <w:tcPr>
            <w:tcW w:w="3140" w:type="dxa"/>
            <w:vAlign w:val="center"/>
          </w:tcPr>
          <w:p w14:paraId="0EC88BC5">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ascii="Times New Roman" w:hAnsi="Times New Roman" w:eastAsia="宋体" w:cs="宋体"/>
                <w:color w:val="auto"/>
                <w:sz w:val="21"/>
                <w:szCs w:val="22"/>
                <w:lang w:val="en-US" w:eastAsia="zh-CN" w:bidi="ar-SA"/>
              </w:rPr>
              <w:t>执行标准</w:t>
            </w:r>
          </w:p>
        </w:tc>
      </w:tr>
      <w:tr w14:paraId="10D71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2" w:type="dxa"/>
            <w:vMerge w:val="restart"/>
            <w:vAlign w:val="center"/>
          </w:tcPr>
          <w:p w14:paraId="4DA19B30">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大气环境</w:t>
            </w:r>
          </w:p>
        </w:tc>
        <w:tc>
          <w:tcPr>
            <w:tcW w:w="667" w:type="dxa"/>
            <w:vMerge w:val="restart"/>
            <w:vAlign w:val="center"/>
          </w:tcPr>
          <w:p w14:paraId="09DD4FF5">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有组织</w:t>
            </w:r>
          </w:p>
        </w:tc>
        <w:tc>
          <w:tcPr>
            <w:tcW w:w="1487" w:type="dxa"/>
            <w:vAlign w:val="center"/>
          </w:tcPr>
          <w:p w14:paraId="06A7D6F6">
            <w:pPr>
              <w:widowControl w:val="0"/>
              <w:autoSpaceDE w:val="0"/>
              <w:autoSpaceDN w:val="0"/>
              <w:spacing w:line="240" w:lineRule="auto"/>
              <w:ind w:left="0" w:lef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DA001</w:t>
            </w:r>
          </w:p>
          <w:p w14:paraId="1C669BC4">
            <w:pPr>
              <w:widowControl w:val="0"/>
              <w:autoSpaceDE w:val="0"/>
              <w:autoSpaceDN w:val="0"/>
              <w:spacing w:line="240" w:lineRule="auto"/>
              <w:ind w:left="0" w:leftChars="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r>
              <w:rPr>
                <w:rFonts w:hint="eastAsia" w:cs="Times New Roman"/>
                <w:color w:val="auto"/>
                <w:kern w:val="2"/>
                <w:sz w:val="21"/>
                <w:szCs w:val="21"/>
                <w:lang w:val="en-US" w:eastAsia="zh-CN" w:bidi="ar-SA"/>
              </w:rPr>
              <w:t>发酵罐区</w:t>
            </w:r>
            <w:r>
              <w:rPr>
                <w:rFonts w:hint="eastAsia" w:ascii="Times New Roman" w:hAnsi="Times New Roman" w:eastAsia="宋体" w:cs="Times New Roman"/>
                <w:color w:val="auto"/>
                <w:kern w:val="2"/>
                <w:sz w:val="21"/>
                <w:szCs w:val="21"/>
                <w:lang w:val="en-US" w:eastAsia="zh-CN" w:bidi="ar-SA"/>
              </w:rPr>
              <w:t>排放口）</w:t>
            </w:r>
          </w:p>
        </w:tc>
        <w:tc>
          <w:tcPr>
            <w:tcW w:w="1335" w:type="dxa"/>
            <w:vAlign w:val="center"/>
          </w:tcPr>
          <w:p w14:paraId="7D6BE109">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hint="eastAsia" w:cs="宋体"/>
                <w:color w:val="auto"/>
                <w:sz w:val="21"/>
                <w:szCs w:val="22"/>
                <w:lang w:val="en-US" w:eastAsia="zh-CN" w:bidi="ar-SA"/>
              </w:rPr>
              <w:t>氨、硫化氢、臭气浓度</w:t>
            </w:r>
          </w:p>
        </w:tc>
        <w:tc>
          <w:tcPr>
            <w:tcW w:w="1830" w:type="dxa"/>
            <w:vAlign w:val="center"/>
          </w:tcPr>
          <w:p w14:paraId="078D35F1">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集气罩+生物除臭塔（滴滤法）+15m排气筒</w:t>
            </w:r>
          </w:p>
        </w:tc>
        <w:tc>
          <w:tcPr>
            <w:tcW w:w="3140" w:type="dxa"/>
            <w:vAlign w:val="center"/>
          </w:tcPr>
          <w:p w14:paraId="000CB9CA">
            <w:pPr>
              <w:widowControl w:val="0"/>
              <w:overflowPunct w:val="0"/>
              <w:autoSpaceDE w:val="0"/>
              <w:autoSpaceDN w:val="0"/>
              <w:bidi w:val="0"/>
              <w:adjustRightInd w:val="0"/>
              <w:snapToGrid w:val="0"/>
              <w:spacing w:line="320" w:lineRule="exact"/>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《恶臭污染物排放标准》（GB14554-93）表2 恶臭污染物排放标准值</w:t>
            </w:r>
          </w:p>
        </w:tc>
      </w:tr>
      <w:tr w14:paraId="7E595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2" w:type="dxa"/>
            <w:vMerge w:val="continue"/>
            <w:vAlign w:val="center"/>
          </w:tcPr>
          <w:p w14:paraId="596FA86B">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p>
        </w:tc>
        <w:tc>
          <w:tcPr>
            <w:tcW w:w="667" w:type="dxa"/>
            <w:vMerge w:val="continue"/>
            <w:vAlign w:val="center"/>
          </w:tcPr>
          <w:p w14:paraId="42908EFB">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p>
        </w:tc>
        <w:tc>
          <w:tcPr>
            <w:tcW w:w="1487" w:type="dxa"/>
            <w:vAlign w:val="center"/>
          </w:tcPr>
          <w:p w14:paraId="4B9D561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DA002</w:t>
            </w:r>
          </w:p>
          <w:p w14:paraId="53010ECE">
            <w:pPr>
              <w:widowControl w:val="0"/>
              <w:autoSpaceDE w:val="0"/>
              <w:autoSpaceDN w:val="0"/>
              <w:spacing w:line="240" w:lineRule="auto"/>
              <w:ind w:left="0" w:leftChars="0" w:firstLine="0" w:firstLineChars="0"/>
              <w:jc w:val="center"/>
              <w:rPr>
                <w:rFonts w:hint="default" w:ascii="Times New Roman" w:hAnsi="Times New Roman" w:eastAsia="宋体" w:cs="宋体"/>
                <w:color w:val="auto"/>
                <w:sz w:val="21"/>
                <w:szCs w:val="22"/>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w:t>
            </w:r>
            <w:r>
              <w:rPr>
                <w:rFonts w:hint="eastAsia" w:cs="Times New Roman"/>
                <w:i w:val="0"/>
                <w:iCs w:val="0"/>
                <w:color w:val="auto"/>
                <w:kern w:val="0"/>
                <w:sz w:val="21"/>
                <w:szCs w:val="21"/>
                <w:u w:val="none"/>
                <w:lang w:val="en-US" w:eastAsia="zh-CN" w:bidi="ar"/>
              </w:rPr>
              <w:t>生产车间</w:t>
            </w:r>
            <w:r>
              <w:rPr>
                <w:rFonts w:hint="default" w:ascii="Times New Roman" w:hAnsi="Times New Roman" w:eastAsia="宋体" w:cs="Times New Roman"/>
                <w:i w:val="0"/>
                <w:iCs w:val="0"/>
                <w:color w:val="auto"/>
                <w:kern w:val="0"/>
                <w:sz w:val="21"/>
                <w:szCs w:val="21"/>
                <w:u w:val="none"/>
                <w:lang w:val="en-US" w:eastAsia="zh-CN" w:bidi="ar"/>
              </w:rPr>
              <w:t>排放口）</w:t>
            </w:r>
          </w:p>
        </w:tc>
        <w:tc>
          <w:tcPr>
            <w:tcW w:w="1335" w:type="dxa"/>
            <w:vAlign w:val="center"/>
          </w:tcPr>
          <w:p w14:paraId="1940A3DD">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颗粒物</w:t>
            </w:r>
          </w:p>
        </w:tc>
        <w:tc>
          <w:tcPr>
            <w:tcW w:w="1830" w:type="dxa"/>
            <w:vAlign w:val="center"/>
          </w:tcPr>
          <w:p w14:paraId="66EDD3F0">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color w:val="auto"/>
                <w:sz w:val="21"/>
                <w:szCs w:val="22"/>
                <w:lang w:val="en-US" w:eastAsia="zh-CN" w:bidi="ar-SA"/>
              </w:rPr>
            </w:pPr>
            <w:r>
              <w:rPr>
                <w:rFonts w:hint="eastAsia" w:cs="宋体"/>
                <w:color w:val="auto"/>
                <w:sz w:val="21"/>
                <w:szCs w:val="22"/>
                <w:lang w:val="en-US" w:eastAsia="zh-CN" w:bidi="ar-SA"/>
              </w:rPr>
              <w:t>集气罩+</w:t>
            </w:r>
            <w:r>
              <w:rPr>
                <w:rFonts w:hint="eastAsia" w:ascii="Times New Roman" w:hAnsi="Times New Roman" w:eastAsia="宋体" w:cs="宋体"/>
                <w:color w:val="auto"/>
                <w:sz w:val="21"/>
                <w:szCs w:val="22"/>
                <w:lang w:val="en-US" w:eastAsia="zh-CN" w:bidi="ar-SA"/>
              </w:rPr>
              <w:t>袋式除尘+15m排气筒</w:t>
            </w:r>
          </w:p>
        </w:tc>
        <w:tc>
          <w:tcPr>
            <w:tcW w:w="3140" w:type="dxa"/>
            <w:vAlign w:val="center"/>
          </w:tcPr>
          <w:p w14:paraId="0FFF3BA5">
            <w:pPr>
              <w:widowControl w:val="0"/>
              <w:spacing w:line="320" w:lineRule="exact"/>
              <w:jc w:val="center"/>
              <w:rPr>
                <w:rFonts w:hint="eastAsia" w:ascii="Times New Roman" w:hAnsi="Times New Roman" w:eastAsia="宋体" w:cs="宋体"/>
                <w:color w:val="auto"/>
                <w:sz w:val="21"/>
                <w:szCs w:val="21"/>
                <w:lang w:val="zh-CN" w:eastAsia="zh-CN"/>
              </w:rPr>
            </w:pPr>
            <w:r>
              <w:rPr>
                <w:rFonts w:hint="default" w:ascii="Times New Roman" w:hAnsi="Times New Roman" w:eastAsia="宋体" w:cs="Times New Roman"/>
                <w:color w:val="auto"/>
                <w:kern w:val="0"/>
                <w:sz w:val="21"/>
                <w:szCs w:val="21"/>
                <w:highlight w:val="none"/>
                <w:lang w:val="en-US" w:eastAsia="zh-CN" w:bidi="ar-SA"/>
              </w:rPr>
              <w:t>《大气污染物综合排放标准》（GB 16297-1996）表2 新污染源大气污染物排放限值</w:t>
            </w:r>
          </w:p>
        </w:tc>
      </w:tr>
      <w:tr w14:paraId="0D545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jc w:val="center"/>
        </w:trPr>
        <w:tc>
          <w:tcPr>
            <w:tcW w:w="612" w:type="dxa"/>
            <w:vMerge w:val="continue"/>
            <w:vAlign w:val="center"/>
          </w:tcPr>
          <w:p w14:paraId="578FC3F6">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p>
        </w:tc>
        <w:tc>
          <w:tcPr>
            <w:tcW w:w="667" w:type="dxa"/>
            <w:vMerge w:val="restart"/>
            <w:vAlign w:val="center"/>
          </w:tcPr>
          <w:p w14:paraId="6BD53119">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无组织</w:t>
            </w:r>
          </w:p>
        </w:tc>
        <w:tc>
          <w:tcPr>
            <w:tcW w:w="1487" w:type="dxa"/>
            <w:vMerge w:val="restart"/>
            <w:vAlign w:val="center"/>
          </w:tcPr>
          <w:p w14:paraId="50F84421">
            <w:pPr>
              <w:widowControl w:val="0"/>
              <w:overflowPunct w:val="0"/>
              <w:autoSpaceDE w:val="0"/>
              <w:autoSpaceDN w:val="0"/>
              <w:bidi w:val="0"/>
              <w:adjustRightInd w:val="0"/>
              <w:snapToGrid w:val="0"/>
              <w:spacing w:before="0" w:after="0" w:line="400" w:lineRule="exact"/>
              <w:ind w:left="0" w:leftChars="0" w:right="0" w:rightChars="0" w:firstLine="0" w:firstLineChars="0"/>
              <w:jc w:val="center"/>
              <w:rPr>
                <w:rFonts w:hint="default" w:ascii="Times New Roman" w:hAnsi="Times New Roman" w:eastAsia="宋体" w:cs="宋体"/>
                <w:color w:val="auto"/>
                <w:sz w:val="21"/>
                <w:szCs w:val="22"/>
                <w:lang w:val="en-US" w:eastAsia="zh-CN" w:bidi="ar-SA"/>
              </w:rPr>
            </w:pPr>
            <w:r>
              <w:rPr>
                <w:rFonts w:hint="eastAsia" w:cs="宋体"/>
                <w:color w:val="auto"/>
                <w:sz w:val="21"/>
                <w:szCs w:val="22"/>
                <w:lang w:val="en-US" w:eastAsia="zh-CN" w:bidi="ar-SA"/>
              </w:rPr>
              <w:t>厂界</w:t>
            </w:r>
          </w:p>
        </w:tc>
        <w:tc>
          <w:tcPr>
            <w:tcW w:w="1335" w:type="dxa"/>
            <w:vAlign w:val="center"/>
          </w:tcPr>
          <w:p w14:paraId="3F411C5C">
            <w:pPr>
              <w:widowControl w:val="0"/>
              <w:overflowPunct w:val="0"/>
              <w:autoSpaceDE w:val="0"/>
              <w:autoSpaceDN w:val="0"/>
              <w:bidi w:val="0"/>
              <w:adjustRightInd w:val="0"/>
              <w:snapToGrid w:val="0"/>
              <w:spacing w:before="0" w:after="0" w:line="400" w:lineRule="exact"/>
              <w:ind w:left="0" w:leftChars="0" w:right="0" w:rightChars="0" w:firstLine="0" w:firstLineChars="0"/>
              <w:jc w:val="center"/>
              <w:rPr>
                <w:rFonts w:hint="default" w:ascii="Times New Roman" w:hAnsi="Times New Roman" w:eastAsia="宋体" w:cs="宋体"/>
                <w:color w:val="auto"/>
                <w:sz w:val="21"/>
                <w:szCs w:val="22"/>
                <w:lang w:val="en-US" w:eastAsia="zh-CN" w:bidi="ar-SA"/>
              </w:rPr>
            </w:pPr>
            <w:r>
              <w:rPr>
                <w:rFonts w:hint="default" w:ascii="Times New Roman" w:hAnsi="Times New Roman" w:eastAsia="宋体" w:cs="宋体"/>
                <w:color w:val="auto"/>
                <w:sz w:val="21"/>
                <w:szCs w:val="22"/>
                <w:lang w:val="en-US" w:eastAsia="zh-CN" w:bidi="ar-SA"/>
              </w:rPr>
              <w:t>颗粒物</w:t>
            </w:r>
          </w:p>
        </w:tc>
        <w:tc>
          <w:tcPr>
            <w:tcW w:w="1830" w:type="dxa"/>
            <w:vAlign w:val="center"/>
          </w:tcPr>
          <w:p w14:paraId="19102A14">
            <w:pPr>
              <w:widowControl w:val="0"/>
              <w:spacing w:line="320" w:lineRule="exact"/>
              <w:jc w:val="center"/>
              <w:rPr>
                <w:rFonts w:hint="default" w:ascii="Times New Roman" w:hAnsi="Times New Roman" w:eastAsia="宋体" w:cs="宋体"/>
                <w:color w:val="auto"/>
                <w:sz w:val="21"/>
                <w:szCs w:val="22"/>
                <w:lang w:val="en-US" w:eastAsia="zh-CN" w:bidi="ar-SA"/>
              </w:rPr>
            </w:pPr>
            <w:r>
              <w:rPr>
                <w:rFonts w:hint="default" w:ascii="Times New Roman" w:hAnsi="Times New Roman" w:eastAsia="宋体" w:cs="Times New Roman"/>
                <w:color w:val="auto"/>
                <w:kern w:val="0"/>
                <w:sz w:val="21"/>
                <w:szCs w:val="21"/>
                <w:highlight w:val="none"/>
                <w:lang w:val="en-US" w:eastAsia="zh-CN" w:bidi="ar-SA"/>
              </w:rPr>
              <w:t>加强车辆管理、湿料混合，加强封闭式作业、</w:t>
            </w:r>
            <w:r>
              <w:rPr>
                <w:rFonts w:hint="eastAsia" w:cs="Times New Roman"/>
                <w:color w:val="auto"/>
                <w:kern w:val="0"/>
                <w:sz w:val="21"/>
                <w:szCs w:val="21"/>
                <w:highlight w:val="none"/>
                <w:lang w:val="en-US" w:eastAsia="zh-CN" w:bidi="ar-SA"/>
              </w:rPr>
              <w:t>封闭式成品仓库</w:t>
            </w:r>
          </w:p>
        </w:tc>
        <w:tc>
          <w:tcPr>
            <w:tcW w:w="3140" w:type="dxa"/>
            <w:vAlign w:val="center"/>
          </w:tcPr>
          <w:p w14:paraId="19218CED">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hint="default" w:ascii="Times New Roman" w:hAnsi="Times New Roman" w:eastAsia="宋体" w:cs="Times New Roman"/>
                <w:color w:val="auto"/>
                <w:kern w:val="2"/>
                <w:sz w:val="21"/>
                <w:szCs w:val="21"/>
                <w:lang w:val="en-US" w:eastAsia="zh-CN" w:bidi="ar-SA"/>
              </w:rPr>
              <w:t>《大气污染物综合排放标准》（GB 16297-1996）表2 新污染源大气污染物排放限值</w:t>
            </w:r>
          </w:p>
        </w:tc>
      </w:tr>
      <w:tr w14:paraId="382E0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612" w:type="dxa"/>
            <w:vMerge w:val="continue"/>
            <w:vAlign w:val="center"/>
          </w:tcPr>
          <w:p w14:paraId="2D77A996">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color w:val="auto"/>
                <w:sz w:val="21"/>
                <w:szCs w:val="22"/>
                <w:lang w:val="en-US" w:eastAsia="zh-CN" w:bidi="ar-SA"/>
              </w:rPr>
            </w:pPr>
          </w:p>
        </w:tc>
        <w:tc>
          <w:tcPr>
            <w:tcW w:w="667" w:type="dxa"/>
            <w:vMerge w:val="continue"/>
            <w:vAlign w:val="center"/>
          </w:tcPr>
          <w:p w14:paraId="0F70324A">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color w:val="auto"/>
                <w:sz w:val="21"/>
                <w:szCs w:val="22"/>
                <w:lang w:val="en-US" w:eastAsia="zh-CN" w:bidi="ar-SA"/>
              </w:rPr>
            </w:pPr>
          </w:p>
        </w:tc>
        <w:tc>
          <w:tcPr>
            <w:tcW w:w="1487" w:type="dxa"/>
            <w:vMerge w:val="continue"/>
            <w:vAlign w:val="center"/>
          </w:tcPr>
          <w:p w14:paraId="3238AE12">
            <w:pPr>
              <w:widowControl w:val="0"/>
              <w:overflowPunct w:val="0"/>
              <w:autoSpaceDE w:val="0"/>
              <w:autoSpaceDN w:val="0"/>
              <w:bidi w:val="0"/>
              <w:adjustRightInd w:val="0"/>
              <w:snapToGrid w:val="0"/>
              <w:spacing w:before="0" w:after="0" w:line="400" w:lineRule="exact"/>
              <w:ind w:left="0" w:leftChars="0" w:right="0" w:rightChars="0" w:firstLine="0" w:firstLineChars="0"/>
              <w:jc w:val="center"/>
              <w:rPr>
                <w:rFonts w:hint="default" w:ascii="Times New Roman" w:hAnsi="Times New Roman" w:eastAsia="宋体" w:cs="宋体"/>
                <w:color w:val="auto"/>
                <w:sz w:val="21"/>
                <w:szCs w:val="22"/>
                <w:lang w:val="en-US" w:eastAsia="zh-CN" w:bidi="ar-SA"/>
              </w:rPr>
            </w:pPr>
          </w:p>
        </w:tc>
        <w:tc>
          <w:tcPr>
            <w:tcW w:w="1335" w:type="dxa"/>
            <w:vAlign w:val="center"/>
          </w:tcPr>
          <w:p w14:paraId="0FD47546">
            <w:pPr>
              <w:widowControl w:val="0"/>
              <w:overflowPunct w:val="0"/>
              <w:autoSpaceDE w:val="0"/>
              <w:autoSpaceDN w:val="0"/>
              <w:bidi w:val="0"/>
              <w:adjustRightInd w:val="0"/>
              <w:snapToGrid w:val="0"/>
              <w:spacing w:before="0" w:after="0" w:line="400" w:lineRule="exact"/>
              <w:ind w:left="0" w:leftChars="0" w:right="0" w:rightChars="0" w:firstLine="0" w:firstLineChars="0"/>
              <w:jc w:val="center"/>
              <w:rPr>
                <w:rFonts w:hint="eastAsia" w:ascii="Times New Roman" w:hAnsi="Times New Roman" w:eastAsia="宋体" w:cs="宋体"/>
                <w:color w:val="auto"/>
                <w:sz w:val="21"/>
                <w:szCs w:val="22"/>
                <w:lang w:val="en-US" w:eastAsia="zh-CN" w:bidi="ar-SA"/>
              </w:rPr>
            </w:pPr>
            <w:r>
              <w:rPr>
                <w:rFonts w:hint="eastAsia" w:cs="宋体"/>
                <w:color w:val="auto"/>
                <w:sz w:val="21"/>
                <w:szCs w:val="22"/>
                <w:lang w:val="en-US" w:eastAsia="zh-CN" w:bidi="ar-SA"/>
              </w:rPr>
              <w:t>氨</w:t>
            </w:r>
          </w:p>
        </w:tc>
        <w:tc>
          <w:tcPr>
            <w:tcW w:w="1830" w:type="dxa"/>
            <w:vMerge w:val="restart"/>
            <w:vAlign w:val="center"/>
          </w:tcPr>
          <w:p w14:paraId="4B448834">
            <w:pPr>
              <w:widowControl w:val="0"/>
              <w:spacing w:line="320" w:lineRule="exact"/>
              <w:jc w:val="center"/>
              <w:rPr>
                <w:rFonts w:hint="default" w:ascii="Times New Roman" w:hAnsi="Times New Roman" w:eastAsia="宋体" w:cs="宋体"/>
                <w:color w:val="auto"/>
                <w:sz w:val="21"/>
                <w:szCs w:val="22"/>
                <w:lang w:val="en-US" w:eastAsia="zh-CN" w:bidi="ar-SA"/>
              </w:rPr>
            </w:pPr>
            <w:r>
              <w:rPr>
                <w:rFonts w:hint="default" w:ascii="Times New Roman" w:hAnsi="Times New Roman" w:eastAsia="宋体" w:cs="Times New Roman"/>
                <w:color w:val="auto"/>
                <w:kern w:val="0"/>
                <w:sz w:val="21"/>
                <w:szCs w:val="21"/>
                <w:highlight w:val="none"/>
                <w:lang w:val="en-US" w:eastAsia="zh-CN" w:bidi="ar-SA"/>
              </w:rPr>
              <w:t>加强封闭式作业、</w:t>
            </w:r>
            <w:r>
              <w:rPr>
                <w:rFonts w:hint="eastAsia" w:cs="Times New Roman"/>
                <w:color w:val="auto"/>
                <w:kern w:val="0"/>
                <w:sz w:val="21"/>
                <w:szCs w:val="21"/>
                <w:highlight w:val="none"/>
                <w:lang w:val="en-US" w:eastAsia="zh-CN" w:bidi="ar-SA"/>
              </w:rPr>
              <w:t>喷洒除臭剂</w:t>
            </w:r>
          </w:p>
        </w:tc>
        <w:tc>
          <w:tcPr>
            <w:tcW w:w="3140" w:type="dxa"/>
            <w:vMerge w:val="restart"/>
            <w:vAlign w:val="center"/>
          </w:tcPr>
          <w:p w14:paraId="60DA43A6">
            <w:pPr>
              <w:overflowPunct w:val="0"/>
              <w:autoSpaceDE w:val="0"/>
              <w:autoSpaceDN w:val="0"/>
              <w:bidi w:val="0"/>
              <w:adjustRightInd w:val="0"/>
              <w:snapToGrid w:val="0"/>
              <w:spacing w:before="0" w:after="0" w:line="500" w:lineRule="exact"/>
              <w:ind w:left="0" w:leftChars="0" w:right="0" w:firstLine="0" w:firstLineChars="0"/>
              <w:jc w:val="center"/>
              <w:rPr>
                <w:rFonts w:hint="eastAsia" w:ascii="Times New Roman" w:hAnsi="Times New Roman" w:eastAsia="宋体" w:cs="宋体"/>
                <w:color w:val="auto"/>
                <w:sz w:val="21"/>
                <w:szCs w:val="21"/>
                <w:lang w:val="zh-CN" w:eastAsia="zh-CN"/>
              </w:rPr>
            </w:pPr>
            <w:r>
              <w:rPr>
                <w:rFonts w:hint="eastAsia" w:ascii="Times New Roman" w:hAnsi="Times New Roman" w:eastAsia="宋体" w:cs="Times New Roman"/>
                <w:color w:val="auto"/>
                <w:kern w:val="2"/>
                <w:sz w:val="21"/>
                <w:szCs w:val="21"/>
                <w:lang w:val="en-US" w:eastAsia="zh-CN" w:bidi="ar-SA"/>
              </w:rPr>
              <w:t>《恶臭污染物排放标准》（GB14554-93）表1 恶臭污染物厂界标准值中二级标准限值</w:t>
            </w:r>
          </w:p>
        </w:tc>
      </w:tr>
      <w:tr w14:paraId="453E4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2" w:type="dxa"/>
            <w:vMerge w:val="continue"/>
            <w:vAlign w:val="center"/>
          </w:tcPr>
          <w:p w14:paraId="7321901C">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color w:val="auto"/>
                <w:sz w:val="21"/>
                <w:szCs w:val="22"/>
                <w:lang w:val="en-US" w:eastAsia="zh-CN" w:bidi="ar-SA"/>
              </w:rPr>
            </w:pPr>
          </w:p>
        </w:tc>
        <w:tc>
          <w:tcPr>
            <w:tcW w:w="667" w:type="dxa"/>
            <w:vMerge w:val="continue"/>
            <w:vAlign w:val="center"/>
          </w:tcPr>
          <w:p w14:paraId="22DEEC2A">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color w:val="auto"/>
                <w:sz w:val="21"/>
                <w:szCs w:val="22"/>
                <w:lang w:val="en-US" w:eastAsia="zh-CN" w:bidi="ar-SA"/>
              </w:rPr>
            </w:pPr>
          </w:p>
        </w:tc>
        <w:tc>
          <w:tcPr>
            <w:tcW w:w="1487" w:type="dxa"/>
            <w:vMerge w:val="continue"/>
            <w:vAlign w:val="center"/>
          </w:tcPr>
          <w:p w14:paraId="3252780D">
            <w:pPr>
              <w:widowControl w:val="0"/>
              <w:overflowPunct w:val="0"/>
              <w:autoSpaceDE w:val="0"/>
              <w:autoSpaceDN w:val="0"/>
              <w:bidi w:val="0"/>
              <w:adjustRightInd w:val="0"/>
              <w:snapToGrid w:val="0"/>
              <w:spacing w:before="0" w:after="0" w:line="400" w:lineRule="exact"/>
              <w:ind w:left="0" w:leftChars="0" w:right="0" w:rightChars="0" w:firstLine="0" w:firstLineChars="0"/>
              <w:jc w:val="center"/>
              <w:rPr>
                <w:rFonts w:hint="default" w:ascii="Times New Roman" w:hAnsi="Times New Roman" w:eastAsia="宋体" w:cs="宋体"/>
                <w:color w:val="auto"/>
                <w:sz w:val="21"/>
                <w:szCs w:val="22"/>
                <w:lang w:val="en-US" w:eastAsia="zh-CN" w:bidi="ar-SA"/>
              </w:rPr>
            </w:pPr>
          </w:p>
        </w:tc>
        <w:tc>
          <w:tcPr>
            <w:tcW w:w="1335" w:type="dxa"/>
            <w:vAlign w:val="center"/>
          </w:tcPr>
          <w:p w14:paraId="1AEEE2F7">
            <w:pPr>
              <w:widowControl w:val="0"/>
              <w:overflowPunct w:val="0"/>
              <w:autoSpaceDE w:val="0"/>
              <w:autoSpaceDN w:val="0"/>
              <w:bidi w:val="0"/>
              <w:adjustRightInd w:val="0"/>
              <w:snapToGrid w:val="0"/>
              <w:spacing w:before="0" w:after="0" w:line="400" w:lineRule="exact"/>
              <w:ind w:left="0" w:leftChars="0" w:right="0" w:rightChars="0" w:firstLine="0" w:firstLineChars="0"/>
              <w:jc w:val="center"/>
              <w:rPr>
                <w:rFonts w:hint="eastAsia" w:ascii="Times New Roman" w:hAnsi="Times New Roman" w:eastAsia="宋体" w:cs="宋体"/>
                <w:color w:val="auto"/>
                <w:sz w:val="21"/>
                <w:szCs w:val="22"/>
                <w:lang w:val="en-US" w:eastAsia="zh-CN" w:bidi="ar-SA"/>
              </w:rPr>
            </w:pPr>
            <w:r>
              <w:rPr>
                <w:rFonts w:hint="eastAsia" w:cs="宋体"/>
                <w:color w:val="auto"/>
                <w:sz w:val="21"/>
                <w:szCs w:val="22"/>
                <w:lang w:val="en-US" w:eastAsia="zh-CN" w:bidi="ar-SA"/>
              </w:rPr>
              <w:t>硫化氢</w:t>
            </w:r>
          </w:p>
        </w:tc>
        <w:tc>
          <w:tcPr>
            <w:tcW w:w="1830" w:type="dxa"/>
            <w:vMerge w:val="continue"/>
            <w:vAlign w:val="center"/>
          </w:tcPr>
          <w:p w14:paraId="4F373F02">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color w:val="auto"/>
                <w:sz w:val="21"/>
                <w:szCs w:val="22"/>
                <w:lang w:val="en-US" w:eastAsia="zh-CN" w:bidi="ar-SA"/>
              </w:rPr>
            </w:pPr>
          </w:p>
        </w:tc>
        <w:tc>
          <w:tcPr>
            <w:tcW w:w="3140" w:type="dxa"/>
            <w:vMerge w:val="continue"/>
            <w:vAlign w:val="center"/>
          </w:tcPr>
          <w:p w14:paraId="55EC58C7">
            <w:pPr>
              <w:overflowPunct w:val="0"/>
              <w:autoSpaceDE w:val="0"/>
              <w:autoSpaceDN w:val="0"/>
              <w:bidi w:val="0"/>
              <w:adjustRightInd w:val="0"/>
              <w:snapToGrid w:val="0"/>
              <w:spacing w:before="0" w:after="0" w:line="500" w:lineRule="exact"/>
              <w:ind w:left="0" w:leftChars="0" w:right="0" w:firstLine="0" w:firstLineChars="0"/>
              <w:jc w:val="center"/>
              <w:rPr>
                <w:rFonts w:hint="eastAsia" w:ascii="Times New Roman" w:hAnsi="Times New Roman" w:eastAsia="宋体" w:cs="宋体"/>
                <w:color w:val="auto"/>
                <w:sz w:val="21"/>
                <w:szCs w:val="21"/>
                <w:lang w:val="zh-CN" w:eastAsia="zh-CN"/>
              </w:rPr>
            </w:pPr>
          </w:p>
        </w:tc>
      </w:tr>
      <w:tr w14:paraId="1F4B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2" w:type="dxa"/>
            <w:vMerge w:val="continue"/>
            <w:vAlign w:val="center"/>
          </w:tcPr>
          <w:p w14:paraId="66E71C67">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color w:val="auto"/>
                <w:sz w:val="21"/>
                <w:szCs w:val="22"/>
                <w:lang w:val="en-US" w:eastAsia="zh-CN" w:bidi="ar-SA"/>
              </w:rPr>
            </w:pPr>
          </w:p>
        </w:tc>
        <w:tc>
          <w:tcPr>
            <w:tcW w:w="667" w:type="dxa"/>
            <w:vMerge w:val="continue"/>
            <w:vAlign w:val="center"/>
          </w:tcPr>
          <w:p w14:paraId="1B6C3F17">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color w:val="auto"/>
                <w:sz w:val="21"/>
                <w:szCs w:val="22"/>
                <w:lang w:val="en-US" w:eastAsia="zh-CN" w:bidi="ar-SA"/>
              </w:rPr>
            </w:pPr>
          </w:p>
        </w:tc>
        <w:tc>
          <w:tcPr>
            <w:tcW w:w="1487" w:type="dxa"/>
            <w:vMerge w:val="continue"/>
            <w:vAlign w:val="center"/>
          </w:tcPr>
          <w:p w14:paraId="6CDB09B9">
            <w:pPr>
              <w:widowControl w:val="0"/>
              <w:overflowPunct w:val="0"/>
              <w:autoSpaceDE w:val="0"/>
              <w:autoSpaceDN w:val="0"/>
              <w:bidi w:val="0"/>
              <w:adjustRightInd w:val="0"/>
              <w:snapToGrid w:val="0"/>
              <w:spacing w:before="0" w:after="0" w:line="400" w:lineRule="exact"/>
              <w:ind w:left="0" w:leftChars="0" w:right="0" w:rightChars="0" w:firstLine="0" w:firstLineChars="0"/>
              <w:jc w:val="center"/>
              <w:rPr>
                <w:rFonts w:hint="eastAsia" w:cs="宋体"/>
                <w:color w:val="auto"/>
                <w:sz w:val="21"/>
                <w:szCs w:val="22"/>
                <w:lang w:val="en-US" w:eastAsia="zh-CN" w:bidi="ar-SA"/>
              </w:rPr>
            </w:pPr>
          </w:p>
        </w:tc>
        <w:tc>
          <w:tcPr>
            <w:tcW w:w="1335" w:type="dxa"/>
            <w:vAlign w:val="center"/>
          </w:tcPr>
          <w:p w14:paraId="65B6FFC2">
            <w:pPr>
              <w:widowControl w:val="0"/>
              <w:overflowPunct w:val="0"/>
              <w:autoSpaceDE w:val="0"/>
              <w:autoSpaceDN w:val="0"/>
              <w:bidi w:val="0"/>
              <w:adjustRightInd w:val="0"/>
              <w:snapToGrid w:val="0"/>
              <w:spacing w:before="0" w:after="0" w:line="400" w:lineRule="exact"/>
              <w:ind w:left="0" w:leftChars="0" w:right="0" w:rightChars="0" w:firstLine="0" w:firstLineChars="0"/>
              <w:jc w:val="center"/>
              <w:rPr>
                <w:rFonts w:hint="default" w:cs="宋体"/>
                <w:color w:val="auto"/>
                <w:sz w:val="21"/>
                <w:szCs w:val="22"/>
                <w:lang w:val="en-US" w:eastAsia="zh-CN" w:bidi="ar-SA"/>
              </w:rPr>
            </w:pPr>
            <w:r>
              <w:rPr>
                <w:rFonts w:hint="eastAsia" w:cs="宋体"/>
                <w:color w:val="auto"/>
                <w:sz w:val="21"/>
                <w:szCs w:val="22"/>
                <w:lang w:val="en-US" w:eastAsia="zh-CN" w:bidi="ar-SA"/>
              </w:rPr>
              <w:t>臭气浓度</w:t>
            </w:r>
          </w:p>
        </w:tc>
        <w:tc>
          <w:tcPr>
            <w:tcW w:w="1830" w:type="dxa"/>
            <w:vMerge w:val="continue"/>
            <w:vAlign w:val="center"/>
          </w:tcPr>
          <w:p w14:paraId="3A9F43F0">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color w:val="auto"/>
                <w:sz w:val="21"/>
                <w:szCs w:val="22"/>
                <w:lang w:val="en-US" w:eastAsia="zh-CN" w:bidi="ar-SA"/>
              </w:rPr>
            </w:pPr>
          </w:p>
        </w:tc>
        <w:tc>
          <w:tcPr>
            <w:tcW w:w="3140" w:type="dxa"/>
            <w:vMerge w:val="continue"/>
            <w:vAlign w:val="center"/>
          </w:tcPr>
          <w:p w14:paraId="2966859C">
            <w:pPr>
              <w:overflowPunct w:val="0"/>
              <w:autoSpaceDE w:val="0"/>
              <w:autoSpaceDN w:val="0"/>
              <w:bidi w:val="0"/>
              <w:adjustRightInd w:val="0"/>
              <w:snapToGrid w:val="0"/>
              <w:spacing w:before="0" w:after="0" w:line="500" w:lineRule="exact"/>
              <w:ind w:left="0" w:leftChars="0" w:right="0" w:firstLine="0" w:firstLineChars="0"/>
              <w:jc w:val="center"/>
              <w:rPr>
                <w:rFonts w:hint="eastAsia" w:ascii="Times New Roman" w:hAnsi="Times New Roman" w:eastAsia="宋体" w:cs="宋体"/>
                <w:color w:val="auto"/>
                <w:sz w:val="21"/>
                <w:szCs w:val="21"/>
                <w:lang w:val="zh-CN" w:eastAsia="zh-CN"/>
              </w:rPr>
            </w:pPr>
          </w:p>
        </w:tc>
      </w:tr>
      <w:tr w14:paraId="0F2D7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9" w:type="dxa"/>
            <w:gridSpan w:val="2"/>
            <w:vAlign w:val="center"/>
          </w:tcPr>
          <w:p w14:paraId="490CA05C">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水环境</w:t>
            </w:r>
          </w:p>
        </w:tc>
        <w:tc>
          <w:tcPr>
            <w:tcW w:w="1487" w:type="dxa"/>
            <w:vAlign w:val="center"/>
          </w:tcPr>
          <w:p w14:paraId="7AFE190A">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hint="eastAsia" w:cs="宋体"/>
                <w:color w:val="auto"/>
                <w:sz w:val="21"/>
                <w:szCs w:val="22"/>
                <w:lang w:val="en-US" w:eastAsia="zh-CN" w:bidi="ar-SA"/>
              </w:rPr>
              <w:t>/</w:t>
            </w:r>
          </w:p>
        </w:tc>
        <w:tc>
          <w:tcPr>
            <w:tcW w:w="1335" w:type="dxa"/>
            <w:vAlign w:val="center"/>
          </w:tcPr>
          <w:p w14:paraId="713064EB">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hint="eastAsia" w:cs="宋体"/>
                <w:color w:val="auto"/>
                <w:sz w:val="21"/>
                <w:szCs w:val="22"/>
                <w:lang w:val="en-US" w:eastAsia="zh-CN" w:bidi="ar-SA"/>
              </w:rPr>
              <w:t>/</w:t>
            </w:r>
          </w:p>
        </w:tc>
        <w:tc>
          <w:tcPr>
            <w:tcW w:w="1830" w:type="dxa"/>
            <w:vAlign w:val="center"/>
          </w:tcPr>
          <w:p w14:paraId="6EFA6966">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hint="eastAsia" w:cs="宋体"/>
                <w:color w:val="auto"/>
                <w:sz w:val="21"/>
                <w:szCs w:val="22"/>
                <w:highlight w:val="none"/>
                <w:lang w:val="en-US" w:eastAsia="zh-CN" w:bidi="ar-SA"/>
              </w:rPr>
              <w:t>/</w:t>
            </w:r>
          </w:p>
        </w:tc>
        <w:tc>
          <w:tcPr>
            <w:tcW w:w="3140" w:type="dxa"/>
            <w:vAlign w:val="center"/>
          </w:tcPr>
          <w:p w14:paraId="49E5987F">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hint="eastAsia" w:cs="宋体"/>
                <w:color w:val="auto"/>
                <w:sz w:val="21"/>
                <w:szCs w:val="22"/>
                <w:lang w:val="en-US" w:eastAsia="zh-CN" w:bidi="ar-SA"/>
              </w:rPr>
              <w:t>/</w:t>
            </w:r>
          </w:p>
        </w:tc>
      </w:tr>
      <w:tr w14:paraId="66FCC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1279" w:type="dxa"/>
            <w:gridSpan w:val="2"/>
            <w:vMerge w:val="restart"/>
            <w:vAlign w:val="center"/>
          </w:tcPr>
          <w:p w14:paraId="2868055E">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固废</w:t>
            </w:r>
          </w:p>
        </w:tc>
        <w:tc>
          <w:tcPr>
            <w:tcW w:w="1487" w:type="dxa"/>
            <w:vAlign w:val="center"/>
          </w:tcPr>
          <w:p w14:paraId="3401AD05">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员工生活</w:t>
            </w:r>
          </w:p>
        </w:tc>
        <w:tc>
          <w:tcPr>
            <w:tcW w:w="1335" w:type="dxa"/>
            <w:vAlign w:val="center"/>
          </w:tcPr>
          <w:p w14:paraId="1731CB22">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生活垃圾</w:t>
            </w:r>
          </w:p>
        </w:tc>
        <w:tc>
          <w:tcPr>
            <w:tcW w:w="1830" w:type="dxa"/>
            <w:vAlign w:val="center"/>
          </w:tcPr>
          <w:p w14:paraId="0FFAC9BA">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hint="eastAsia" w:cs="宋体"/>
                <w:color w:val="auto"/>
                <w:sz w:val="21"/>
                <w:szCs w:val="22"/>
                <w:lang w:val="en-US" w:eastAsia="zh-CN" w:bidi="ar-SA"/>
              </w:rPr>
              <w:t>由环卫部门定期清运</w:t>
            </w:r>
          </w:p>
        </w:tc>
        <w:tc>
          <w:tcPr>
            <w:tcW w:w="3140" w:type="dxa"/>
            <w:vAlign w:val="center"/>
          </w:tcPr>
          <w:p w14:paraId="718425BC">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hint="eastAsia" w:cs="宋体"/>
                <w:color w:val="auto"/>
                <w:sz w:val="21"/>
                <w:szCs w:val="22"/>
                <w:lang w:val="en-US" w:eastAsia="zh-CN" w:bidi="ar-SA"/>
              </w:rPr>
              <w:t>/</w:t>
            </w:r>
          </w:p>
        </w:tc>
      </w:tr>
      <w:tr w14:paraId="62992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1279" w:type="dxa"/>
            <w:gridSpan w:val="2"/>
            <w:vMerge w:val="continue"/>
            <w:vAlign w:val="center"/>
          </w:tcPr>
          <w:p w14:paraId="2BFA8DB9">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p>
        </w:tc>
        <w:tc>
          <w:tcPr>
            <w:tcW w:w="1487" w:type="dxa"/>
            <w:vAlign w:val="center"/>
          </w:tcPr>
          <w:p w14:paraId="538733B3">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宋体"/>
                <w:color w:val="auto"/>
                <w:sz w:val="21"/>
                <w:szCs w:val="22"/>
                <w:lang w:val="en-US" w:eastAsia="zh-CN" w:bidi="ar-SA"/>
              </w:rPr>
            </w:pPr>
            <w:r>
              <w:rPr>
                <w:rFonts w:hint="eastAsia" w:ascii="Times New Roman" w:hAnsi="Times New Roman" w:eastAsia="宋体" w:cs="Times New Roman"/>
                <w:color w:val="auto"/>
                <w:kern w:val="0"/>
                <w:sz w:val="21"/>
                <w:szCs w:val="21"/>
                <w:highlight w:val="none"/>
                <w:lang w:val="en-US" w:eastAsia="zh-CN" w:bidi="ar"/>
              </w:rPr>
              <w:t>废气治理</w:t>
            </w:r>
          </w:p>
        </w:tc>
        <w:tc>
          <w:tcPr>
            <w:tcW w:w="1335" w:type="dxa"/>
            <w:vAlign w:val="center"/>
          </w:tcPr>
          <w:p w14:paraId="6F63150E">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宋体"/>
                <w:color w:val="auto"/>
                <w:sz w:val="21"/>
                <w:szCs w:val="22"/>
                <w:lang w:val="en-US" w:eastAsia="zh-CN" w:bidi="ar-SA"/>
              </w:rPr>
            </w:pPr>
            <w:r>
              <w:rPr>
                <w:rFonts w:hint="eastAsia" w:ascii="Times New Roman" w:hAnsi="Times New Roman" w:eastAsia="宋体" w:cs="Times New Roman"/>
                <w:color w:val="auto"/>
                <w:kern w:val="0"/>
                <w:sz w:val="21"/>
                <w:szCs w:val="21"/>
                <w:highlight w:val="none"/>
                <w:lang w:val="en-US" w:eastAsia="zh-CN" w:bidi="ar"/>
              </w:rPr>
              <w:t>除尘灰</w:t>
            </w:r>
          </w:p>
        </w:tc>
        <w:tc>
          <w:tcPr>
            <w:tcW w:w="1830" w:type="dxa"/>
            <w:vAlign w:val="center"/>
          </w:tcPr>
          <w:p w14:paraId="050AEB88">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回用于生产</w:t>
            </w:r>
          </w:p>
        </w:tc>
        <w:tc>
          <w:tcPr>
            <w:tcW w:w="3140" w:type="dxa"/>
            <w:vMerge w:val="restart"/>
            <w:vAlign w:val="center"/>
          </w:tcPr>
          <w:p w14:paraId="0264099D">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hint="default" w:ascii="Times New Roman" w:hAnsi="Times New Roman" w:eastAsia="宋体" w:cs="宋体"/>
                <w:color w:val="auto"/>
                <w:sz w:val="21"/>
                <w:szCs w:val="22"/>
                <w:lang w:val="en-US" w:eastAsia="zh-CN" w:bidi="ar-SA"/>
              </w:rPr>
              <w:t>《一般工业固体废物贮存和填埋场污染控制标准》（GB18599-2020）</w:t>
            </w:r>
          </w:p>
        </w:tc>
      </w:tr>
      <w:tr w14:paraId="3422E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9" w:type="dxa"/>
            <w:gridSpan w:val="2"/>
            <w:vMerge w:val="continue"/>
            <w:vAlign w:val="center"/>
          </w:tcPr>
          <w:p w14:paraId="1C3E8CDE">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color w:val="auto"/>
                <w:sz w:val="21"/>
                <w:szCs w:val="22"/>
                <w:lang w:val="en-US" w:eastAsia="zh-CN" w:bidi="ar-SA"/>
              </w:rPr>
            </w:pPr>
          </w:p>
        </w:tc>
        <w:tc>
          <w:tcPr>
            <w:tcW w:w="1487" w:type="dxa"/>
            <w:vAlign w:val="center"/>
          </w:tcPr>
          <w:p w14:paraId="4F088924">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宋体"/>
                <w:color w:val="auto"/>
                <w:sz w:val="21"/>
                <w:szCs w:val="22"/>
                <w:lang w:val="en-US" w:eastAsia="zh-CN" w:bidi="ar-SA"/>
              </w:rPr>
            </w:pPr>
            <w:r>
              <w:rPr>
                <w:rFonts w:hint="eastAsia" w:cs="Times New Roman"/>
                <w:color w:val="auto"/>
                <w:kern w:val="0"/>
                <w:sz w:val="21"/>
                <w:szCs w:val="21"/>
                <w:highlight w:val="none"/>
                <w:lang w:val="en-US" w:eastAsia="zh-CN" w:bidi="ar"/>
              </w:rPr>
              <w:t>投料生产</w:t>
            </w:r>
          </w:p>
        </w:tc>
        <w:tc>
          <w:tcPr>
            <w:tcW w:w="1335" w:type="dxa"/>
            <w:vAlign w:val="center"/>
          </w:tcPr>
          <w:p w14:paraId="30773D0A">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宋体"/>
                <w:color w:val="auto"/>
                <w:sz w:val="21"/>
                <w:szCs w:val="22"/>
                <w:lang w:val="en-US" w:eastAsia="zh-CN" w:bidi="ar-SA"/>
              </w:rPr>
            </w:pPr>
            <w:r>
              <w:rPr>
                <w:rFonts w:hint="eastAsia" w:ascii="Times New Roman" w:hAnsi="Times New Roman" w:eastAsia="宋体" w:cs="Times New Roman"/>
                <w:color w:val="auto"/>
                <w:kern w:val="0"/>
                <w:sz w:val="21"/>
                <w:szCs w:val="21"/>
                <w:highlight w:val="none"/>
                <w:lang w:val="en-US" w:eastAsia="zh-CN" w:bidi="ar"/>
              </w:rPr>
              <w:t>废包装袋</w:t>
            </w:r>
          </w:p>
        </w:tc>
        <w:tc>
          <w:tcPr>
            <w:tcW w:w="1830" w:type="dxa"/>
            <w:vAlign w:val="center"/>
          </w:tcPr>
          <w:p w14:paraId="3E57D5B6">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外售综合利用</w:t>
            </w:r>
          </w:p>
        </w:tc>
        <w:tc>
          <w:tcPr>
            <w:tcW w:w="3140" w:type="dxa"/>
            <w:vMerge w:val="continue"/>
            <w:vAlign w:val="center"/>
          </w:tcPr>
          <w:p w14:paraId="271821D9">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p>
        </w:tc>
      </w:tr>
      <w:tr w14:paraId="4D13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9" w:type="dxa"/>
            <w:gridSpan w:val="2"/>
            <w:vMerge w:val="continue"/>
            <w:vAlign w:val="center"/>
          </w:tcPr>
          <w:p w14:paraId="5915C4D6">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color w:val="auto"/>
                <w:sz w:val="21"/>
                <w:szCs w:val="22"/>
                <w:lang w:val="en-US" w:eastAsia="zh-CN" w:bidi="ar-SA"/>
              </w:rPr>
            </w:pPr>
          </w:p>
        </w:tc>
        <w:tc>
          <w:tcPr>
            <w:tcW w:w="1487" w:type="dxa"/>
            <w:vAlign w:val="center"/>
          </w:tcPr>
          <w:p w14:paraId="75FDA166">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宋体"/>
                <w:color w:val="auto"/>
                <w:sz w:val="21"/>
                <w:szCs w:val="22"/>
                <w:lang w:val="en-US" w:eastAsia="zh-CN" w:bidi="ar-SA"/>
              </w:rPr>
            </w:pPr>
            <w:r>
              <w:rPr>
                <w:rFonts w:hint="eastAsia" w:cs="Times New Roman"/>
                <w:color w:val="auto"/>
                <w:kern w:val="0"/>
                <w:sz w:val="21"/>
                <w:szCs w:val="21"/>
                <w:highlight w:val="none"/>
                <w:lang w:val="en-US" w:eastAsia="zh-CN" w:bidi="ar"/>
              </w:rPr>
              <w:t>筛分</w:t>
            </w:r>
          </w:p>
        </w:tc>
        <w:tc>
          <w:tcPr>
            <w:tcW w:w="1335" w:type="dxa"/>
            <w:vAlign w:val="center"/>
          </w:tcPr>
          <w:p w14:paraId="752542A7">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宋体"/>
                <w:color w:val="auto"/>
                <w:sz w:val="21"/>
                <w:szCs w:val="22"/>
                <w:lang w:val="en-US" w:eastAsia="zh-CN" w:bidi="ar-SA"/>
              </w:rPr>
            </w:pPr>
            <w:r>
              <w:rPr>
                <w:rFonts w:hint="eastAsia" w:cs="Times New Roman"/>
                <w:color w:val="auto"/>
                <w:kern w:val="0"/>
                <w:sz w:val="21"/>
                <w:szCs w:val="21"/>
                <w:highlight w:val="none"/>
                <w:lang w:val="en-US" w:eastAsia="zh-CN" w:bidi="ar"/>
              </w:rPr>
              <w:t>不合格品</w:t>
            </w:r>
          </w:p>
        </w:tc>
        <w:tc>
          <w:tcPr>
            <w:tcW w:w="1830" w:type="dxa"/>
            <w:vAlign w:val="center"/>
          </w:tcPr>
          <w:p w14:paraId="105113D9">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回用于生产</w:t>
            </w:r>
          </w:p>
        </w:tc>
        <w:tc>
          <w:tcPr>
            <w:tcW w:w="3140" w:type="dxa"/>
            <w:vMerge w:val="continue"/>
            <w:vAlign w:val="center"/>
          </w:tcPr>
          <w:p w14:paraId="55E94F65">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p>
        </w:tc>
      </w:tr>
      <w:tr w14:paraId="5AF43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9" w:type="dxa"/>
            <w:gridSpan w:val="2"/>
            <w:vMerge w:val="continue"/>
            <w:vAlign w:val="center"/>
          </w:tcPr>
          <w:p w14:paraId="4E035EFE">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color w:val="auto"/>
                <w:sz w:val="21"/>
                <w:szCs w:val="22"/>
                <w:lang w:val="en-US" w:eastAsia="zh-CN" w:bidi="ar-SA"/>
              </w:rPr>
            </w:pPr>
          </w:p>
        </w:tc>
        <w:tc>
          <w:tcPr>
            <w:tcW w:w="1487" w:type="dxa"/>
            <w:vMerge w:val="restart"/>
            <w:shd w:val="clear" w:color="auto" w:fill="auto"/>
            <w:vAlign w:val="center"/>
          </w:tcPr>
          <w:p w14:paraId="16E7534E">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废气处理</w:t>
            </w:r>
          </w:p>
        </w:tc>
        <w:tc>
          <w:tcPr>
            <w:tcW w:w="1335" w:type="dxa"/>
            <w:shd w:val="clear" w:color="auto" w:fill="auto"/>
            <w:vAlign w:val="center"/>
          </w:tcPr>
          <w:p w14:paraId="3D6A6CE1">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废填料</w:t>
            </w:r>
          </w:p>
        </w:tc>
        <w:tc>
          <w:tcPr>
            <w:tcW w:w="1830" w:type="dxa"/>
            <w:shd w:val="clear" w:color="auto" w:fill="auto"/>
            <w:vAlign w:val="center"/>
          </w:tcPr>
          <w:p w14:paraId="48129870">
            <w:pPr>
              <w:widowControl w:val="0"/>
              <w:overflowPunct w:val="0"/>
              <w:autoSpaceDE w:val="0"/>
              <w:autoSpaceDN w:val="0"/>
              <w:bidi w:val="0"/>
              <w:adjustRightInd w:val="0"/>
              <w:snapToGrid w:val="0"/>
              <w:spacing w:before="0" w:after="0" w:line="400" w:lineRule="exact"/>
              <w:ind w:left="0" w:leftChars="0" w:right="0" w:rightChars="0" w:firstLine="0" w:firstLineChars="0"/>
              <w:jc w:val="center"/>
              <w:rPr>
                <w:rFonts w:hint="eastAsia" w:ascii="Times New Roman" w:hAnsi="Times New Roman" w:eastAsia="宋体" w:cs="宋体"/>
                <w:color w:val="auto"/>
                <w:sz w:val="21"/>
                <w:szCs w:val="22"/>
                <w:lang w:val="en-US" w:eastAsia="zh-CN" w:bidi="ar-SA"/>
              </w:rPr>
            </w:pPr>
            <w:r>
              <w:rPr>
                <w:rFonts w:hint="eastAsia" w:ascii="Times New Roman" w:hAnsi="Times New Roman" w:eastAsia="宋体" w:cs="Times New Roman"/>
                <w:color w:val="auto"/>
                <w:kern w:val="0"/>
                <w:sz w:val="21"/>
                <w:szCs w:val="21"/>
                <w:highlight w:val="none"/>
                <w:lang w:val="en-US" w:eastAsia="zh-CN" w:bidi="ar"/>
              </w:rPr>
              <w:t>厂家定期更换</w:t>
            </w:r>
          </w:p>
        </w:tc>
        <w:tc>
          <w:tcPr>
            <w:tcW w:w="3140" w:type="dxa"/>
            <w:vMerge w:val="continue"/>
            <w:vAlign w:val="center"/>
          </w:tcPr>
          <w:p w14:paraId="49AB55A9">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p>
        </w:tc>
      </w:tr>
      <w:tr w14:paraId="4FFB3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9" w:type="dxa"/>
            <w:gridSpan w:val="2"/>
            <w:vMerge w:val="continue"/>
            <w:vAlign w:val="center"/>
          </w:tcPr>
          <w:p w14:paraId="00DB3CEE">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color w:val="auto"/>
                <w:sz w:val="21"/>
                <w:szCs w:val="22"/>
                <w:lang w:val="en-US" w:eastAsia="zh-CN" w:bidi="ar-SA"/>
              </w:rPr>
            </w:pPr>
          </w:p>
        </w:tc>
        <w:tc>
          <w:tcPr>
            <w:tcW w:w="1487" w:type="dxa"/>
            <w:vMerge w:val="continue"/>
            <w:shd w:val="clear" w:color="auto" w:fill="auto"/>
            <w:vAlign w:val="center"/>
          </w:tcPr>
          <w:p w14:paraId="0D252281">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cs="Times New Roman"/>
                <w:color w:val="auto"/>
                <w:kern w:val="0"/>
                <w:sz w:val="21"/>
                <w:szCs w:val="21"/>
                <w:highlight w:val="none"/>
                <w:lang w:val="en-US" w:eastAsia="zh-CN" w:bidi="ar"/>
              </w:rPr>
            </w:pPr>
          </w:p>
        </w:tc>
        <w:tc>
          <w:tcPr>
            <w:tcW w:w="1335" w:type="dxa"/>
            <w:shd w:val="clear" w:color="auto" w:fill="auto"/>
            <w:vAlign w:val="center"/>
          </w:tcPr>
          <w:p w14:paraId="2FA01A49">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废布袋</w:t>
            </w:r>
          </w:p>
        </w:tc>
        <w:tc>
          <w:tcPr>
            <w:tcW w:w="1830" w:type="dxa"/>
            <w:shd w:val="clear" w:color="auto" w:fill="auto"/>
            <w:vAlign w:val="center"/>
          </w:tcPr>
          <w:p w14:paraId="06C4BCE2">
            <w:pPr>
              <w:widowControl w:val="0"/>
              <w:overflowPunct w:val="0"/>
              <w:autoSpaceDE w:val="0"/>
              <w:autoSpaceDN w:val="0"/>
              <w:bidi w:val="0"/>
              <w:adjustRightInd w:val="0"/>
              <w:snapToGrid w:val="0"/>
              <w:spacing w:before="0" w:after="0" w:line="400" w:lineRule="exact"/>
              <w:ind w:left="0" w:leftChars="0" w:right="0" w:rightChars="0" w:firstLine="0" w:firstLineChars="0"/>
              <w:jc w:val="center"/>
              <w:rPr>
                <w:rFonts w:hint="eastAsia" w:ascii="Times New Roman" w:hAnsi="Times New Roman" w:eastAsia="宋体" w:cs="宋体"/>
                <w:color w:val="auto"/>
                <w:sz w:val="21"/>
                <w:szCs w:val="22"/>
                <w:lang w:val="en-US" w:eastAsia="zh-CN" w:bidi="ar-SA"/>
              </w:rPr>
            </w:pPr>
            <w:r>
              <w:rPr>
                <w:rFonts w:hint="eastAsia" w:ascii="Times New Roman" w:hAnsi="Times New Roman" w:eastAsia="宋体" w:cs="Times New Roman"/>
                <w:color w:val="auto"/>
                <w:kern w:val="0"/>
                <w:sz w:val="21"/>
                <w:szCs w:val="21"/>
                <w:highlight w:val="none"/>
                <w:lang w:val="en-US" w:eastAsia="zh-CN" w:bidi="ar"/>
              </w:rPr>
              <w:t>厂家定期更换</w:t>
            </w:r>
          </w:p>
        </w:tc>
        <w:tc>
          <w:tcPr>
            <w:tcW w:w="3140" w:type="dxa"/>
            <w:vMerge w:val="continue"/>
            <w:vAlign w:val="center"/>
          </w:tcPr>
          <w:p w14:paraId="4D01FE75">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p>
        </w:tc>
      </w:tr>
      <w:tr w14:paraId="4DBDC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9" w:type="dxa"/>
            <w:gridSpan w:val="2"/>
            <w:vMerge w:val="continue"/>
            <w:vAlign w:val="center"/>
          </w:tcPr>
          <w:p w14:paraId="32E72C8B">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color w:val="auto"/>
                <w:sz w:val="21"/>
                <w:szCs w:val="22"/>
                <w:lang w:val="en-US" w:eastAsia="zh-CN" w:bidi="ar-SA"/>
              </w:rPr>
            </w:pPr>
          </w:p>
        </w:tc>
        <w:tc>
          <w:tcPr>
            <w:tcW w:w="1487" w:type="dxa"/>
            <w:shd w:val="clear" w:color="auto" w:fill="auto"/>
            <w:vAlign w:val="center"/>
          </w:tcPr>
          <w:p w14:paraId="7A604A6C">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检修维护</w:t>
            </w:r>
          </w:p>
        </w:tc>
        <w:tc>
          <w:tcPr>
            <w:tcW w:w="1335" w:type="dxa"/>
            <w:shd w:val="clear" w:color="auto" w:fill="auto"/>
            <w:vAlign w:val="center"/>
          </w:tcPr>
          <w:p w14:paraId="757E374D">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废机油</w:t>
            </w:r>
          </w:p>
        </w:tc>
        <w:tc>
          <w:tcPr>
            <w:tcW w:w="1830" w:type="dxa"/>
            <w:shd w:val="clear" w:color="auto" w:fill="auto"/>
            <w:vAlign w:val="center"/>
          </w:tcPr>
          <w:p w14:paraId="1420E7BB">
            <w:pPr>
              <w:widowControl w:val="0"/>
              <w:overflowPunct w:val="0"/>
              <w:autoSpaceDE w:val="0"/>
              <w:autoSpaceDN w:val="0"/>
              <w:bidi w:val="0"/>
              <w:adjustRightInd w:val="0"/>
              <w:snapToGrid w:val="0"/>
              <w:spacing w:before="0" w:after="0" w:line="400" w:lineRule="exact"/>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暂存危险废物贮存库内，定期交由资质单位处置</w:t>
            </w:r>
          </w:p>
        </w:tc>
        <w:tc>
          <w:tcPr>
            <w:tcW w:w="3140" w:type="dxa"/>
            <w:vAlign w:val="center"/>
          </w:tcPr>
          <w:p w14:paraId="4A3A17BE">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hint="default" w:ascii="Times New Roman" w:hAnsi="Times New Roman" w:eastAsia="宋体" w:cs="Times New Roman"/>
                <w:color w:val="auto"/>
                <w:kern w:val="0"/>
                <w:sz w:val="21"/>
                <w:szCs w:val="21"/>
                <w:highlight w:val="none"/>
                <w:lang w:val="en-US" w:eastAsia="zh-CN" w:bidi="ar-SA"/>
              </w:rPr>
              <w:t>《危险废物贮存污染控制标准》（GB 18597-2023）</w:t>
            </w:r>
          </w:p>
        </w:tc>
      </w:tr>
      <w:tr w14:paraId="30A7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9" w:type="dxa"/>
            <w:gridSpan w:val="2"/>
            <w:vAlign w:val="center"/>
          </w:tcPr>
          <w:p w14:paraId="2313685D">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噪声</w:t>
            </w:r>
          </w:p>
        </w:tc>
        <w:tc>
          <w:tcPr>
            <w:tcW w:w="1487" w:type="dxa"/>
            <w:vAlign w:val="center"/>
          </w:tcPr>
          <w:p w14:paraId="68276928">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Hans" w:bidi="ar-SA"/>
              </w:rPr>
              <w:t>生产车间</w:t>
            </w:r>
          </w:p>
        </w:tc>
        <w:tc>
          <w:tcPr>
            <w:tcW w:w="1335" w:type="dxa"/>
            <w:vAlign w:val="center"/>
          </w:tcPr>
          <w:p w14:paraId="4D18AD80">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设备运营噪声</w:t>
            </w:r>
          </w:p>
        </w:tc>
        <w:tc>
          <w:tcPr>
            <w:tcW w:w="1830" w:type="dxa"/>
            <w:vAlign w:val="center"/>
          </w:tcPr>
          <w:p w14:paraId="79D2B049">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选用具有减震、降噪、隔声、消声设计的设备</w:t>
            </w:r>
          </w:p>
        </w:tc>
        <w:tc>
          <w:tcPr>
            <w:tcW w:w="3140" w:type="dxa"/>
            <w:vAlign w:val="center"/>
          </w:tcPr>
          <w:p w14:paraId="24556B22">
            <w:pPr>
              <w:widowControl w:val="0"/>
              <w:overflowPunct w:val="0"/>
              <w:autoSpaceDE w:val="0"/>
              <w:autoSpaceDN w:val="0"/>
              <w:bidi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1"/>
                <w:szCs w:val="22"/>
                <w:lang w:val="en-US" w:eastAsia="zh-CN" w:bidi="ar-SA"/>
              </w:rPr>
            </w:pPr>
            <w:r>
              <w:rPr>
                <w:rFonts w:hint="eastAsia" w:ascii="Times New Roman" w:hAnsi="Times New Roman" w:eastAsia="宋体" w:cs="宋体"/>
                <w:color w:val="auto"/>
                <w:sz w:val="21"/>
                <w:szCs w:val="22"/>
                <w:lang w:val="en-US" w:eastAsia="zh-CN" w:bidi="ar-SA"/>
              </w:rPr>
              <w:t>《工业企业厂界环境噪声排放标准》（GB12348-2008）中的</w:t>
            </w:r>
            <w:r>
              <w:rPr>
                <w:rFonts w:hint="eastAsia" w:cs="宋体"/>
                <w:color w:val="auto"/>
                <w:sz w:val="21"/>
                <w:szCs w:val="22"/>
                <w:lang w:val="en-US" w:eastAsia="zh-CN" w:bidi="ar-SA"/>
              </w:rPr>
              <w:t>2</w:t>
            </w:r>
            <w:r>
              <w:rPr>
                <w:rFonts w:hint="eastAsia" w:ascii="Times New Roman" w:hAnsi="Times New Roman" w:eastAsia="宋体" w:cs="宋体"/>
                <w:color w:val="auto"/>
                <w:sz w:val="21"/>
                <w:szCs w:val="22"/>
                <w:lang w:val="en-US" w:eastAsia="zh-CN" w:bidi="ar-SA"/>
              </w:rPr>
              <w:t>类标准</w:t>
            </w:r>
          </w:p>
        </w:tc>
      </w:tr>
      <w:tr w14:paraId="78CB6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9" w:type="dxa"/>
            <w:gridSpan w:val="2"/>
            <w:vAlign w:val="center"/>
          </w:tcPr>
          <w:p w14:paraId="4B526CC7">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color w:val="auto"/>
                <w:sz w:val="21"/>
                <w:szCs w:val="22"/>
                <w:lang w:val="en-US" w:eastAsia="zh-CN" w:bidi="ar-SA"/>
              </w:rPr>
            </w:pPr>
            <w:r>
              <w:rPr>
                <w:rFonts w:ascii="Times New Roman" w:hAnsi="Times New Roman" w:eastAsia="宋体" w:cs="宋体"/>
                <w:color w:val="auto"/>
                <w:sz w:val="21"/>
                <w:szCs w:val="22"/>
                <w:lang w:val="en-US" w:eastAsia="zh-CN" w:bidi="ar-SA"/>
              </w:rPr>
              <w:t>电磁辐射</w:t>
            </w:r>
          </w:p>
        </w:tc>
        <w:tc>
          <w:tcPr>
            <w:tcW w:w="7792" w:type="dxa"/>
            <w:gridSpan w:val="4"/>
            <w:vAlign w:val="center"/>
          </w:tcPr>
          <w:p w14:paraId="1B893566">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left"/>
              <w:textAlignment w:val="auto"/>
              <w:rPr>
                <w:rFonts w:hint="default" w:ascii="Times New Roman" w:hAnsi="Times New Roman" w:eastAsia="宋体" w:cs="宋体"/>
                <w:color w:val="auto"/>
                <w:sz w:val="21"/>
                <w:szCs w:val="21"/>
                <w:lang w:val="en-US" w:eastAsia="zh-CN"/>
              </w:rPr>
            </w:pPr>
            <w:r>
              <w:rPr>
                <w:rFonts w:hint="eastAsia" w:ascii="Times New Roman" w:hAnsi="Times New Roman" w:eastAsia="宋体" w:cs="宋体"/>
                <w:color w:val="auto"/>
                <w:sz w:val="21"/>
                <w:szCs w:val="21"/>
                <w:highlight w:val="none"/>
                <w:lang w:val="en-US" w:eastAsia="zh-CN"/>
              </w:rPr>
              <w:t>-</w:t>
            </w:r>
          </w:p>
        </w:tc>
      </w:tr>
      <w:tr w14:paraId="13B18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9" w:type="dxa"/>
            <w:gridSpan w:val="2"/>
            <w:vAlign w:val="center"/>
          </w:tcPr>
          <w:p w14:paraId="4A4D389E">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color w:val="auto"/>
                <w:sz w:val="21"/>
                <w:szCs w:val="22"/>
                <w:lang w:val="en-US" w:eastAsia="zh-CN" w:bidi="ar-SA"/>
              </w:rPr>
            </w:pPr>
            <w:r>
              <w:rPr>
                <w:rFonts w:ascii="Times New Roman" w:hAnsi="Times New Roman" w:eastAsia="宋体" w:cs="宋体"/>
                <w:color w:val="auto"/>
                <w:sz w:val="21"/>
                <w:szCs w:val="22"/>
                <w:lang w:val="en-US" w:eastAsia="zh-CN" w:bidi="ar-SA"/>
              </w:rPr>
              <w:t>土壤及地下水污染防治措施</w:t>
            </w:r>
          </w:p>
        </w:tc>
        <w:tc>
          <w:tcPr>
            <w:tcW w:w="7792" w:type="dxa"/>
            <w:gridSpan w:val="4"/>
            <w:vAlign w:val="center"/>
          </w:tcPr>
          <w:p w14:paraId="66C471C9">
            <w:pPr>
              <w:keepNext w:val="0"/>
              <w:keepLines w:val="0"/>
              <w:pageBreakBefore w:val="0"/>
              <w:widowControl w:val="0"/>
              <w:kinsoku/>
              <w:wordWrap/>
              <w:overflowPunct/>
              <w:topLinePunct w:val="0"/>
              <w:autoSpaceDE/>
              <w:autoSpaceDN/>
              <w:bidi w:val="0"/>
              <w:adjustRightInd w:val="0"/>
              <w:snapToGrid w:val="0"/>
              <w:spacing w:before="0" w:after="0" w:line="400" w:lineRule="exact"/>
              <w:ind w:left="0" w:right="0" w:firstLine="0" w:firstLineChars="0"/>
              <w:jc w:val="left"/>
              <w:textAlignment w:val="auto"/>
              <w:rPr>
                <w:rFonts w:hint="default" w:ascii="Times New Roman" w:hAnsi="Times New Roman" w:eastAsia="宋体" w:cs="宋体"/>
                <w:color w:val="auto"/>
                <w:sz w:val="21"/>
                <w:szCs w:val="21"/>
                <w:highlight w:val="none"/>
                <w:lang w:val="en-US" w:eastAsia="zh-CN"/>
              </w:rPr>
            </w:pPr>
            <w:r>
              <w:rPr>
                <w:rFonts w:hint="default" w:ascii="Times New Roman" w:hAnsi="Times New Roman" w:eastAsia="宋体" w:cs="宋体"/>
                <w:color w:val="auto"/>
                <w:sz w:val="21"/>
                <w:szCs w:val="21"/>
                <w:highlight w:val="none"/>
                <w:lang w:val="en-US" w:eastAsia="zh-CN"/>
              </w:rPr>
              <w:t>（1）防渗措施：</w:t>
            </w:r>
            <w:r>
              <w:rPr>
                <w:rFonts w:hint="eastAsia" w:ascii="Times New Roman" w:hAnsi="Times New Roman" w:eastAsia="宋体" w:cs="宋体"/>
                <w:color w:val="auto"/>
                <w:sz w:val="21"/>
                <w:szCs w:val="21"/>
                <w:highlight w:val="none"/>
                <w:lang w:val="en-US" w:eastAsia="zh-CN"/>
              </w:rPr>
              <w:t>采取分区防渗，其中</w:t>
            </w:r>
            <w:r>
              <w:rPr>
                <w:rFonts w:hint="eastAsia" w:cs="宋体"/>
                <w:color w:val="auto"/>
                <w:sz w:val="21"/>
                <w:szCs w:val="21"/>
                <w:highlight w:val="none"/>
                <w:lang w:val="en-US" w:eastAsia="zh-CN"/>
              </w:rPr>
              <w:t>发酵罐区、危险废物贮存库</w:t>
            </w:r>
            <w:r>
              <w:rPr>
                <w:rFonts w:hint="default" w:ascii="Times New Roman" w:hAnsi="Times New Roman" w:eastAsia="宋体" w:cs="宋体"/>
                <w:color w:val="auto"/>
                <w:sz w:val="21"/>
                <w:szCs w:val="21"/>
                <w:highlight w:val="none"/>
                <w:lang w:val="en-US" w:eastAsia="zh-CN"/>
              </w:rPr>
              <w:t>设置重点防渗</w:t>
            </w:r>
            <w:r>
              <w:rPr>
                <w:rFonts w:hint="eastAsia" w:ascii="Times New Roman" w:hAnsi="Times New Roman" w:eastAsia="宋体" w:cs="宋体"/>
                <w:color w:val="auto"/>
                <w:sz w:val="21"/>
                <w:szCs w:val="21"/>
                <w:highlight w:val="none"/>
                <w:lang w:val="en-US" w:eastAsia="zh-CN"/>
              </w:rPr>
              <w:t>。</w:t>
            </w:r>
          </w:p>
          <w:p w14:paraId="28A11DF1">
            <w:pPr>
              <w:keepNext w:val="0"/>
              <w:keepLines w:val="0"/>
              <w:pageBreakBefore w:val="0"/>
              <w:widowControl w:val="0"/>
              <w:kinsoku/>
              <w:wordWrap/>
              <w:overflowPunct/>
              <w:topLinePunct w:val="0"/>
              <w:autoSpaceDE/>
              <w:autoSpaceDN/>
              <w:bidi w:val="0"/>
              <w:adjustRightInd w:val="0"/>
              <w:snapToGrid w:val="0"/>
              <w:spacing w:before="0" w:after="0" w:line="400" w:lineRule="exact"/>
              <w:ind w:left="0" w:leftChars="0" w:right="0" w:rightChars="0" w:firstLine="0" w:firstLineChars="0"/>
              <w:jc w:val="left"/>
              <w:textAlignment w:val="auto"/>
              <w:rPr>
                <w:rFonts w:hint="default" w:ascii="Times New Roman" w:hAnsi="Times New Roman" w:eastAsia="宋体" w:cs="宋体"/>
                <w:color w:val="auto"/>
                <w:sz w:val="21"/>
                <w:szCs w:val="21"/>
                <w:lang w:val="en-US" w:eastAsia="zh-CN"/>
              </w:rPr>
            </w:pPr>
            <w:r>
              <w:rPr>
                <w:rFonts w:hint="default" w:ascii="Times New Roman" w:hAnsi="Times New Roman" w:eastAsia="宋体" w:cs="宋体"/>
                <w:color w:val="auto"/>
                <w:sz w:val="21"/>
                <w:szCs w:val="21"/>
                <w:highlight w:val="none"/>
                <w:lang w:val="en-US" w:eastAsia="zh-CN"/>
              </w:rPr>
              <w:t>（</w:t>
            </w:r>
            <w:r>
              <w:rPr>
                <w:rFonts w:hint="eastAsia" w:ascii="Times New Roman" w:hAnsi="Times New Roman" w:eastAsia="宋体" w:cs="宋体"/>
                <w:color w:val="auto"/>
                <w:sz w:val="21"/>
                <w:szCs w:val="21"/>
                <w:highlight w:val="none"/>
                <w:lang w:val="en-US" w:eastAsia="zh-CN"/>
              </w:rPr>
              <w:t>2</w:t>
            </w:r>
            <w:r>
              <w:rPr>
                <w:rFonts w:hint="default" w:ascii="Times New Roman" w:hAnsi="Times New Roman" w:eastAsia="宋体" w:cs="宋体"/>
                <w:color w:val="auto"/>
                <w:sz w:val="21"/>
                <w:szCs w:val="21"/>
                <w:highlight w:val="none"/>
                <w:lang w:val="en-US" w:eastAsia="zh-CN"/>
              </w:rPr>
              <w:t>）加强日常巡检，及时发现隐患。</w:t>
            </w:r>
          </w:p>
        </w:tc>
      </w:tr>
      <w:tr w14:paraId="64A5B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9" w:type="dxa"/>
            <w:gridSpan w:val="2"/>
            <w:vAlign w:val="center"/>
          </w:tcPr>
          <w:p w14:paraId="7C98FBA1">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color w:val="auto"/>
                <w:sz w:val="21"/>
                <w:szCs w:val="22"/>
                <w:lang w:val="en-US" w:eastAsia="zh-CN" w:bidi="ar-SA"/>
              </w:rPr>
            </w:pPr>
            <w:r>
              <w:rPr>
                <w:rFonts w:ascii="Times New Roman" w:hAnsi="Times New Roman" w:eastAsia="宋体" w:cs="宋体"/>
                <w:color w:val="auto"/>
                <w:sz w:val="21"/>
                <w:szCs w:val="22"/>
                <w:lang w:val="en-US" w:eastAsia="zh-CN" w:bidi="ar-SA"/>
              </w:rPr>
              <w:t>生态保护措施</w:t>
            </w:r>
          </w:p>
        </w:tc>
        <w:tc>
          <w:tcPr>
            <w:tcW w:w="7792" w:type="dxa"/>
            <w:gridSpan w:val="4"/>
            <w:vAlign w:val="center"/>
          </w:tcPr>
          <w:p w14:paraId="793CFB30">
            <w:pPr>
              <w:keepNext w:val="0"/>
              <w:keepLines w:val="0"/>
              <w:pageBreakBefore w:val="0"/>
              <w:widowControl w:val="0"/>
              <w:kinsoku/>
              <w:wordWrap/>
              <w:overflowPunct/>
              <w:topLinePunct w:val="0"/>
              <w:autoSpaceDE/>
              <w:autoSpaceDN/>
              <w:bidi w:val="0"/>
              <w:adjustRightInd w:val="0"/>
              <w:snapToGrid w:val="0"/>
              <w:spacing w:before="0" w:after="0" w:line="400" w:lineRule="exact"/>
              <w:ind w:left="0" w:leftChars="0" w:right="0" w:rightChars="0" w:firstLine="0" w:firstLineChars="0"/>
              <w:jc w:val="left"/>
              <w:textAlignment w:val="auto"/>
              <w:rPr>
                <w:rFonts w:hint="default" w:ascii="Times New Roman" w:hAnsi="Times New Roman" w:eastAsia="宋体" w:cs="宋体"/>
                <w:color w:val="auto"/>
                <w:sz w:val="21"/>
                <w:szCs w:val="21"/>
                <w:lang w:val="en-US" w:eastAsia="zh-CN"/>
              </w:rPr>
            </w:pPr>
            <w:r>
              <w:rPr>
                <w:rFonts w:hint="eastAsia" w:ascii="Times New Roman" w:hAnsi="Times New Roman" w:eastAsia="宋体" w:cs="宋体"/>
                <w:color w:val="auto"/>
                <w:sz w:val="21"/>
                <w:szCs w:val="21"/>
                <w:highlight w:val="none"/>
                <w:lang w:val="en-US" w:eastAsia="zh-CN"/>
              </w:rPr>
              <w:t>本项目建设完成后会进行相应的绿化措施。</w:t>
            </w:r>
          </w:p>
        </w:tc>
      </w:tr>
      <w:tr w14:paraId="15B61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9" w:type="dxa"/>
            <w:gridSpan w:val="2"/>
            <w:vAlign w:val="center"/>
          </w:tcPr>
          <w:p w14:paraId="759D89DB">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color w:val="auto"/>
                <w:sz w:val="21"/>
                <w:szCs w:val="22"/>
                <w:lang w:val="en-US" w:eastAsia="zh-CN" w:bidi="ar-SA"/>
              </w:rPr>
            </w:pPr>
            <w:r>
              <w:rPr>
                <w:rFonts w:ascii="Times New Roman" w:hAnsi="Times New Roman" w:eastAsia="宋体" w:cs="宋体"/>
                <w:color w:val="auto"/>
                <w:sz w:val="21"/>
                <w:szCs w:val="22"/>
                <w:lang w:val="en-US" w:eastAsia="zh-CN" w:bidi="ar-SA"/>
              </w:rPr>
              <w:t>环境风险防范措施</w:t>
            </w:r>
          </w:p>
        </w:tc>
        <w:tc>
          <w:tcPr>
            <w:tcW w:w="7792" w:type="dxa"/>
            <w:gridSpan w:val="4"/>
            <w:vAlign w:val="center"/>
          </w:tcPr>
          <w:p w14:paraId="059821BD">
            <w:pPr>
              <w:keepNext w:val="0"/>
              <w:keepLines w:val="0"/>
              <w:pageBreakBefore w:val="0"/>
              <w:widowControl w:val="0"/>
              <w:kinsoku/>
              <w:wordWrap/>
              <w:overflowPunct/>
              <w:topLinePunct w:val="0"/>
              <w:autoSpaceDE/>
              <w:autoSpaceDN/>
              <w:bidi w:val="0"/>
              <w:adjustRightInd w:val="0"/>
              <w:snapToGrid/>
              <w:spacing w:before="0" w:after="0" w:line="400" w:lineRule="exact"/>
              <w:ind w:left="0" w:right="0" w:firstLine="0" w:firstLineChars="0"/>
              <w:jc w:val="left"/>
              <w:textAlignment w:val="auto"/>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（1）</w:t>
            </w:r>
            <w:r>
              <w:rPr>
                <w:rFonts w:hint="default" w:ascii="Times New Roman" w:hAnsi="Times New Roman" w:eastAsia="宋体" w:cs="宋体"/>
                <w:color w:val="auto"/>
                <w:sz w:val="21"/>
                <w:szCs w:val="21"/>
                <w:highlight w:val="none"/>
                <w:lang w:val="en-US" w:eastAsia="zh-CN"/>
              </w:rPr>
              <w:t>严格按照规章制度标准设计建设。</w:t>
            </w:r>
          </w:p>
          <w:p w14:paraId="1658CD90">
            <w:pPr>
              <w:keepNext w:val="0"/>
              <w:keepLines w:val="0"/>
              <w:pageBreakBefore w:val="0"/>
              <w:widowControl w:val="0"/>
              <w:kinsoku/>
              <w:wordWrap/>
              <w:overflowPunct/>
              <w:topLinePunct w:val="0"/>
              <w:autoSpaceDE/>
              <w:autoSpaceDN/>
              <w:bidi w:val="0"/>
              <w:adjustRightInd w:val="0"/>
              <w:snapToGrid/>
              <w:spacing w:before="0" w:after="0" w:line="400" w:lineRule="exact"/>
              <w:ind w:left="0" w:right="0" w:firstLine="0" w:firstLineChars="0"/>
              <w:jc w:val="left"/>
              <w:textAlignment w:val="auto"/>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（2）厂区采取分区防渗措施，</w:t>
            </w:r>
            <w:r>
              <w:rPr>
                <w:rFonts w:hint="default" w:ascii="Times New Roman" w:hAnsi="Times New Roman" w:eastAsia="宋体" w:cs="宋体"/>
                <w:color w:val="auto"/>
                <w:sz w:val="21"/>
                <w:szCs w:val="21"/>
                <w:highlight w:val="none"/>
                <w:lang w:val="en-US" w:eastAsia="zh-CN"/>
              </w:rPr>
              <w:t>地面全部采用耐腐蚀防渗硬化地面。</w:t>
            </w:r>
          </w:p>
          <w:p w14:paraId="382E806F">
            <w:pPr>
              <w:keepNext w:val="0"/>
              <w:keepLines w:val="0"/>
              <w:pageBreakBefore w:val="0"/>
              <w:widowControl w:val="0"/>
              <w:kinsoku/>
              <w:wordWrap/>
              <w:overflowPunct/>
              <w:topLinePunct w:val="0"/>
              <w:autoSpaceDE/>
              <w:autoSpaceDN/>
              <w:bidi w:val="0"/>
              <w:adjustRightInd w:val="0"/>
              <w:snapToGrid/>
              <w:spacing w:before="0" w:after="0" w:line="400" w:lineRule="exact"/>
              <w:ind w:left="0" w:right="0" w:firstLine="0" w:firstLineChars="0"/>
              <w:jc w:val="left"/>
              <w:textAlignment w:val="auto"/>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（3）</w:t>
            </w:r>
            <w:r>
              <w:rPr>
                <w:rFonts w:hint="default" w:ascii="Times New Roman" w:hAnsi="Times New Roman" w:eastAsia="宋体" w:cs="宋体"/>
                <w:color w:val="auto"/>
                <w:sz w:val="21"/>
                <w:szCs w:val="21"/>
                <w:highlight w:val="none"/>
                <w:lang w:val="en-US" w:eastAsia="zh-CN"/>
              </w:rPr>
              <w:t>设置防爆、防雷、防静电接地装置；设有通风换气设施。</w:t>
            </w:r>
          </w:p>
          <w:p w14:paraId="3658B3AF">
            <w:pPr>
              <w:keepNext w:val="0"/>
              <w:keepLines w:val="0"/>
              <w:pageBreakBefore w:val="0"/>
              <w:widowControl w:val="0"/>
              <w:kinsoku/>
              <w:wordWrap/>
              <w:overflowPunct/>
              <w:topLinePunct w:val="0"/>
              <w:autoSpaceDE/>
              <w:autoSpaceDN/>
              <w:bidi w:val="0"/>
              <w:adjustRightInd w:val="0"/>
              <w:snapToGrid/>
              <w:spacing w:before="0" w:after="0" w:line="400" w:lineRule="exact"/>
              <w:ind w:left="0" w:right="0" w:firstLine="0" w:firstLineChars="0"/>
              <w:jc w:val="left"/>
              <w:textAlignment w:val="auto"/>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（4）</w:t>
            </w:r>
            <w:r>
              <w:rPr>
                <w:rFonts w:hint="default" w:ascii="Times New Roman" w:hAnsi="Times New Roman" w:eastAsia="宋体" w:cs="宋体"/>
                <w:color w:val="auto"/>
                <w:sz w:val="21"/>
                <w:szCs w:val="21"/>
                <w:highlight w:val="none"/>
                <w:lang w:val="en-US" w:eastAsia="zh-CN"/>
              </w:rPr>
              <w:t>建立严格的</w:t>
            </w:r>
            <w:r>
              <w:rPr>
                <w:rFonts w:hint="eastAsia" w:ascii="Times New Roman" w:hAnsi="Times New Roman" w:eastAsia="宋体" w:cs="宋体"/>
                <w:color w:val="auto"/>
                <w:sz w:val="21"/>
                <w:szCs w:val="21"/>
                <w:highlight w:val="none"/>
                <w:lang w:val="en-US" w:eastAsia="zh-CN"/>
              </w:rPr>
              <w:t>管理</w:t>
            </w:r>
            <w:r>
              <w:rPr>
                <w:rFonts w:hint="default" w:ascii="Times New Roman" w:hAnsi="Times New Roman" w:eastAsia="宋体" w:cs="宋体"/>
                <w:color w:val="auto"/>
                <w:sz w:val="21"/>
                <w:szCs w:val="21"/>
                <w:highlight w:val="none"/>
                <w:lang w:val="en-US" w:eastAsia="zh-CN"/>
              </w:rPr>
              <w:t>制度</w:t>
            </w:r>
            <w:r>
              <w:rPr>
                <w:rFonts w:hint="eastAsia" w:ascii="Times New Roman" w:hAnsi="Times New Roman" w:eastAsia="宋体" w:cs="宋体"/>
                <w:color w:val="auto"/>
                <w:sz w:val="21"/>
                <w:szCs w:val="21"/>
                <w:highlight w:val="none"/>
                <w:lang w:val="en-US" w:eastAsia="zh-CN"/>
              </w:rPr>
              <w:t>和修编应急预案，并开展应急演练</w:t>
            </w:r>
            <w:r>
              <w:rPr>
                <w:rFonts w:hint="default" w:ascii="Times New Roman" w:hAnsi="Times New Roman" w:eastAsia="宋体" w:cs="宋体"/>
                <w:color w:val="auto"/>
                <w:sz w:val="21"/>
                <w:szCs w:val="21"/>
                <w:highlight w:val="none"/>
                <w:lang w:val="en-US" w:eastAsia="zh-CN"/>
              </w:rPr>
              <w:t>。</w:t>
            </w:r>
          </w:p>
          <w:p w14:paraId="156F98D2">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left"/>
              <w:textAlignment w:val="auto"/>
              <w:rPr>
                <w:rFonts w:hint="eastAsia" w:ascii="Times New Roman" w:hAnsi="Times New Roman" w:eastAsia="宋体" w:cs="宋体"/>
                <w:color w:val="auto"/>
                <w:sz w:val="21"/>
                <w:szCs w:val="21"/>
                <w:lang w:val="en-US" w:eastAsia="zh-CN"/>
              </w:rPr>
            </w:pPr>
            <w:r>
              <w:rPr>
                <w:rFonts w:hint="eastAsia" w:ascii="Times New Roman" w:hAnsi="Times New Roman" w:eastAsia="宋体" w:cs="宋体"/>
                <w:color w:val="auto"/>
                <w:sz w:val="21"/>
                <w:szCs w:val="21"/>
                <w:highlight w:val="none"/>
                <w:lang w:val="en-US" w:eastAsia="zh-CN"/>
              </w:rPr>
              <w:t>（5）</w:t>
            </w:r>
            <w:r>
              <w:rPr>
                <w:rFonts w:hint="default" w:ascii="Times New Roman" w:hAnsi="Times New Roman" w:eastAsia="宋体" w:cs="宋体"/>
                <w:color w:val="auto"/>
                <w:sz w:val="21"/>
                <w:szCs w:val="21"/>
                <w:highlight w:val="none"/>
                <w:lang w:val="en-US" w:eastAsia="zh-CN"/>
              </w:rPr>
              <w:t>应配备足量泄漏、火灾、爆炸事故的应急物资和医药应急药品等</w:t>
            </w:r>
            <w:r>
              <w:rPr>
                <w:rFonts w:hint="eastAsia" w:ascii="Times New Roman" w:hAnsi="Times New Roman" w:eastAsia="宋体" w:cs="宋体"/>
                <w:color w:val="auto"/>
                <w:sz w:val="21"/>
                <w:szCs w:val="21"/>
                <w:highlight w:val="none"/>
                <w:lang w:val="en-US" w:eastAsia="zh-CN"/>
              </w:rPr>
              <w:t>。</w:t>
            </w:r>
          </w:p>
        </w:tc>
      </w:tr>
      <w:tr w14:paraId="4E230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9" w:type="dxa"/>
            <w:gridSpan w:val="2"/>
            <w:vAlign w:val="center"/>
          </w:tcPr>
          <w:p w14:paraId="698DFFBF">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color w:val="auto"/>
                <w:sz w:val="21"/>
                <w:szCs w:val="22"/>
                <w:lang w:val="en-US" w:eastAsia="zh-CN" w:bidi="ar-SA"/>
              </w:rPr>
            </w:pPr>
            <w:r>
              <w:rPr>
                <w:rFonts w:ascii="Times New Roman" w:hAnsi="Times New Roman" w:eastAsia="宋体" w:cs="宋体"/>
                <w:color w:val="auto"/>
                <w:sz w:val="21"/>
                <w:szCs w:val="22"/>
                <w:lang w:val="en-US" w:eastAsia="zh-CN" w:bidi="ar-SA"/>
              </w:rPr>
              <w:t>其他环境管理要求</w:t>
            </w:r>
          </w:p>
        </w:tc>
        <w:tc>
          <w:tcPr>
            <w:tcW w:w="7792" w:type="dxa"/>
            <w:gridSpan w:val="4"/>
            <w:vAlign w:val="center"/>
          </w:tcPr>
          <w:p w14:paraId="350EC962">
            <w:pPr>
              <w:overflowPunct w:val="0"/>
              <w:autoSpaceDE w:val="0"/>
              <w:autoSpaceDN w:val="0"/>
              <w:bidi w:val="0"/>
              <w:adjustRightInd w:val="0"/>
              <w:snapToGrid w:val="0"/>
              <w:spacing w:before="0" w:after="0" w:line="500" w:lineRule="exact"/>
              <w:ind w:left="0" w:right="0" w:firstLine="420" w:firstLineChars="200"/>
              <w:jc w:val="left"/>
              <w:rPr>
                <w:rFonts w:hint="eastAsia" w:ascii="Times New Roman" w:hAnsi="Times New Roman" w:eastAsia="宋体" w:cs="宋体"/>
                <w:color w:val="0000FF"/>
                <w:sz w:val="21"/>
                <w:szCs w:val="21"/>
              </w:rPr>
            </w:pPr>
            <w:r>
              <w:rPr>
                <w:rFonts w:hint="eastAsia" w:ascii="Times New Roman" w:hAnsi="Times New Roman" w:eastAsia="宋体" w:cs="宋体"/>
                <w:color w:val="0000FF"/>
                <w:sz w:val="21"/>
                <w:szCs w:val="21"/>
                <w:lang w:val="en-US" w:eastAsia="zh-CN"/>
              </w:rPr>
              <w:t>一、</w:t>
            </w:r>
            <w:r>
              <w:rPr>
                <w:rFonts w:hint="eastAsia" w:ascii="Times New Roman" w:hAnsi="Times New Roman" w:eastAsia="宋体" w:cs="宋体"/>
                <w:color w:val="0000FF"/>
                <w:sz w:val="21"/>
                <w:szCs w:val="21"/>
              </w:rPr>
              <w:t>工程环保投资概算</w:t>
            </w:r>
          </w:p>
          <w:p w14:paraId="360E042C">
            <w:pPr>
              <w:overflowPunct w:val="0"/>
              <w:autoSpaceDE w:val="0"/>
              <w:autoSpaceDN w:val="0"/>
              <w:bidi w:val="0"/>
              <w:adjustRightInd w:val="0"/>
              <w:snapToGrid w:val="0"/>
              <w:spacing w:before="0" w:after="0" w:line="500" w:lineRule="exact"/>
              <w:ind w:left="0" w:right="0" w:firstLine="420" w:firstLineChars="200"/>
              <w:jc w:val="left"/>
              <w:rPr>
                <w:rFonts w:hint="eastAsia" w:ascii="Times New Roman" w:hAnsi="Times New Roman" w:eastAsia="宋体" w:cs="宋体"/>
                <w:color w:val="0000FF"/>
                <w:sz w:val="21"/>
                <w:szCs w:val="21"/>
              </w:rPr>
            </w:pPr>
            <w:r>
              <w:rPr>
                <w:rFonts w:hint="eastAsia" w:ascii="Times New Roman" w:hAnsi="Times New Roman" w:eastAsia="宋体" w:cs="宋体"/>
                <w:color w:val="0000FF"/>
                <w:sz w:val="21"/>
                <w:szCs w:val="21"/>
                <w:highlight w:val="none"/>
              </w:rPr>
              <w:t>本项目总投资</w:t>
            </w:r>
            <w:r>
              <w:rPr>
                <w:rFonts w:hint="eastAsia" w:cs="Times New Roman"/>
                <w:color w:val="0000FF"/>
                <w:sz w:val="21"/>
                <w:szCs w:val="21"/>
                <w:highlight w:val="none"/>
                <w:lang w:val="en-US" w:eastAsia="zh-CN" w:bidi="ar-SA"/>
              </w:rPr>
              <w:t>390</w:t>
            </w:r>
            <w:r>
              <w:rPr>
                <w:rFonts w:hint="eastAsia" w:ascii="Times New Roman" w:hAnsi="Times New Roman" w:eastAsia="宋体" w:cs="宋体"/>
                <w:color w:val="0000FF"/>
                <w:sz w:val="21"/>
                <w:szCs w:val="21"/>
                <w:highlight w:val="none"/>
              </w:rPr>
              <w:t>万，</w:t>
            </w:r>
            <w:r>
              <w:rPr>
                <w:rFonts w:hint="eastAsia" w:ascii="Times New Roman" w:hAnsi="Times New Roman" w:eastAsia="宋体" w:cs="宋体"/>
                <w:color w:val="0000FF"/>
                <w:sz w:val="21"/>
                <w:szCs w:val="21"/>
              </w:rPr>
              <w:t>其中环保投资</w:t>
            </w:r>
            <w:r>
              <w:rPr>
                <w:rFonts w:hint="eastAsia" w:cs="宋体"/>
                <w:color w:val="0000FF"/>
                <w:sz w:val="21"/>
                <w:szCs w:val="21"/>
                <w:lang w:val="en-US" w:eastAsia="zh-CN"/>
              </w:rPr>
              <w:t>37</w:t>
            </w:r>
            <w:r>
              <w:rPr>
                <w:rFonts w:hint="eastAsia" w:ascii="Times New Roman" w:hAnsi="Times New Roman" w:eastAsia="宋体" w:cs="宋体"/>
                <w:color w:val="0000FF"/>
                <w:sz w:val="21"/>
                <w:szCs w:val="21"/>
                <w:lang w:val="en-US" w:eastAsia="zh-CN"/>
              </w:rPr>
              <w:t>万</w:t>
            </w:r>
            <w:r>
              <w:rPr>
                <w:rFonts w:hint="eastAsia" w:ascii="Times New Roman" w:hAnsi="Times New Roman" w:eastAsia="宋体" w:cs="宋体"/>
                <w:color w:val="0000FF"/>
                <w:sz w:val="21"/>
                <w:szCs w:val="21"/>
              </w:rPr>
              <w:t>元，占总投资额的</w:t>
            </w:r>
            <w:r>
              <w:rPr>
                <w:rFonts w:hint="eastAsia" w:cs="宋体"/>
                <w:color w:val="0000FF"/>
                <w:sz w:val="21"/>
                <w:szCs w:val="21"/>
                <w:lang w:val="en-US" w:eastAsia="zh-CN"/>
              </w:rPr>
              <w:t>9.48</w:t>
            </w:r>
            <w:r>
              <w:rPr>
                <w:rFonts w:hint="eastAsia" w:ascii="Times New Roman" w:hAnsi="Times New Roman" w:eastAsia="宋体" w:cs="宋体"/>
                <w:color w:val="0000FF"/>
                <w:sz w:val="21"/>
                <w:szCs w:val="21"/>
              </w:rPr>
              <w:t>%。详见</w:t>
            </w:r>
            <w:r>
              <w:rPr>
                <w:rFonts w:hint="eastAsia" w:cs="宋体"/>
                <w:color w:val="0000FF"/>
                <w:sz w:val="21"/>
                <w:szCs w:val="21"/>
                <w:lang w:val="en-US" w:eastAsia="zh-CN"/>
              </w:rPr>
              <w:t>下</w:t>
            </w:r>
            <w:r>
              <w:rPr>
                <w:rFonts w:hint="eastAsia" w:ascii="Times New Roman" w:hAnsi="Times New Roman" w:eastAsia="宋体" w:cs="宋体"/>
                <w:color w:val="0000FF"/>
                <w:sz w:val="21"/>
                <w:szCs w:val="21"/>
              </w:rPr>
              <w:t>表。</w:t>
            </w:r>
          </w:p>
          <w:p w14:paraId="09B858D2">
            <w:pPr>
              <w:widowControl w:val="0"/>
              <w:overflowPunct w:val="0"/>
              <w:autoSpaceDE w:val="0"/>
              <w:autoSpaceDN w:val="0"/>
              <w:bidi w:val="0"/>
              <w:adjustRightInd w:val="0"/>
              <w:snapToGrid w:val="0"/>
              <w:spacing w:before="0" w:after="0" w:line="400" w:lineRule="exact"/>
              <w:ind w:left="0" w:right="0" w:firstLine="0" w:firstLineChars="0"/>
              <w:jc w:val="center"/>
              <w:rPr>
                <w:rFonts w:hint="eastAsia" w:ascii="Times New Roman" w:hAnsi="Times New Roman" w:eastAsia="宋体" w:cs="宋体"/>
                <w:b/>
                <w:color w:val="0000FF"/>
                <w:sz w:val="24"/>
                <w:szCs w:val="24"/>
                <w:lang w:val="en-US" w:eastAsia="zh-CN" w:bidi="ar-SA"/>
              </w:rPr>
            </w:pPr>
            <w:r>
              <w:rPr>
                <w:rFonts w:hint="eastAsia" w:ascii="Times New Roman" w:hAnsi="Times New Roman" w:eastAsia="宋体" w:cs="宋体"/>
                <w:b/>
                <w:color w:val="0000FF"/>
                <w:sz w:val="21"/>
                <w:szCs w:val="21"/>
                <w:lang w:val="en-US" w:eastAsia="zh-CN" w:bidi="ar-SA"/>
              </w:rPr>
              <w:t>表5.1-1环保投资概算一览表</w:t>
            </w:r>
          </w:p>
          <w:tbl>
            <w:tblPr>
              <w:tblStyle w:val="22"/>
              <w:tblW w:w="680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974"/>
              <w:gridCol w:w="1026"/>
              <w:gridCol w:w="2763"/>
              <w:gridCol w:w="584"/>
              <w:gridCol w:w="1456"/>
            </w:tblGrid>
            <w:tr w14:paraId="0C21E7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04" w:hRule="atLeast"/>
                <w:tblHeader/>
                <w:jc w:val="center"/>
              </w:trPr>
              <w:tc>
                <w:tcPr>
                  <w:tcW w:w="974" w:type="dxa"/>
                  <w:noWrap w:val="0"/>
                  <w:vAlign w:val="center"/>
                </w:tcPr>
                <w:p w14:paraId="42FD42D9">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项  目</w:t>
                  </w:r>
                </w:p>
              </w:tc>
              <w:tc>
                <w:tcPr>
                  <w:tcW w:w="1026" w:type="dxa"/>
                  <w:noWrap w:val="0"/>
                  <w:vAlign w:val="center"/>
                </w:tcPr>
                <w:p w14:paraId="7B2FE36F">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污染源</w:t>
                  </w:r>
                </w:p>
              </w:tc>
              <w:tc>
                <w:tcPr>
                  <w:tcW w:w="2763" w:type="dxa"/>
                  <w:noWrap w:val="0"/>
                  <w:vAlign w:val="center"/>
                </w:tcPr>
                <w:p w14:paraId="1CFDFED5">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内容</w:t>
                  </w:r>
                </w:p>
              </w:tc>
              <w:tc>
                <w:tcPr>
                  <w:tcW w:w="584" w:type="dxa"/>
                  <w:noWrap w:val="0"/>
                  <w:vAlign w:val="center"/>
                </w:tcPr>
                <w:p w14:paraId="3F444C42">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数量</w:t>
                  </w:r>
                </w:p>
              </w:tc>
              <w:tc>
                <w:tcPr>
                  <w:tcW w:w="1456" w:type="dxa"/>
                  <w:noWrap w:val="0"/>
                  <w:vAlign w:val="center"/>
                </w:tcPr>
                <w:p w14:paraId="5B90018E">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投资（万元）</w:t>
                  </w:r>
                </w:p>
              </w:tc>
            </w:tr>
            <w:tr w14:paraId="34FC23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95" w:hRule="atLeast"/>
                <w:jc w:val="center"/>
              </w:trPr>
              <w:tc>
                <w:tcPr>
                  <w:tcW w:w="974" w:type="dxa"/>
                  <w:vMerge w:val="restart"/>
                  <w:noWrap w:val="0"/>
                  <w:vAlign w:val="center"/>
                </w:tcPr>
                <w:p w14:paraId="0B30945C">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废气处理</w:t>
                  </w:r>
                </w:p>
              </w:tc>
              <w:tc>
                <w:tcPr>
                  <w:tcW w:w="1026" w:type="dxa"/>
                  <w:vMerge w:val="restart"/>
                  <w:noWrap w:val="0"/>
                  <w:vAlign w:val="center"/>
                </w:tcPr>
                <w:p w14:paraId="5F0D7FAD">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default"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有组织废气</w:t>
                  </w:r>
                </w:p>
              </w:tc>
              <w:tc>
                <w:tcPr>
                  <w:tcW w:w="2763" w:type="dxa"/>
                  <w:noWrap w:val="0"/>
                  <w:vAlign w:val="center"/>
                </w:tcPr>
                <w:p w14:paraId="025501AC">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集气罩+生物除臭塔（滴滤法）+15m排气筒</w:t>
                  </w:r>
                </w:p>
              </w:tc>
              <w:tc>
                <w:tcPr>
                  <w:tcW w:w="584" w:type="dxa"/>
                  <w:noWrap w:val="0"/>
                  <w:vAlign w:val="center"/>
                </w:tcPr>
                <w:p w14:paraId="19518392">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default"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1</w:t>
                  </w:r>
                </w:p>
              </w:tc>
              <w:tc>
                <w:tcPr>
                  <w:tcW w:w="1456" w:type="dxa"/>
                  <w:noWrap w:val="0"/>
                  <w:vAlign w:val="center"/>
                </w:tcPr>
                <w:p w14:paraId="126F43B5">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default" w:ascii="Times New Roman" w:hAnsi="Times New Roman" w:eastAsia="宋体" w:cs="宋体"/>
                      <w:color w:val="0000FF"/>
                      <w:sz w:val="21"/>
                      <w:szCs w:val="21"/>
                      <w:highlight w:val="none"/>
                      <w:lang w:val="en-US" w:eastAsia="zh-CN"/>
                    </w:rPr>
                  </w:pPr>
                  <w:r>
                    <w:rPr>
                      <w:rFonts w:hint="eastAsia" w:cs="宋体"/>
                      <w:color w:val="0000FF"/>
                      <w:sz w:val="21"/>
                      <w:szCs w:val="21"/>
                      <w:highlight w:val="none"/>
                      <w:lang w:val="en-US" w:eastAsia="zh-CN"/>
                    </w:rPr>
                    <w:t>10</w:t>
                  </w:r>
                </w:p>
              </w:tc>
            </w:tr>
            <w:tr w14:paraId="74D8FD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780" w:hRule="atLeast"/>
                <w:jc w:val="center"/>
              </w:trPr>
              <w:tc>
                <w:tcPr>
                  <w:tcW w:w="974" w:type="dxa"/>
                  <w:vMerge w:val="continue"/>
                  <w:noWrap w:val="0"/>
                  <w:vAlign w:val="center"/>
                </w:tcPr>
                <w:p w14:paraId="06F810B8">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p>
              </w:tc>
              <w:tc>
                <w:tcPr>
                  <w:tcW w:w="1026" w:type="dxa"/>
                  <w:vMerge w:val="continue"/>
                  <w:noWrap w:val="0"/>
                  <w:vAlign w:val="center"/>
                </w:tcPr>
                <w:p w14:paraId="0D999E17">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default" w:ascii="Times New Roman" w:hAnsi="Times New Roman" w:eastAsia="宋体" w:cs="宋体"/>
                      <w:color w:val="0000FF"/>
                      <w:sz w:val="21"/>
                      <w:szCs w:val="21"/>
                      <w:highlight w:val="none"/>
                      <w:lang w:val="en-US" w:eastAsia="zh-CN"/>
                    </w:rPr>
                  </w:pPr>
                </w:p>
              </w:tc>
              <w:tc>
                <w:tcPr>
                  <w:tcW w:w="2763" w:type="dxa"/>
                  <w:noWrap w:val="0"/>
                  <w:vAlign w:val="center"/>
                </w:tcPr>
                <w:p w14:paraId="16DDA062">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default"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袋式除尘</w:t>
                  </w:r>
                  <w:r>
                    <w:rPr>
                      <w:rFonts w:hint="eastAsia" w:cs="宋体"/>
                      <w:color w:val="0000FF"/>
                      <w:sz w:val="21"/>
                      <w:szCs w:val="21"/>
                      <w:highlight w:val="none"/>
                      <w:lang w:val="en-US" w:eastAsia="zh-CN"/>
                    </w:rPr>
                    <w:t>（1套）</w:t>
                  </w:r>
                  <w:r>
                    <w:rPr>
                      <w:rFonts w:hint="eastAsia" w:ascii="Times New Roman" w:hAnsi="Times New Roman" w:eastAsia="宋体" w:cs="宋体"/>
                      <w:color w:val="0000FF"/>
                      <w:sz w:val="21"/>
                      <w:szCs w:val="21"/>
                      <w:highlight w:val="none"/>
                      <w:lang w:val="en-US" w:eastAsia="zh-CN"/>
                    </w:rPr>
                    <w:t>+15m排气筒</w:t>
                  </w:r>
                </w:p>
              </w:tc>
              <w:tc>
                <w:tcPr>
                  <w:tcW w:w="584" w:type="dxa"/>
                  <w:noWrap w:val="0"/>
                  <w:vAlign w:val="center"/>
                </w:tcPr>
                <w:p w14:paraId="6FD27C97">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default" w:ascii="Times New Roman" w:hAnsi="Times New Roman" w:eastAsia="宋体" w:cs="宋体"/>
                      <w:color w:val="0000FF"/>
                      <w:sz w:val="21"/>
                      <w:szCs w:val="21"/>
                      <w:highlight w:val="none"/>
                      <w:lang w:val="en-US" w:eastAsia="zh-CN"/>
                    </w:rPr>
                  </w:pPr>
                  <w:r>
                    <w:rPr>
                      <w:rFonts w:hint="eastAsia" w:cs="宋体"/>
                      <w:color w:val="0000FF"/>
                      <w:sz w:val="21"/>
                      <w:szCs w:val="21"/>
                      <w:highlight w:val="none"/>
                      <w:lang w:val="en-US" w:eastAsia="zh-CN"/>
                    </w:rPr>
                    <w:t>1</w:t>
                  </w:r>
                </w:p>
              </w:tc>
              <w:tc>
                <w:tcPr>
                  <w:tcW w:w="1456" w:type="dxa"/>
                  <w:noWrap w:val="0"/>
                  <w:vAlign w:val="center"/>
                </w:tcPr>
                <w:p w14:paraId="5D388CEB">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default" w:ascii="Times New Roman" w:hAnsi="Times New Roman" w:eastAsia="宋体" w:cs="宋体"/>
                      <w:color w:val="0000FF"/>
                      <w:sz w:val="21"/>
                      <w:szCs w:val="21"/>
                      <w:highlight w:val="none"/>
                      <w:lang w:val="en-US" w:eastAsia="zh-CN"/>
                    </w:rPr>
                  </w:pPr>
                  <w:r>
                    <w:rPr>
                      <w:rFonts w:hint="eastAsia" w:cs="宋体"/>
                      <w:color w:val="0000FF"/>
                      <w:sz w:val="21"/>
                      <w:szCs w:val="21"/>
                      <w:highlight w:val="none"/>
                      <w:lang w:val="en-US" w:eastAsia="zh-CN"/>
                    </w:rPr>
                    <w:t>5</w:t>
                  </w:r>
                </w:p>
              </w:tc>
            </w:tr>
            <w:tr w14:paraId="72E1AA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74" w:hRule="atLeast"/>
                <w:jc w:val="center"/>
              </w:trPr>
              <w:tc>
                <w:tcPr>
                  <w:tcW w:w="974" w:type="dxa"/>
                  <w:vMerge w:val="continue"/>
                  <w:noWrap w:val="0"/>
                  <w:vAlign w:val="center"/>
                </w:tcPr>
                <w:p w14:paraId="1BB265F1">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p>
              </w:tc>
              <w:tc>
                <w:tcPr>
                  <w:tcW w:w="1026" w:type="dxa"/>
                  <w:noWrap w:val="0"/>
                  <w:vAlign w:val="center"/>
                </w:tcPr>
                <w:p w14:paraId="130ED9AC">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无组织废气</w:t>
                  </w:r>
                </w:p>
              </w:tc>
              <w:tc>
                <w:tcPr>
                  <w:tcW w:w="2763" w:type="dxa"/>
                  <w:noWrap w:val="0"/>
                  <w:vAlign w:val="center"/>
                </w:tcPr>
                <w:p w14:paraId="7E0965E2">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default"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封闭式作业；定期对生产设备进行检修，防止“跑冒滴漏”</w:t>
                  </w:r>
                </w:p>
              </w:tc>
              <w:tc>
                <w:tcPr>
                  <w:tcW w:w="584" w:type="dxa"/>
                  <w:noWrap w:val="0"/>
                  <w:vAlign w:val="center"/>
                </w:tcPr>
                <w:p w14:paraId="473B398D">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w:t>
                  </w:r>
                </w:p>
              </w:tc>
              <w:tc>
                <w:tcPr>
                  <w:tcW w:w="1456" w:type="dxa"/>
                  <w:noWrap w:val="0"/>
                  <w:vAlign w:val="center"/>
                </w:tcPr>
                <w:p w14:paraId="6E995132">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default" w:ascii="Times New Roman" w:hAnsi="Times New Roman" w:eastAsia="宋体" w:cs="宋体"/>
                      <w:color w:val="0000FF"/>
                      <w:sz w:val="21"/>
                      <w:szCs w:val="21"/>
                      <w:highlight w:val="none"/>
                      <w:lang w:val="en-US" w:eastAsia="zh-CN"/>
                    </w:rPr>
                  </w:pPr>
                  <w:r>
                    <w:rPr>
                      <w:rFonts w:hint="eastAsia" w:cs="宋体"/>
                      <w:color w:val="0000FF"/>
                      <w:sz w:val="21"/>
                      <w:szCs w:val="21"/>
                      <w:highlight w:val="none"/>
                      <w:lang w:val="en-US" w:eastAsia="zh-CN"/>
                    </w:rPr>
                    <w:t>2</w:t>
                  </w:r>
                </w:p>
              </w:tc>
            </w:tr>
            <w:tr w14:paraId="117178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454" w:hRule="atLeast"/>
                <w:jc w:val="center"/>
              </w:trPr>
              <w:tc>
                <w:tcPr>
                  <w:tcW w:w="974" w:type="dxa"/>
                  <w:noWrap w:val="0"/>
                  <w:vAlign w:val="center"/>
                </w:tcPr>
                <w:p w14:paraId="139A623D">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废水处理</w:t>
                  </w:r>
                </w:p>
              </w:tc>
              <w:tc>
                <w:tcPr>
                  <w:tcW w:w="1026" w:type="dxa"/>
                  <w:noWrap w:val="0"/>
                  <w:vAlign w:val="center"/>
                </w:tcPr>
                <w:p w14:paraId="04495CA6">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地下水</w:t>
                  </w:r>
                </w:p>
              </w:tc>
              <w:tc>
                <w:tcPr>
                  <w:tcW w:w="2763" w:type="dxa"/>
                  <w:noWrap w:val="0"/>
                  <w:vAlign w:val="center"/>
                </w:tcPr>
                <w:p w14:paraId="6DD39954">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default"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地面防渗</w:t>
                  </w:r>
                </w:p>
              </w:tc>
              <w:tc>
                <w:tcPr>
                  <w:tcW w:w="584" w:type="dxa"/>
                  <w:noWrap w:val="0"/>
                  <w:vAlign w:val="center"/>
                </w:tcPr>
                <w:p w14:paraId="0DD14EA8">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w:t>
                  </w:r>
                </w:p>
              </w:tc>
              <w:tc>
                <w:tcPr>
                  <w:tcW w:w="1456" w:type="dxa"/>
                  <w:noWrap w:val="0"/>
                  <w:vAlign w:val="center"/>
                </w:tcPr>
                <w:p w14:paraId="5DE59D88">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default" w:ascii="Times New Roman" w:hAnsi="Times New Roman" w:eastAsia="宋体" w:cs="宋体"/>
                      <w:color w:val="0000FF"/>
                      <w:sz w:val="21"/>
                      <w:szCs w:val="21"/>
                      <w:highlight w:val="none"/>
                      <w:lang w:val="en-US" w:eastAsia="zh-CN"/>
                    </w:rPr>
                  </w:pPr>
                  <w:r>
                    <w:rPr>
                      <w:rFonts w:hint="eastAsia" w:cs="宋体"/>
                      <w:color w:val="0000FF"/>
                      <w:sz w:val="21"/>
                      <w:szCs w:val="21"/>
                      <w:highlight w:val="none"/>
                      <w:lang w:val="en-US" w:eastAsia="zh-CN"/>
                    </w:rPr>
                    <w:t>5</w:t>
                  </w:r>
                </w:p>
              </w:tc>
            </w:tr>
            <w:tr w14:paraId="1B14CA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77" w:hRule="atLeast"/>
                <w:jc w:val="center"/>
              </w:trPr>
              <w:tc>
                <w:tcPr>
                  <w:tcW w:w="974" w:type="dxa"/>
                  <w:vMerge w:val="restart"/>
                  <w:noWrap w:val="0"/>
                  <w:vAlign w:val="center"/>
                </w:tcPr>
                <w:p w14:paraId="1DBC635A">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废固治理</w:t>
                  </w:r>
                </w:p>
              </w:tc>
              <w:tc>
                <w:tcPr>
                  <w:tcW w:w="1026" w:type="dxa"/>
                  <w:noWrap w:val="0"/>
                  <w:vAlign w:val="center"/>
                </w:tcPr>
                <w:p w14:paraId="0EA70AEA">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一般固废</w:t>
                  </w:r>
                </w:p>
              </w:tc>
              <w:tc>
                <w:tcPr>
                  <w:tcW w:w="2763" w:type="dxa"/>
                  <w:noWrap w:val="0"/>
                  <w:vAlign w:val="center"/>
                </w:tcPr>
                <w:p w14:paraId="5CFDF55E">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default" w:ascii="Times New Roman" w:hAnsi="Times New Roman" w:eastAsia="宋体" w:cs="宋体"/>
                      <w:color w:val="0000FF"/>
                      <w:sz w:val="21"/>
                      <w:szCs w:val="21"/>
                      <w:highlight w:val="none"/>
                      <w:lang w:val="en-US" w:eastAsia="zh-CN"/>
                    </w:rPr>
                  </w:pPr>
                  <w:r>
                    <w:rPr>
                      <w:rFonts w:hint="eastAsia" w:cs="宋体"/>
                      <w:color w:val="0000FF"/>
                      <w:sz w:val="21"/>
                      <w:szCs w:val="21"/>
                      <w:highlight w:val="none"/>
                      <w:lang w:val="en-US" w:eastAsia="zh-CN"/>
                    </w:rPr>
                    <w:t>生活垃圾箱</w:t>
                  </w:r>
                </w:p>
              </w:tc>
              <w:tc>
                <w:tcPr>
                  <w:tcW w:w="584" w:type="dxa"/>
                  <w:shd w:val="clear" w:color="auto" w:fill="auto"/>
                  <w:noWrap w:val="0"/>
                  <w:vAlign w:val="center"/>
                </w:tcPr>
                <w:p w14:paraId="53ED2E03">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bidi="ar-SA"/>
                    </w:rPr>
                  </w:pPr>
                  <w:r>
                    <w:rPr>
                      <w:rFonts w:hint="eastAsia" w:ascii="Times New Roman" w:hAnsi="Times New Roman" w:eastAsia="宋体" w:cs="宋体"/>
                      <w:color w:val="0000FF"/>
                      <w:sz w:val="21"/>
                      <w:szCs w:val="21"/>
                      <w:highlight w:val="none"/>
                      <w:lang w:val="en-US" w:eastAsia="zh-CN"/>
                    </w:rPr>
                    <w:t>-</w:t>
                  </w:r>
                </w:p>
              </w:tc>
              <w:tc>
                <w:tcPr>
                  <w:tcW w:w="1456" w:type="dxa"/>
                  <w:noWrap w:val="0"/>
                  <w:vAlign w:val="center"/>
                </w:tcPr>
                <w:p w14:paraId="44672EA7">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default" w:ascii="Times New Roman" w:hAnsi="Times New Roman" w:eastAsia="宋体" w:cs="宋体"/>
                      <w:color w:val="0000FF"/>
                      <w:sz w:val="21"/>
                      <w:szCs w:val="21"/>
                      <w:highlight w:val="none"/>
                      <w:lang w:val="en-US" w:eastAsia="zh-CN"/>
                    </w:rPr>
                  </w:pPr>
                  <w:r>
                    <w:rPr>
                      <w:rFonts w:hint="eastAsia" w:cs="宋体"/>
                      <w:color w:val="0000FF"/>
                      <w:sz w:val="21"/>
                      <w:szCs w:val="21"/>
                      <w:highlight w:val="none"/>
                      <w:lang w:val="en-US" w:eastAsia="zh-CN"/>
                    </w:rPr>
                    <w:t>1</w:t>
                  </w:r>
                </w:p>
              </w:tc>
            </w:tr>
            <w:tr w14:paraId="40C592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77" w:hRule="atLeast"/>
                <w:jc w:val="center"/>
              </w:trPr>
              <w:tc>
                <w:tcPr>
                  <w:tcW w:w="974" w:type="dxa"/>
                  <w:vMerge w:val="continue"/>
                  <w:noWrap w:val="0"/>
                  <w:vAlign w:val="center"/>
                </w:tcPr>
                <w:p w14:paraId="792525C3">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p>
              </w:tc>
              <w:tc>
                <w:tcPr>
                  <w:tcW w:w="1026" w:type="dxa"/>
                  <w:noWrap w:val="0"/>
                  <w:vAlign w:val="center"/>
                </w:tcPr>
                <w:p w14:paraId="0BA28EED">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default" w:ascii="Times New Roman" w:hAnsi="Times New Roman" w:eastAsia="宋体" w:cs="宋体"/>
                      <w:color w:val="0000FF"/>
                      <w:sz w:val="21"/>
                      <w:szCs w:val="21"/>
                      <w:highlight w:val="none"/>
                      <w:lang w:val="en-US" w:eastAsia="zh-CN"/>
                    </w:rPr>
                  </w:pPr>
                  <w:r>
                    <w:rPr>
                      <w:rFonts w:hint="eastAsia" w:cs="宋体"/>
                      <w:color w:val="0000FF"/>
                      <w:sz w:val="21"/>
                      <w:szCs w:val="21"/>
                      <w:highlight w:val="none"/>
                      <w:lang w:val="en-US" w:eastAsia="zh-CN"/>
                    </w:rPr>
                    <w:t>危险废物</w:t>
                  </w:r>
                </w:p>
              </w:tc>
              <w:tc>
                <w:tcPr>
                  <w:tcW w:w="2763" w:type="dxa"/>
                  <w:noWrap w:val="0"/>
                  <w:vAlign w:val="center"/>
                </w:tcPr>
                <w:p w14:paraId="76DC48F7">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default" w:cs="宋体"/>
                      <w:color w:val="0000FF"/>
                      <w:sz w:val="21"/>
                      <w:szCs w:val="21"/>
                      <w:highlight w:val="none"/>
                      <w:lang w:val="en-US" w:eastAsia="zh-CN"/>
                    </w:rPr>
                  </w:pPr>
                  <w:r>
                    <w:rPr>
                      <w:rFonts w:hint="eastAsia" w:cs="宋体"/>
                      <w:color w:val="0000FF"/>
                      <w:sz w:val="21"/>
                      <w:szCs w:val="21"/>
                      <w:highlight w:val="none"/>
                      <w:lang w:val="en-US" w:eastAsia="zh-CN"/>
                    </w:rPr>
                    <w:t>新建1座5m</w:t>
                  </w:r>
                  <w:r>
                    <w:rPr>
                      <w:rFonts w:hint="eastAsia" w:cs="宋体"/>
                      <w:color w:val="0000FF"/>
                      <w:sz w:val="21"/>
                      <w:szCs w:val="21"/>
                      <w:highlight w:val="none"/>
                      <w:vertAlign w:val="superscript"/>
                      <w:lang w:val="en-US" w:eastAsia="zh-CN"/>
                    </w:rPr>
                    <w:t>2</w:t>
                  </w:r>
                  <w:r>
                    <w:rPr>
                      <w:rFonts w:hint="eastAsia" w:cs="宋体"/>
                      <w:color w:val="0000FF"/>
                      <w:sz w:val="21"/>
                      <w:szCs w:val="21"/>
                      <w:highlight w:val="none"/>
                      <w:lang w:val="en-US" w:eastAsia="zh-CN"/>
                    </w:rPr>
                    <w:t>危险废物贮存库</w:t>
                  </w:r>
                </w:p>
              </w:tc>
              <w:tc>
                <w:tcPr>
                  <w:tcW w:w="584" w:type="dxa"/>
                  <w:shd w:val="clear" w:color="auto" w:fill="auto"/>
                  <w:noWrap w:val="0"/>
                  <w:vAlign w:val="center"/>
                </w:tcPr>
                <w:p w14:paraId="731D3771">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p>
              </w:tc>
              <w:tc>
                <w:tcPr>
                  <w:tcW w:w="1456" w:type="dxa"/>
                  <w:noWrap w:val="0"/>
                  <w:vAlign w:val="center"/>
                </w:tcPr>
                <w:p w14:paraId="1B59AC25">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default" w:cs="宋体"/>
                      <w:color w:val="0000FF"/>
                      <w:sz w:val="21"/>
                      <w:szCs w:val="21"/>
                      <w:highlight w:val="none"/>
                      <w:lang w:val="en-US" w:eastAsia="zh-CN"/>
                    </w:rPr>
                  </w:pPr>
                  <w:r>
                    <w:rPr>
                      <w:rFonts w:hint="eastAsia" w:cs="宋体"/>
                      <w:color w:val="0000FF"/>
                      <w:sz w:val="21"/>
                      <w:szCs w:val="21"/>
                      <w:highlight w:val="none"/>
                      <w:lang w:val="en-US" w:eastAsia="zh-CN"/>
                    </w:rPr>
                    <w:t>2</w:t>
                  </w:r>
                </w:p>
              </w:tc>
            </w:tr>
            <w:tr w14:paraId="38AB4A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77" w:hRule="atLeast"/>
                <w:jc w:val="center"/>
              </w:trPr>
              <w:tc>
                <w:tcPr>
                  <w:tcW w:w="974" w:type="dxa"/>
                  <w:noWrap w:val="0"/>
                  <w:vAlign w:val="center"/>
                </w:tcPr>
                <w:p w14:paraId="1EB8E557">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噪声治理</w:t>
                  </w:r>
                </w:p>
              </w:tc>
              <w:tc>
                <w:tcPr>
                  <w:tcW w:w="1026" w:type="dxa"/>
                  <w:noWrap w:val="0"/>
                  <w:vAlign w:val="center"/>
                </w:tcPr>
                <w:p w14:paraId="3AA6816F">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机械噪声</w:t>
                  </w:r>
                </w:p>
              </w:tc>
              <w:tc>
                <w:tcPr>
                  <w:tcW w:w="2763" w:type="dxa"/>
                  <w:noWrap w:val="0"/>
                  <w:vAlign w:val="center"/>
                </w:tcPr>
                <w:p w14:paraId="01A64C02">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隔声降噪、绿化措施</w:t>
                  </w:r>
                </w:p>
              </w:tc>
              <w:tc>
                <w:tcPr>
                  <w:tcW w:w="584" w:type="dxa"/>
                  <w:noWrap w:val="0"/>
                  <w:vAlign w:val="center"/>
                </w:tcPr>
                <w:p w14:paraId="139A3F54">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w:t>
                  </w:r>
                </w:p>
              </w:tc>
              <w:tc>
                <w:tcPr>
                  <w:tcW w:w="1456" w:type="dxa"/>
                  <w:noWrap w:val="0"/>
                  <w:vAlign w:val="center"/>
                </w:tcPr>
                <w:p w14:paraId="547B8CE3">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2</w:t>
                  </w:r>
                </w:p>
              </w:tc>
            </w:tr>
            <w:tr w14:paraId="00E4AE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77" w:hRule="atLeast"/>
                <w:jc w:val="center"/>
              </w:trPr>
              <w:tc>
                <w:tcPr>
                  <w:tcW w:w="2000" w:type="dxa"/>
                  <w:gridSpan w:val="2"/>
                  <w:noWrap w:val="0"/>
                  <w:vAlign w:val="center"/>
                </w:tcPr>
                <w:p w14:paraId="28C5DACA">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环境风险</w:t>
                  </w:r>
                </w:p>
              </w:tc>
              <w:tc>
                <w:tcPr>
                  <w:tcW w:w="2763" w:type="dxa"/>
                  <w:noWrap w:val="0"/>
                  <w:vAlign w:val="center"/>
                </w:tcPr>
                <w:p w14:paraId="024FEF6D">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环境风险防范及应急措施</w:t>
                  </w:r>
                </w:p>
              </w:tc>
              <w:tc>
                <w:tcPr>
                  <w:tcW w:w="584" w:type="dxa"/>
                  <w:noWrap w:val="0"/>
                  <w:vAlign w:val="center"/>
                </w:tcPr>
                <w:p w14:paraId="7BD714EB">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w:t>
                  </w:r>
                </w:p>
              </w:tc>
              <w:tc>
                <w:tcPr>
                  <w:tcW w:w="1456" w:type="dxa"/>
                  <w:noWrap w:val="0"/>
                  <w:vAlign w:val="center"/>
                </w:tcPr>
                <w:p w14:paraId="56EA0821">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5</w:t>
                  </w:r>
                </w:p>
              </w:tc>
            </w:tr>
            <w:tr w14:paraId="25F262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77" w:hRule="atLeast"/>
                <w:jc w:val="center"/>
              </w:trPr>
              <w:tc>
                <w:tcPr>
                  <w:tcW w:w="2000" w:type="dxa"/>
                  <w:gridSpan w:val="2"/>
                  <w:noWrap w:val="0"/>
                  <w:vAlign w:val="center"/>
                </w:tcPr>
                <w:p w14:paraId="32B453C4">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其他</w:t>
                  </w:r>
                </w:p>
              </w:tc>
              <w:tc>
                <w:tcPr>
                  <w:tcW w:w="2763" w:type="dxa"/>
                  <w:noWrap w:val="0"/>
                  <w:vAlign w:val="center"/>
                </w:tcPr>
                <w:p w14:paraId="06C87409">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水土保持、厂区绿化、施工期污染防治措施、环境管理与监控、消防系统、排污口规范化</w:t>
                  </w:r>
                </w:p>
              </w:tc>
              <w:tc>
                <w:tcPr>
                  <w:tcW w:w="584" w:type="dxa"/>
                  <w:noWrap w:val="0"/>
                  <w:vAlign w:val="center"/>
                </w:tcPr>
                <w:p w14:paraId="26737C19">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w:t>
                  </w:r>
                </w:p>
              </w:tc>
              <w:tc>
                <w:tcPr>
                  <w:tcW w:w="1456" w:type="dxa"/>
                  <w:noWrap w:val="0"/>
                  <w:vAlign w:val="center"/>
                </w:tcPr>
                <w:p w14:paraId="3D851A2D">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default"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5</w:t>
                  </w:r>
                </w:p>
              </w:tc>
            </w:tr>
            <w:tr w14:paraId="7B66DC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417" w:hRule="atLeast"/>
                <w:jc w:val="center"/>
              </w:trPr>
              <w:tc>
                <w:tcPr>
                  <w:tcW w:w="4763" w:type="dxa"/>
                  <w:gridSpan w:val="3"/>
                  <w:noWrap w:val="0"/>
                  <w:vAlign w:val="center"/>
                </w:tcPr>
                <w:p w14:paraId="3B1B7AF2">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r>
                    <w:rPr>
                      <w:rFonts w:hint="eastAsia" w:ascii="Times New Roman" w:hAnsi="Times New Roman" w:eastAsia="宋体" w:cs="宋体"/>
                      <w:color w:val="0000FF"/>
                      <w:sz w:val="21"/>
                      <w:szCs w:val="21"/>
                      <w:highlight w:val="none"/>
                      <w:lang w:val="en-US" w:eastAsia="zh-CN"/>
                    </w:rPr>
                    <w:t>合  计</w:t>
                  </w:r>
                </w:p>
              </w:tc>
              <w:tc>
                <w:tcPr>
                  <w:tcW w:w="584" w:type="dxa"/>
                  <w:noWrap w:val="0"/>
                  <w:vAlign w:val="center"/>
                </w:tcPr>
                <w:p w14:paraId="7DA9C815">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eastAsia" w:ascii="Times New Roman" w:hAnsi="Times New Roman" w:eastAsia="宋体" w:cs="宋体"/>
                      <w:color w:val="0000FF"/>
                      <w:sz w:val="21"/>
                      <w:szCs w:val="21"/>
                      <w:highlight w:val="none"/>
                      <w:lang w:val="en-US" w:eastAsia="zh-CN"/>
                    </w:rPr>
                  </w:pPr>
                </w:p>
              </w:tc>
              <w:tc>
                <w:tcPr>
                  <w:tcW w:w="1456" w:type="dxa"/>
                  <w:noWrap w:val="0"/>
                  <w:vAlign w:val="center"/>
                </w:tcPr>
                <w:p w14:paraId="29EA1EEA">
                  <w:pPr>
                    <w:keepNext w:val="0"/>
                    <w:keepLines w:val="0"/>
                    <w:pageBreakBefore w:val="0"/>
                    <w:widowControl w:val="0"/>
                    <w:kinsoku/>
                    <w:wordWrap/>
                    <w:overflowPunct/>
                    <w:topLinePunct w:val="0"/>
                    <w:autoSpaceDE/>
                    <w:autoSpaceDN/>
                    <w:bidi w:val="0"/>
                    <w:adjustRightInd w:val="0"/>
                    <w:snapToGrid/>
                    <w:spacing w:before="0" w:after="0" w:line="400" w:lineRule="exact"/>
                    <w:ind w:left="0" w:leftChars="0" w:right="0" w:rightChars="0" w:firstLine="0" w:firstLineChars="0"/>
                    <w:jc w:val="center"/>
                    <w:textAlignment w:val="auto"/>
                    <w:rPr>
                      <w:rFonts w:hint="default" w:ascii="Times New Roman" w:hAnsi="Times New Roman" w:eastAsia="宋体" w:cs="宋体"/>
                      <w:color w:val="0000FF"/>
                      <w:sz w:val="21"/>
                      <w:szCs w:val="21"/>
                      <w:highlight w:val="none"/>
                      <w:lang w:val="en-US" w:eastAsia="zh-CN"/>
                    </w:rPr>
                  </w:pPr>
                  <w:r>
                    <w:rPr>
                      <w:rFonts w:hint="eastAsia" w:cs="宋体"/>
                      <w:color w:val="0000FF"/>
                      <w:sz w:val="21"/>
                      <w:szCs w:val="21"/>
                      <w:highlight w:val="none"/>
                      <w:lang w:val="en-US" w:eastAsia="zh-CN"/>
                    </w:rPr>
                    <w:t>37</w:t>
                  </w:r>
                </w:p>
              </w:tc>
            </w:tr>
          </w:tbl>
          <w:p w14:paraId="6F348ABD">
            <w:pPr>
              <w:overflowPunct w:val="0"/>
              <w:autoSpaceDE w:val="0"/>
              <w:autoSpaceDN w:val="0"/>
              <w:bidi w:val="0"/>
              <w:adjustRightInd w:val="0"/>
              <w:snapToGrid w:val="0"/>
              <w:spacing w:before="0" w:after="0" w:line="500" w:lineRule="exact"/>
              <w:ind w:left="0" w:right="0" w:firstLine="420" w:firstLineChars="200"/>
              <w:jc w:val="left"/>
              <w:rPr>
                <w:rFonts w:hint="default" w:ascii="Times New Roman" w:hAnsi="Times New Roman" w:eastAsia="宋体" w:cs="宋体"/>
                <w:color w:val="auto"/>
                <w:sz w:val="21"/>
                <w:szCs w:val="21"/>
                <w:lang w:val="en-US" w:eastAsia="zh-CN"/>
              </w:rPr>
            </w:pPr>
            <w:r>
              <w:rPr>
                <w:rFonts w:hint="eastAsia" w:ascii="Times New Roman" w:hAnsi="Times New Roman" w:eastAsia="宋体" w:cs="宋体"/>
                <w:color w:val="auto"/>
                <w:sz w:val="21"/>
                <w:szCs w:val="21"/>
                <w:lang w:val="en-US" w:eastAsia="zh-CN"/>
              </w:rPr>
              <w:t>二、环境管理要求</w:t>
            </w:r>
          </w:p>
          <w:p w14:paraId="687B2F5C">
            <w:pPr>
              <w:overflowPunct w:val="0"/>
              <w:autoSpaceDE w:val="0"/>
              <w:autoSpaceDN w:val="0"/>
              <w:bidi w:val="0"/>
              <w:adjustRightInd w:val="0"/>
              <w:snapToGrid w:val="0"/>
              <w:spacing w:before="0" w:after="0" w:line="500" w:lineRule="exact"/>
              <w:ind w:left="0" w:right="0" w:firstLine="420" w:firstLineChars="200"/>
              <w:jc w:val="left"/>
              <w:rPr>
                <w:rFonts w:hint="default" w:ascii="Times New Roman" w:hAnsi="Times New Roman" w:eastAsia="宋体" w:cs="宋体"/>
                <w:color w:val="auto"/>
                <w:sz w:val="21"/>
                <w:szCs w:val="21"/>
                <w:lang w:val="en-US" w:eastAsia="zh-CN"/>
              </w:rPr>
            </w:pPr>
            <w:r>
              <w:rPr>
                <w:rFonts w:hint="default" w:ascii="Times New Roman" w:hAnsi="Times New Roman" w:eastAsia="宋体" w:cs="宋体"/>
                <w:color w:val="auto"/>
                <w:sz w:val="21"/>
                <w:szCs w:val="21"/>
                <w:lang w:val="en-US" w:eastAsia="zh-CN"/>
              </w:rPr>
              <w:t>为了落实各项污染防治措施，应当根据实际特点，制定各种类型的环保制度。</w:t>
            </w:r>
          </w:p>
          <w:p w14:paraId="71BD9FDF">
            <w:pPr>
              <w:overflowPunct w:val="0"/>
              <w:autoSpaceDE w:val="0"/>
              <w:autoSpaceDN w:val="0"/>
              <w:bidi w:val="0"/>
              <w:adjustRightInd w:val="0"/>
              <w:snapToGrid w:val="0"/>
              <w:spacing w:before="0" w:after="0" w:line="500" w:lineRule="exact"/>
              <w:ind w:left="0" w:right="0" w:firstLine="420" w:firstLineChars="200"/>
              <w:jc w:val="left"/>
              <w:rPr>
                <w:rFonts w:hint="default" w:ascii="Times New Roman" w:hAnsi="Times New Roman" w:eastAsia="宋体" w:cs="宋体"/>
                <w:color w:val="auto"/>
                <w:sz w:val="21"/>
                <w:szCs w:val="21"/>
                <w:lang w:val="en-US" w:eastAsia="zh-CN"/>
              </w:rPr>
            </w:pPr>
            <w:r>
              <w:rPr>
                <w:rFonts w:hint="default" w:ascii="Times New Roman" w:hAnsi="Times New Roman" w:eastAsia="宋体" w:cs="宋体"/>
                <w:color w:val="auto"/>
                <w:sz w:val="21"/>
                <w:szCs w:val="21"/>
                <w:lang w:val="en-US" w:eastAsia="zh-CN"/>
              </w:rPr>
              <w:t>（1）环保设施的建设、运行及维护费用保障制度</w:t>
            </w:r>
          </w:p>
          <w:p w14:paraId="5BB0637D">
            <w:pPr>
              <w:overflowPunct w:val="0"/>
              <w:autoSpaceDE w:val="0"/>
              <w:autoSpaceDN w:val="0"/>
              <w:bidi w:val="0"/>
              <w:adjustRightInd w:val="0"/>
              <w:snapToGrid w:val="0"/>
              <w:spacing w:before="0" w:after="0" w:line="500" w:lineRule="exact"/>
              <w:ind w:left="0" w:right="0" w:firstLine="420" w:firstLineChars="200"/>
              <w:jc w:val="left"/>
              <w:rPr>
                <w:rFonts w:hint="default" w:ascii="Times New Roman" w:hAnsi="Times New Roman" w:eastAsia="宋体" w:cs="宋体"/>
                <w:color w:val="auto"/>
                <w:sz w:val="21"/>
                <w:szCs w:val="21"/>
                <w:lang w:val="en-US" w:eastAsia="zh-CN"/>
              </w:rPr>
            </w:pPr>
            <w:r>
              <w:rPr>
                <w:rFonts w:hint="default" w:ascii="Times New Roman" w:hAnsi="Times New Roman" w:eastAsia="宋体" w:cs="宋体"/>
                <w:color w:val="auto"/>
                <w:sz w:val="21"/>
                <w:szCs w:val="21"/>
                <w:lang w:val="en-US" w:eastAsia="zh-CN"/>
              </w:rPr>
              <w:t>在项目的建设、运行、维护的过程中，要设立专项的环保资金，所有环保投支出该专项资金投入，并定时、定量对该环保资金进行补充，以保证环保设施的正常建设、运行和维护。</w:t>
            </w:r>
          </w:p>
          <w:p w14:paraId="14CAE5E1">
            <w:pPr>
              <w:overflowPunct w:val="0"/>
              <w:autoSpaceDE w:val="0"/>
              <w:autoSpaceDN w:val="0"/>
              <w:bidi w:val="0"/>
              <w:adjustRightInd w:val="0"/>
              <w:snapToGrid w:val="0"/>
              <w:spacing w:before="0" w:after="0" w:line="500" w:lineRule="exact"/>
              <w:ind w:left="0" w:right="0" w:firstLine="420" w:firstLineChars="200"/>
              <w:jc w:val="left"/>
              <w:rPr>
                <w:rFonts w:hint="default" w:ascii="Times New Roman" w:hAnsi="Times New Roman" w:eastAsia="宋体" w:cs="宋体"/>
                <w:color w:val="auto"/>
                <w:sz w:val="21"/>
                <w:szCs w:val="21"/>
                <w:lang w:val="en-US" w:eastAsia="zh-CN"/>
              </w:rPr>
            </w:pPr>
            <w:r>
              <w:rPr>
                <w:rFonts w:hint="default" w:ascii="Times New Roman" w:hAnsi="Times New Roman" w:eastAsia="宋体" w:cs="宋体"/>
                <w:color w:val="auto"/>
                <w:sz w:val="21"/>
                <w:szCs w:val="21"/>
                <w:lang w:val="en-US" w:eastAsia="zh-CN"/>
              </w:rPr>
              <w:t>（2）排污定期报告制度</w:t>
            </w:r>
          </w:p>
          <w:p w14:paraId="08ACA5CC">
            <w:pPr>
              <w:overflowPunct w:val="0"/>
              <w:autoSpaceDE w:val="0"/>
              <w:autoSpaceDN w:val="0"/>
              <w:bidi w:val="0"/>
              <w:adjustRightInd w:val="0"/>
              <w:snapToGrid w:val="0"/>
              <w:spacing w:before="0" w:after="0" w:line="500" w:lineRule="exact"/>
              <w:ind w:left="0" w:right="0" w:firstLine="420" w:firstLineChars="200"/>
              <w:jc w:val="left"/>
              <w:rPr>
                <w:rFonts w:hint="default" w:ascii="Times New Roman" w:hAnsi="Times New Roman" w:eastAsia="宋体" w:cs="宋体"/>
                <w:color w:val="auto"/>
                <w:sz w:val="21"/>
                <w:szCs w:val="21"/>
                <w:lang w:val="en-US" w:eastAsia="zh-CN"/>
              </w:rPr>
            </w:pPr>
            <w:r>
              <w:rPr>
                <w:rFonts w:hint="default" w:ascii="Times New Roman" w:hAnsi="Times New Roman" w:eastAsia="宋体" w:cs="宋体"/>
                <w:color w:val="auto"/>
                <w:sz w:val="21"/>
                <w:szCs w:val="21"/>
                <w:lang w:val="en-US" w:eastAsia="zh-CN"/>
              </w:rPr>
              <w:t>要定期向当地环保部门报告污染治理设施运行情况、污染物排放情况以及污染事故、污染纠纷等情况。</w:t>
            </w:r>
          </w:p>
          <w:p w14:paraId="4C0641FD">
            <w:pPr>
              <w:overflowPunct w:val="0"/>
              <w:autoSpaceDE w:val="0"/>
              <w:autoSpaceDN w:val="0"/>
              <w:bidi w:val="0"/>
              <w:adjustRightInd w:val="0"/>
              <w:snapToGrid w:val="0"/>
              <w:spacing w:before="0" w:after="0" w:line="500" w:lineRule="exact"/>
              <w:ind w:left="0" w:right="0" w:firstLine="420" w:firstLineChars="200"/>
              <w:jc w:val="left"/>
              <w:rPr>
                <w:rFonts w:hint="default" w:ascii="Times New Roman" w:hAnsi="Times New Roman" w:eastAsia="宋体" w:cs="宋体"/>
                <w:color w:val="auto"/>
                <w:sz w:val="21"/>
                <w:szCs w:val="21"/>
                <w:lang w:val="en-US" w:eastAsia="zh-CN"/>
              </w:rPr>
            </w:pPr>
            <w:r>
              <w:rPr>
                <w:rFonts w:hint="default" w:ascii="Times New Roman" w:hAnsi="Times New Roman" w:eastAsia="宋体" w:cs="宋体"/>
                <w:color w:val="auto"/>
                <w:sz w:val="21"/>
                <w:szCs w:val="21"/>
                <w:lang w:val="en-US" w:eastAsia="zh-CN"/>
              </w:rPr>
              <w:t>（3）污染处理设施的管理制度</w:t>
            </w:r>
          </w:p>
          <w:p w14:paraId="0FDD3798">
            <w:pPr>
              <w:overflowPunct w:val="0"/>
              <w:autoSpaceDE w:val="0"/>
              <w:autoSpaceDN w:val="0"/>
              <w:bidi w:val="0"/>
              <w:adjustRightInd w:val="0"/>
              <w:snapToGrid w:val="0"/>
              <w:spacing w:before="0" w:after="0" w:line="500" w:lineRule="exact"/>
              <w:ind w:left="0" w:right="0" w:firstLine="420" w:firstLineChars="200"/>
              <w:jc w:val="left"/>
              <w:rPr>
                <w:rFonts w:hint="default" w:ascii="Times New Roman" w:hAnsi="Times New Roman" w:eastAsia="宋体" w:cs="宋体"/>
                <w:color w:val="auto"/>
                <w:sz w:val="21"/>
                <w:szCs w:val="21"/>
                <w:lang w:val="en-US" w:eastAsia="zh-CN"/>
              </w:rPr>
            </w:pPr>
            <w:r>
              <w:rPr>
                <w:rFonts w:hint="default" w:ascii="Times New Roman" w:hAnsi="Times New Roman" w:eastAsia="宋体" w:cs="宋体"/>
                <w:color w:val="auto"/>
                <w:sz w:val="21"/>
                <w:szCs w:val="21"/>
                <w:lang w:val="en-US" w:eastAsia="zh-CN"/>
              </w:rPr>
              <w:t>对污染治理设施的管理必须与生产经营活动一起纳入企业的日常管理中，要建立岗位责任制，制定操作规程，建立环境管理台帐。</w:t>
            </w:r>
          </w:p>
          <w:p w14:paraId="307E74D4">
            <w:pPr>
              <w:overflowPunct w:val="0"/>
              <w:autoSpaceDE w:val="0"/>
              <w:autoSpaceDN w:val="0"/>
              <w:bidi w:val="0"/>
              <w:adjustRightInd w:val="0"/>
              <w:snapToGrid w:val="0"/>
              <w:spacing w:before="0" w:after="0" w:line="500" w:lineRule="exact"/>
              <w:ind w:left="0" w:right="0" w:firstLine="420" w:firstLineChars="200"/>
              <w:jc w:val="left"/>
              <w:rPr>
                <w:rFonts w:hint="default" w:ascii="Times New Roman" w:hAnsi="Times New Roman" w:eastAsia="宋体" w:cs="宋体"/>
                <w:color w:val="auto"/>
                <w:sz w:val="21"/>
                <w:szCs w:val="21"/>
                <w:lang w:val="en-US" w:eastAsia="zh-CN"/>
              </w:rPr>
            </w:pPr>
            <w:r>
              <w:rPr>
                <w:rFonts w:hint="default" w:ascii="Times New Roman" w:hAnsi="Times New Roman" w:eastAsia="宋体" w:cs="宋体"/>
                <w:color w:val="auto"/>
                <w:sz w:val="21"/>
                <w:szCs w:val="21"/>
                <w:lang w:val="en-US" w:eastAsia="zh-CN"/>
              </w:rPr>
              <w:t>（4）奖惩制度</w:t>
            </w:r>
          </w:p>
          <w:p w14:paraId="247D6CD3">
            <w:pPr>
              <w:overflowPunct w:val="0"/>
              <w:autoSpaceDE w:val="0"/>
              <w:autoSpaceDN w:val="0"/>
              <w:bidi w:val="0"/>
              <w:adjustRightInd w:val="0"/>
              <w:snapToGrid w:val="0"/>
              <w:spacing w:before="0" w:after="0" w:line="500" w:lineRule="exact"/>
              <w:ind w:left="0" w:right="0" w:firstLine="420" w:firstLineChars="200"/>
              <w:jc w:val="left"/>
              <w:rPr>
                <w:rFonts w:hint="default" w:ascii="Times New Roman" w:hAnsi="Times New Roman" w:eastAsia="宋体" w:cs="宋体"/>
                <w:color w:val="auto"/>
                <w:sz w:val="21"/>
                <w:szCs w:val="21"/>
                <w:lang w:val="en-US" w:eastAsia="zh-CN"/>
              </w:rPr>
            </w:pPr>
            <w:r>
              <w:rPr>
                <w:rFonts w:hint="default" w:ascii="Times New Roman" w:hAnsi="Times New Roman" w:eastAsia="宋体" w:cs="宋体"/>
                <w:color w:val="auto"/>
                <w:sz w:val="21"/>
                <w:szCs w:val="21"/>
                <w:lang w:val="en-US" w:eastAsia="zh-CN"/>
              </w:rPr>
              <w:t>企业应设置环境保护奖惩制度，对爱护环保设施，节能降耗、改善环境者实行奖励；对不按环保要求管理，造成环保设施损坏、环境污染和资源、能源浪费者予以处罚。</w:t>
            </w:r>
          </w:p>
          <w:p w14:paraId="3890F092">
            <w:pPr>
              <w:overflowPunct w:val="0"/>
              <w:autoSpaceDE w:val="0"/>
              <w:autoSpaceDN w:val="0"/>
              <w:bidi w:val="0"/>
              <w:adjustRightInd w:val="0"/>
              <w:snapToGrid w:val="0"/>
              <w:spacing w:before="0" w:after="0" w:line="500" w:lineRule="exact"/>
              <w:ind w:left="0" w:right="0" w:firstLine="420" w:firstLineChars="200"/>
              <w:jc w:val="left"/>
              <w:rPr>
                <w:rFonts w:hint="default" w:ascii="Times New Roman" w:hAnsi="Times New Roman" w:eastAsia="宋体" w:cs="宋体"/>
                <w:color w:val="auto"/>
                <w:sz w:val="21"/>
                <w:szCs w:val="21"/>
                <w:lang w:val="en-US" w:eastAsia="zh-CN"/>
              </w:rPr>
            </w:pPr>
            <w:r>
              <w:rPr>
                <w:rFonts w:hint="eastAsia" w:ascii="Times New Roman" w:hAnsi="Times New Roman" w:eastAsia="宋体" w:cs="宋体"/>
                <w:color w:val="auto"/>
                <w:sz w:val="21"/>
                <w:szCs w:val="21"/>
                <w:lang w:val="en-US" w:eastAsia="zh-CN"/>
              </w:rPr>
              <w:t>（5）规范排污口</w:t>
            </w:r>
          </w:p>
          <w:p w14:paraId="02898A58">
            <w:pPr>
              <w:overflowPunct w:val="0"/>
              <w:autoSpaceDE w:val="0"/>
              <w:autoSpaceDN w:val="0"/>
              <w:bidi w:val="0"/>
              <w:adjustRightInd w:val="0"/>
              <w:snapToGrid w:val="0"/>
              <w:spacing w:before="0" w:after="0" w:line="500" w:lineRule="exact"/>
              <w:ind w:left="0" w:right="0" w:firstLine="420" w:firstLineChars="200"/>
              <w:jc w:val="left"/>
              <w:rPr>
                <w:rFonts w:hint="eastAsia" w:ascii="Times New Roman" w:hAnsi="Times New Roman" w:eastAsia="宋体" w:cs="宋体"/>
                <w:color w:val="auto"/>
                <w:sz w:val="21"/>
                <w:szCs w:val="21"/>
                <w:lang w:val="en-US" w:eastAsia="zh-CN"/>
              </w:rPr>
            </w:pPr>
            <w:r>
              <w:rPr>
                <w:rFonts w:hint="eastAsia" w:ascii="Times New Roman" w:hAnsi="Times New Roman" w:eastAsia="宋体" w:cs="宋体"/>
                <w:color w:val="auto"/>
                <w:sz w:val="21"/>
                <w:szCs w:val="21"/>
                <w:lang w:val="en-US" w:eastAsia="zh-CN"/>
              </w:rPr>
              <w:t>本项目应按《环境保护图形标志—排放口（源）》（GB15562.1-1995）规定的图形，在各气、水、声排污口（源）挂牌标识，做到各排污口（源）的环保标志明显，便于企业管理和公众监督。</w:t>
            </w:r>
          </w:p>
          <w:p w14:paraId="10B5B6F5">
            <w:pPr>
              <w:overflowPunct w:val="0"/>
              <w:autoSpaceDE w:val="0"/>
              <w:autoSpaceDN w:val="0"/>
              <w:bidi w:val="0"/>
              <w:adjustRightInd w:val="0"/>
              <w:snapToGrid w:val="0"/>
              <w:spacing w:before="0" w:after="0" w:line="500" w:lineRule="exact"/>
              <w:ind w:left="0" w:right="0" w:firstLine="420" w:firstLineChars="200"/>
              <w:jc w:val="left"/>
              <w:rPr>
                <w:rFonts w:hint="eastAsia" w:ascii="Times New Roman" w:hAnsi="Times New Roman" w:eastAsia="宋体" w:cs="宋体"/>
                <w:color w:val="auto"/>
                <w:sz w:val="21"/>
                <w:szCs w:val="21"/>
                <w:lang w:val="en-US" w:eastAsia="zh-CN"/>
              </w:rPr>
            </w:pPr>
            <w:r>
              <w:rPr>
                <w:rFonts w:hint="eastAsia" w:ascii="Times New Roman" w:hAnsi="Times New Roman" w:eastAsia="宋体" w:cs="宋体"/>
                <w:color w:val="auto"/>
                <w:sz w:val="21"/>
                <w:szCs w:val="21"/>
                <w:lang w:val="en-US" w:eastAsia="zh-CN"/>
              </w:rPr>
              <w:t>列入总量控制污染物的排污口为管理的重点，排污口应便于采样与计量监测，便于日常现场监督检查。排污口位置必须合理确定，按环监[1996]470号文件要求进行规范化管理。</w:t>
            </w:r>
          </w:p>
          <w:p w14:paraId="78BE3F1B">
            <w:pPr>
              <w:overflowPunct w:val="0"/>
              <w:autoSpaceDE w:val="0"/>
              <w:autoSpaceDN w:val="0"/>
              <w:bidi w:val="0"/>
              <w:adjustRightInd w:val="0"/>
              <w:snapToGrid w:val="0"/>
              <w:spacing w:before="0" w:after="0" w:line="500" w:lineRule="exact"/>
              <w:ind w:left="0" w:right="0" w:firstLine="420" w:firstLineChars="200"/>
              <w:jc w:val="left"/>
              <w:rPr>
                <w:rFonts w:hint="eastAsia" w:ascii="Times New Roman" w:hAnsi="Times New Roman" w:eastAsia="宋体" w:cs="宋体"/>
                <w:color w:val="auto"/>
                <w:sz w:val="21"/>
                <w:szCs w:val="21"/>
                <w:lang w:val="en-US" w:eastAsia="zh-CN"/>
              </w:rPr>
            </w:pPr>
            <w:r>
              <w:rPr>
                <w:rFonts w:hint="eastAsia" w:ascii="Times New Roman" w:hAnsi="Times New Roman" w:eastAsia="宋体" w:cs="宋体"/>
                <w:color w:val="auto"/>
                <w:sz w:val="21"/>
                <w:szCs w:val="21"/>
                <w:lang w:val="en-US" w:eastAsia="zh-CN"/>
              </w:rPr>
              <w:t>污染物排放口的环保图形标志牌应设置在靠近采样点的醒目位置处，标志牌设置高度为其上缘距地面约2m。</w:t>
            </w:r>
          </w:p>
          <w:p w14:paraId="178793C0">
            <w:pPr>
              <w:overflowPunct w:val="0"/>
              <w:autoSpaceDE w:val="0"/>
              <w:autoSpaceDN w:val="0"/>
              <w:bidi w:val="0"/>
              <w:adjustRightInd w:val="0"/>
              <w:snapToGrid w:val="0"/>
              <w:spacing w:before="0" w:after="0" w:line="500" w:lineRule="exact"/>
              <w:ind w:left="0" w:right="0" w:firstLine="420" w:firstLineChars="200"/>
              <w:jc w:val="left"/>
              <w:rPr>
                <w:rFonts w:hint="eastAsia" w:ascii="Times New Roman" w:hAnsi="Times New Roman" w:eastAsia="宋体" w:cs="宋体"/>
                <w:color w:val="auto"/>
                <w:sz w:val="21"/>
                <w:szCs w:val="21"/>
                <w:lang w:val="en-US" w:eastAsia="zh-CN"/>
              </w:rPr>
            </w:pPr>
            <w:r>
              <w:rPr>
                <w:rFonts w:hint="eastAsia" w:ascii="Times New Roman" w:hAnsi="Times New Roman" w:eastAsia="宋体" w:cs="宋体"/>
                <w:color w:val="auto"/>
                <w:sz w:val="21"/>
                <w:szCs w:val="21"/>
                <w:lang w:val="en-US" w:eastAsia="zh-CN"/>
              </w:rPr>
              <w:t>重点排污单位的污染物排放口或固体废物贮存处置场地以设置立式标志牌为主，一般排污单位的污染物排放口或固体废物贮存处置场地可以根据情况设置立式或平面固定式标志牌。一般污染物排放口或固体废物贮存堆放场地设置提示性环境保护图形标志牌。</w:t>
            </w:r>
          </w:p>
          <w:p w14:paraId="4AF28490">
            <w:pPr>
              <w:widowControl w:val="0"/>
              <w:overflowPunct w:val="0"/>
              <w:autoSpaceDE w:val="0"/>
              <w:autoSpaceDN w:val="0"/>
              <w:adjustRightInd w:val="0"/>
              <w:snapToGrid w:val="0"/>
              <w:spacing w:before="0" w:after="0" w:line="360" w:lineRule="exact"/>
              <w:ind w:right="0"/>
              <w:jc w:val="both"/>
              <w:rPr>
                <w:rFonts w:hint="default" w:ascii="Times New Roman" w:hAnsi="Times New Roman" w:eastAsia="宋体" w:cs="宋体"/>
                <w:snapToGrid w:val="0"/>
                <w:color w:val="auto"/>
                <w:sz w:val="24"/>
                <w:szCs w:val="21"/>
                <w:lang w:val="en-US" w:eastAsia="zh-CN" w:bidi="ar-SA"/>
              </w:rPr>
            </w:pPr>
          </w:p>
        </w:tc>
      </w:tr>
    </w:tbl>
    <w:p w14:paraId="2DA74A1F">
      <w:pPr>
        <w:rPr>
          <w:rFonts w:hint="default"/>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9CB3FFA">
      <w:pPr>
        <w:widowControl w:val="0"/>
        <w:overflowPunct w:val="0"/>
        <w:autoSpaceDE w:val="0"/>
        <w:autoSpaceDN w:val="0"/>
        <w:bidi w:val="0"/>
        <w:adjustRightInd w:val="0"/>
        <w:snapToGrid w:val="0"/>
        <w:spacing w:before="0" w:after="0" w:line="560" w:lineRule="exact"/>
        <w:ind w:left="0" w:right="0" w:firstLine="0" w:firstLineChars="0"/>
        <w:jc w:val="center"/>
        <w:outlineLvl w:val="0"/>
        <w:rPr>
          <w:rFonts w:hint="eastAsia" w:ascii="Times New Roman" w:hAnsi="Times New Roman" w:eastAsia="宋体" w:cs="宋体"/>
          <w:b/>
          <w:color w:val="auto"/>
          <w:kern w:val="44"/>
          <w:sz w:val="28"/>
          <w:szCs w:val="22"/>
          <w:lang w:val="en-US" w:eastAsia="zh-CN" w:bidi="ar-SA"/>
        </w:rPr>
      </w:pPr>
      <w:bookmarkStart w:id="98" w:name="_Toc31367"/>
      <w:bookmarkStart w:id="99" w:name="_Toc3035"/>
      <w:bookmarkStart w:id="100" w:name="_Toc14416"/>
      <w:bookmarkStart w:id="101" w:name="_Toc16460"/>
      <w:bookmarkStart w:id="102" w:name="_Toc29259"/>
      <w:bookmarkStart w:id="103" w:name="_Toc32300"/>
      <w:r>
        <w:rPr>
          <w:rFonts w:hint="eastAsia" w:ascii="Times New Roman" w:hAnsi="Times New Roman" w:eastAsia="宋体" w:cs="宋体"/>
          <w:b/>
          <w:color w:val="auto"/>
          <w:kern w:val="44"/>
          <w:sz w:val="28"/>
          <w:szCs w:val="22"/>
          <w:lang w:val="en-US" w:eastAsia="zh-CN" w:bidi="ar-SA"/>
        </w:rPr>
        <w:t>六、结论</w:t>
      </w:r>
      <w:bookmarkEnd w:id="98"/>
      <w:bookmarkEnd w:id="99"/>
      <w:bookmarkEnd w:id="100"/>
      <w:bookmarkEnd w:id="101"/>
      <w:bookmarkEnd w:id="102"/>
      <w:bookmarkEnd w:id="103"/>
    </w:p>
    <w:tbl>
      <w:tblPr>
        <w:tblStyle w:val="2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1"/>
      </w:tblGrid>
      <w:tr w14:paraId="645FA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vAlign w:val="top"/>
          </w:tcPr>
          <w:p w14:paraId="05E385FA">
            <w:pPr>
              <w:widowControl w:val="0"/>
              <w:overflowPunct w:val="0"/>
              <w:autoSpaceDE w:val="0"/>
              <w:autoSpaceDN w:val="0"/>
              <w:bidi w:val="0"/>
              <w:adjustRightInd w:val="0"/>
              <w:snapToGrid w:val="0"/>
              <w:spacing w:before="0" w:after="0" w:line="560" w:lineRule="exact"/>
              <w:ind w:left="0" w:right="0" w:firstLine="562" w:firstLineChars="200"/>
              <w:jc w:val="left"/>
              <w:outlineLvl w:val="1"/>
              <w:rPr>
                <w:rFonts w:ascii="Times New Roman" w:hAnsi="Times New Roman" w:eastAsia="宋体" w:cs="黑体"/>
                <w:b/>
                <w:color w:val="auto"/>
                <w:sz w:val="28"/>
                <w:szCs w:val="30"/>
                <w:lang w:val="en-US" w:eastAsia="zh-CN" w:bidi="ar-SA"/>
              </w:rPr>
            </w:pPr>
            <w:r>
              <w:rPr>
                <w:rFonts w:ascii="Times New Roman" w:hAnsi="Times New Roman" w:eastAsia="宋体" w:cs="黑体"/>
                <w:b/>
                <w:color w:val="auto"/>
                <w:sz w:val="28"/>
                <w:szCs w:val="30"/>
                <w:lang w:val="en-US" w:eastAsia="zh-CN" w:bidi="ar-SA"/>
              </w:rPr>
              <w:t>6</w:t>
            </w:r>
            <w:r>
              <w:rPr>
                <w:rFonts w:hint="eastAsia" w:ascii="Times New Roman" w:hAnsi="Times New Roman" w:eastAsia="宋体" w:cs="黑体"/>
                <w:b/>
                <w:color w:val="auto"/>
                <w:sz w:val="28"/>
                <w:szCs w:val="30"/>
                <w:lang w:val="en-US" w:eastAsia="zh-Hans" w:bidi="ar-SA"/>
              </w:rPr>
              <w:t>.</w:t>
            </w:r>
            <w:r>
              <w:rPr>
                <w:rFonts w:hint="default" w:ascii="Times New Roman" w:hAnsi="Times New Roman" w:eastAsia="宋体" w:cs="黑体"/>
                <w:b/>
                <w:color w:val="auto"/>
                <w:sz w:val="28"/>
                <w:szCs w:val="30"/>
                <w:lang w:val="en-US" w:eastAsia="zh-Hans" w:bidi="ar-SA"/>
              </w:rPr>
              <w:t>1</w:t>
            </w:r>
            <w:r>
              <w:rPr>
                <w:rFonts w:ascii="Times New Roman" w:hAnsi="Times New Roman" w:eastAsia="宋体" w:cs="黑体"/>
                <w:b/>
                <w:color w:val="auto"/>
                <w:sz w:val="28"/>
                <w:szCs w:val="30"/>
                <w:lang w:val="en-US" w:eastAsia="zh-CN" w:bidi="ar-SA"/>
              </w:rPr>
              <w:t>结论</w:t>
            </w:r>
          </w:p>
          <w:p w14:paraId="7D2A81FD">
            <w:pPr>
              <w:overflowPunct w:val="0"/>
              <w:autoSpaceDE w:val="0"/>
              <w:autoSpaceDN w:val="0"/>
              <w:bidi w:val="0"/>
              <w:adjustRightInd w:val="0"/>
              <w:snapToGrid w:val="0"/>
              <w:spacing w:before="0" w:after="0" w:line="500" w:lineRule="exact"/>
              <w:ind w:left="0" w:right="0" w:firstLine="480" w:firstLineChars="200"/>
              <w:jc w:val="left"/>
              <w:rPr>
                <w:rFonts w:ascii="Times New Roman" w:hAnsi="Times New Roman" w:eastAsia="宋体" w:cs="宋体"/>
                <w:color w:val="auto"/>
              </w:rPr>
            </w:pPr>
            <w:r>
              <w:rPr>
                <w:rFonts w:hint="eastAsia" w:ascii="Times New Roman" w:hAnsi="Times New Roman" w:eastAsia="宋体" w:cs="宋体"/>
                <w:color w:val="auto"/>
                <w:lang w:val="en-US" w:eastAsia="zh-CN"/>
              </w:rPr>
              <w:t>综上所述，本项目具有较明显的社会经济效益，项目所在地环境质量较好，项目对周围环境的污染程度较轻，本项目所产生的废气、废水、噪声、固废在采取相应的治理措施后，可满足相应的国家排放标准。通过对本项目环境影响评价，只要在本项目的建设中认真执行环保“三同时”，具体落实本环评中提出的各污染防治措施，从环保角度看，本项目的建设是可行的。</w:t>
            </w:r>
          </w:p>
          <w:p w14:paraId="14510395">
            <w:pPr>
              <w:widowControl w:val="0"/>
              <w:overflowPunct w:val="0"/>
              <w:autoSpaceDE w:val="0"/>
              <w:autoSpaceDN w:val="0"/>
              <w:bidi w:val="0"/>
              <w:adjustRightInd w:val="0"/>
              <w:snapToGrid w:val="0"/>
              <w:spacing w:before="0" w:after="0" w:line="560" w:lineRule="exact"/>
              <w:ind w:left="0" w:right="0" w:firstLine="562" w:firstLineChars="200"/>
              <w:jc w:val="left"/>
              <w:outlineLvl w:val="1"/>
              <w:rPr>
                <w:rFonts w:ascii="Times New Roman" w:hAnsi="Times New Roman" w:eastAsia="宋体" w:cs="黑体"/>
                <w:b/>
                <w:color w:val="auto"/>
                <w:sz w:val="28"/>
                <w:szCs w:val="30"/>
                <w:lang w:val="en-US" w:eastAsia="zh-CN" w:bidi="ar-SA"/>
              </w:rPr>
            </w:pPr>
            <w:r>
              <w:rPr>
                <w:rFonts w:ascii="Times New Roman" w:hAnsi="Times New Roman" w:eastAsia="宋体" w:cs="黑体"/>
                <w:b/>
                <w:color w:val="auto"/>
                <w:sz w:val="28"/>
                <w:szCs w:val="30"/>
                <w:lang w:val="en-US" w:eastAsia="zh-CN" w:bidi="ar-SA"/>
              </w:rPr>
              <w:t>6</w:t>
            </w:r>
            <w:r>
              <w:rPr>
                <w:rFonts w:hint="eastAsia" w:ascii="Times New Roman" w:hAnsi="Times New Roman" w:eastAsia="宋体" w:cs="黑体"/>
                <w:b/>
                <w:color w:val="auto"/>
                <w:sz w:val="28"/>
                <w:szCs w:val="30"/>
                <w:lang w:val="en-US" w:eastAsia="zh-Hans" w:bidi="ar-SA"/>
              </w:rPr>
              <w:t>.</w:t>
            </w:r>
            <w:r>
              <w:rPr>
                <w:rFonts w:hint="default" w:ascii="Times New Roman" w:hAnsi="Times New Roman" w:eastAsia="宋体" w:cs="黑体"/>
                <w:b/>
                <w:color w:val="auto"/>
                <w:sz w:val="28"/>
                <w:szCs w:val="30"/>
                <w:lang w:val="en-US" w:eastAsia="zh-Hans" w:bidi="ar-SA"/>
              </w:rPr>
              <w:t>2</w:t>
            </w:r>
            <w:r>
              <w:rPr>
                <w:rFonts w:ascii="Times New Roman" w:hAnsi="Times New Roman" w:eastAsia="宋体" w:cs="黑体"/>
                <w:b/>
                <w:color w:val="auto"/>
                <w:sz w:val="28"/>
                <w:szCs w:val="30"/>
                <w:lang w:val="en-US" w:eastAsia="zh-CN" w:bidi="ar-SA"/>
              </w:rPr>
              <w:t>建议</w:t>
            </w:r>
          </w:p>
          <w:p w14:paraId="74A70B9B">
            <w:pPr>
              <w:keepNext w:val="0"/>
              <w:keepLines w:val="0"/>
              <w:pageBreakBefore w:val="0"/>
              <w:widowControl w:val="0"/>
              <w:kinsoku/>
              <w:wordWrap/>
              <w:overflowPunct w:val="0"/>
              <w:topLinePunct w:val="0"/>
              <w:autoSpaceDE w:val="0"/>
              <w:autoSpaceDN w:val="0"/>
              <w:bidi w:val="0"/>
              <w:adjustRightInd w:val="0"/>
              <w:snapToGrid w:val="0"/>
              <w:spacing w:before="0" w:after="0" w:line="500" w:lineRule="exact"/>
              <w:ind w:left="0" w:right="0" w:firstLine="480" w:firstLineChars="200"/>
              <w:jc w:val="both"/>
              <w:textAlignment w:val="auto"/>
              <w:rPr>
                <w:rFonts w:ascii="Times New Roman" w:hAnsi="Times New Roman" w:eastAsia="宋体" w:cs="宋体"/>
                <w:color w:val="auto"/>
              </w:rPr>
            </w:pPr>
            <w:r>
              <w:rPr>
                <w:rFonts w:hint="eastAsia" w:ascii="Times New Roman" w:hAnsi="Times New Roman" w:eastAsia="宋体" w:cs="宋体"/>
                <w:color w:val="auto"/>
              </w:rPr>
              <w:t>加强管理，建立各种健全的生产环保规章制度，严格在岗人员操作管理，与此同时，加强设备、管道、各项治污措施的定期检修和维护工作。</w:t>
            </w:r>
          </w:p>
          <w:p w14:paraId="788EC74E">
            <w:pPr>
              <w:widowControl w:val="0"/>
              <w:overflowPunct w:val="0"/>
              <w:autoSpaceDE w:val="0"/>
              <w:autoSpaceDN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4"/>
                <w:szCs w:val="24"/>
                <w:vertAlign w:val="baseline"/>
                <w:lang w:val="en-US" w:eastAsia="zh-CN" w:bidi="ar-SA"/>
              </w:rPr>
            </w:pPr>
          </w:p>
          <w:p w14:paraId="312C270C">
            <w:pPr>
              <w:widowControl w:val="0"/>
              <w:overflowPunct w:val="0"/>
              <w:autoSpaceDE w:val="0"/>
              <w:autoSpaceDN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4"/>
                <w:szCs w:val="24"/>
                <w:vertAlign w:val="baseline"/>
                <w:lang w:val="en-US" w:eastAsia="zh-CN" w:bidi="ar-SA"/>
              </w:rPr>
            </w:pPr>
          </w:p>
          <w:p w14:paraId="2422D8E5">
            <w:pPr>
              <w:widowControl w:val="0"/>
              <w:overflowPunct w:val="0"/>
              <w:autoSpaceDE w:val="0"/>
              <w:autoSpaceDN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4"/>
                <w:szCs w:val="24"/>
                <w:vertAlign w:val="baseline"/>
                <w:lang w:val="en-US" w:eastAsia="zh-CN" w:bidi="ar-SA"/>
              </w:rPr>
            </w:pPr>
          </w:p>
          <w:p w14:paraId="336B01CE">
            <w:pPr>
              <w:widowControl w:val="0"/>
              <w:overflowPunct w:val="0"/>
              <w:autoSpaceDE w:val="0"/>
              <w:autoSpaceDN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4"/>
                <w:szCs w:val="24"/>
                <w:vertAlign w:val="baseline"/>
                <w:lang w:val="en-US" w:eastAsia="zh-CN" w:bidi="ar-SA"/>
              </w:rPr>
            </w:pPr>
          </w:p>
          <w:p w14:paraId="1CB29188">
            <w:pPr>
              <w:widowControl w:val="0"/>
              <w:overflowPunct w:val="0"/>
              <w:autoSpaceDE w:val="0"/>
              <w:autoSpaceDN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4"/>
                <w:szCs w:val="24"/>
                <w:vertAlign w:val="baseline"/>
                <w:lang w:val="en-US" w:eastAsia="zh-CN" w:bidi="ar-SA"/>
              </w:rPr>
            </w:pPr>
          </w:p>
          <w:p w14:paraId="16033E19">
            <w:pPr>
              <w:widowControl w:val="0"/>
              <w:overflowPunct w:val="0"/>
              <w:autoSpaceDE w:val="0"/>
              <w:autoSpaceDN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4"/>
                <w:szCs w:val="24"/>
                <w:vertAlign w:val="baseline"/>
                <w:lang w:val="en-US" w:eastAsia="zh-CN" w:bidi="ar-SA"/>
              </w:rPr>
            </w:pPr>
          </w:p>
          <w:p w14:paraId="56179687">
            <w:pPr>
              <w:widowControl w:val="0"/>
              <w:overflowPunct w:val="0"/>
              <w:autoSpaceDE w:val="0"/>
              <w:autoSpaceDN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4"/>
                <w:szCs w:val="24"/>
                <w:vertAlign w:val="baseline"/>
                <w:lang w:val="en-US" w:eastAsia="zh-CN" w:bidi="ar-SA"/>
              </w:rPr>
            </w:pPr>
          </w:p>
          <w:p w14:paraId="610F68F7">
            <w:pPr>
              <w:widowControl w:val="0"/>
              <w:overflowPunct w:val="0"/>
              <w:autoSpaceDE w:val="0"/>
              <w:autoSpaceDN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4"/>
                <w:szCs w:val="24"/>
                <w:vertAlign w:val="baseline"/>
                <w:lang w:val="en-US" w:eastAsia="zh-CN" w:bidi="ar-SA"/>
              </w:rPr>
            </w:pPr>
          </w:p>
          <w:p w14:paraId="5E0738C8">
            <w:pPr>
              <w:widowControl w:val="0"/>
              <w:overflowPunct w:val="0"/>
              <w:autoSpaceDE w:val="0"/>
              <w:autoSpaceDN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4"/>
                <w:szCs w:val="24"/>
                <w:vertAlign w:val="baseline"/>
                <w:lang w:val="en-US" w:eastAsia="zh-CN" w:bidi="ar-SA"/>
              </w:rPr>
            </w:pPr>
          </w:p>
          <w:p w14:paraId="4C8A84F4">
            <w:pPr>
              <w:widowControl w:val="0"/>
              <w:overflowPunct w:val="0"/>
              <w:autoSpaceDE w:val="0"/>
              <w:autoSpaceDN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4"/>
                <w:szCs w:val="24"/>
                <w:vertAlign w:val="baseline"/>
                <w:lang w:val="en-US" w:eastAsia="zh-CN" w:bidi="ar-SA"/>
              </w:rPr>
            </w:pPr>
          </w:p>
          <w:p w14:paraId="5DEAB035">
            <w:pPr>
              <w:widowControl w:val="0"/>
              <w:overflowPunct w:val="0"/>
              <w:autoSpaceDE w:val="0"/>
              <w:autoSpaceDN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4"/>
                <w:szCs w:val="24"/>
                <w:vertAlign w:val="baseline"/>
                <w:lang w:val="en-US" w:eastAsia="zh-CN" w:bidi="ar-SA"/>
              </w:rPr>
            </w:pPr>
          </w:p>
          <w:p w14:paraId="40A43AF6">
            <w:pPr>
              <w:widowControl w:val="0"/>
              <w:overflowPunct w:val="0"/>
              <w:autoSpaceDE w:val="0"/>
              <w:autoSpaceDN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4"/>
                <w:szCs w:val="24"/>
                <w:vertAlign w:val="baseline"/>
                <w:lang w:val="en-US" w:eastAsia="zh-CN" w:bidi="ar-SA"/>
              </w:rPr>
            </w:pPr>
          </w:p>
          <w:p w14:paraId="20133CA0">
            <w:pPr>
              <w:widowControl w:val="0"/>
              <w:overflowPunct w:val="0"/>
              <w:autoSpaceDE w:val="0"/>
              <w:autoSpaceDN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4"/>
                <w:szCs w:val="24"/>
                <w:vertAlign w:val="baseline"/>
                <w:lang w:val="en-US" w:eastAsia="zh-CN" w:bidi="ar-SA"/>
              </w:rPr>
            </w:pPr>
          </w:p>
          <w:p w14:paraId="302C7559">
            <w:pPr>
              <w:widowControl w:val="0"/>
              <w:overflowPunct w:val="0"/>
              <w:autoSpaceDE w:val="0"/>
              <w:autoSpaceDN w:val="0"/>
              <w:adjustRightInd w:val="0"/>
              <w:snapToGrid w:val="0"/>
              <w:spacing w:before="0" w:after="0" w:line="400" w:lineRule="exact"/>
              <w:ind w:left="0" w:right="0" w:firstLine="0" w:firstLineChars="0"/>
              <w:jc w:val="center"/>
              <w:rPr>
                <w:rFonts w:hint="default" w:ascii="Times New Roman" w:hAnsi="Times New Roman" w:eastAsia="宋体" w:cs="宋体"/>
                <w:color w:val="auto"/>
                <w:sz w:val="24"/>
                <w:szCs w:val="24"/>
                <w:vertAlign w:val="baseline"/>
                <w:lang w:val="en-US" w:eastAsia="zh-CN" w:bidi="ar-SA"/>
              </w:rPr>
            </w:pPr>
          </w:p>
          <w:p w14:paraId="4EEA37C2">
            <w:pPr>
              <w:widowControl w:val="0"/>
              <w:overflowPunct w:val="0"/>
              <w:autoSpaceDE w:val="0"/>
              <w:autoSpaceDN w:val="0"/>
              <w:adjustRightInd w:val="0"/>
              <w:snapToGrid w:val="0"/>
              <w:spacing w:before="0" w:after="0" w:line="400" w:lineRule="exact"/>
              <w:ind w:left="0" w:right="0" w:firstLine="0" w:firstLineChars="0"/>
              <w:jc w:val="both"/>
              <w:rPr>
                <w:rFonts w:hint="default" w:ascii="Times New Roman" w:hAnsi="Times New Roman" w:eastAsia="宋体" w:cs="宋体"/>
                <w:color w:val="auto"/>
                <w:sz w:val="24"/>
                <w:szCs w:val="24"/>
                <w:vertAlign w:val="baseline"/>
                <w:lang w:val="en-US" w:eastAsia="zh-CN" w:bidi="ar-SA"/>
              </w:rPr>
            </w:pPr>
          </w:p>
          <w:p w14:paraId="6F696743">
            <w:pPr>
              <w:widowControl w:val="0"/>
              <w:overflowPunct w:val="0"/>
              <w:autoSpaceDE w:val="0"/>
              <w:autoSpaceDN w:val="0"/>
              <w:adjustRightInd w:val="0"/>
              <w:snapToGrid w:val="0"/>
              <w:spacing w:before="0" w:after="0" w:line="400" w:lineRule="exact"/>
              <w:ind w:left="0" w:right="0" w:firstLine="0" w:firstLineChars="0"/>
              <w:jc w:val="both"/>
              <w:rPr>
                <w:rFonts w:hint="default" w:ascii="Times New Roman" w:hAnsi="Times New Roman" w:eastAsia="宋体" w:cs="宋体"/>
                <w:color w:val="auto"/>
                <w:sz w:val="24"/>
                <w:szCs w:val="24"/>
                <w:vertAlign w:val="baseline"/>
                <w:lang w:val="en-US" w:eastAsia="zh-CN" w:bidi="ar-SA"/>
              </w:rPr>
            </w:pPr>
          </w:p>
          <w:p w14:paraId="428D47BD">
            <w:pPr>
              <w:widowControl w:val="0"/>
              <w:overflowPunct w:val="0"/>
              <w:autoSpaceDE w:val="0"/>
              <w:autoSpaceDN w:val="0"/>
              <w:adjustRightInd w:val="0"/>
              <w:snapToGrid w:val="0"/>
              <w:spacing w:before="0" w:after="0" w:line="400" w:lineRule="exact"/>
              <w:ind w:left="0" w:right="0" w:firstLine="0" w:firstLineChars="0"/>
              <w:jc w:val="both"/>
              <w:rPr>
                <w:rFonts w:hint="default" w:ascii="Times New Roman" w:hAnsi="Times New Roman" w:eastAsia="宋体" w:cs="宋体"/>
                <w:color w:val="auto"/>
                <w:sz w:val="24"/>
                <w:szCs w:val="24"/>
                <w:vertAlign w:val="baseline"/>
                <w:lang w:val="en-US" w:eastAsia="zh-CN" w:bidi="ar-SA"/>
              </w:rPr>
            </w:pPr>
          </w:p>
          <w:p w14:paraId="3B33C48F">
            <w:pPr>
              <w:widowControl w:val="0"/>
              <w:overflowPunct w:val="0"/>
              <w:autoSpaceDE w:val="0"/>
              <w:autoSpaceDN w:val="0"/>
              <w:adjustRightInd w:val="0"/>
              <w:snapToGrid w:val="0"/>
              <w:spacing w:before="0" w:after="0" w:line="400" w:lineRule="exact"/>
              <w:ind w:left="0" w:right="0" w:firstLine="0" w:firstLineChars="0"/>
              <w:jc w:val="both"/>
              <w:rPr>
                <w:rFonts w:hint="default" w:ascii="Times New Roman" w:hAnsi="Times New Roman" w:eastAsia="宋体" w:cs="宋体"/>
                <w:color w:val="auto"/>
                <w:sz w:val="24"/>
                <w:szCs w:val="24"/>
                <w:vertAlign w:val="baseline"/>
                <w:lang w:val="en-US" w:eastAsia="zh-CN" w:bidi="ar-SA"/>
              </w:rPr>
            </w:pPr>
          </w:p>
        </w:tc>
      </w:tr>
    </w:tbl>
    <w:p w14:paraId="0EABB2C0">
      <w:pPr>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F4126C4">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left="0" w:right="0" w:firstLine="640" w:firstLineChars="200"/>
        <w:jc w:val="left"/>
        <w:textAlignment w:val="auto"/>
        <w:outlineLvl w:val="0"/>
        <w:rPr>
          <w:rFonts w:ascii="Times New Roman" w:hAnsi="Times New Roman" w:eastAsia="黑体" w:cs="Times New Roman"/>
          <w:snapToGrid w:val="0"/>
          <w:color w:val="000000"/>
          <w:kern w:val="0"/>
          <w:sz w:val="32"/>
          <w:szCs w:val="32"/>
          <w:highlight w:val="none"/>
          <w:lang w:val="en-US" w:eastAsia="zh-CN" w:bidi="ar-SA"/>
        </w:rPr>
      </w:pPr>
      <w:bookmarkStart w:id="104" w:name="_Toc28398"/>
      <w:bookmarkStart w:id="105" w:name="_Toc10718"/>
      <w:bookmarkStart w:id="106" w:name="_Toc6309"/>
      <w:bookmarkStart w:id="107" w:name="_Toc31582"/>
      <w:r>
        <w:rPr>
          <w:rFonts w:hint="eastAsia" w:ascii="Times New Roman" w:hAnsi="Times New Roman" w:eastAsia="黑体" w:cs="Times New Roman"/>
          <w:snapToGrid w:val="0"/>
          <w:color w:val="000000"/>
          <w:kern w:val="0"/>
          <w:sz w:val="32"/>
          <w:szCs w:val="32"/>
          <w:highlight w:val="none"/>
          <w:lang w:val="en-US" w:eastAsia="zh-CN" w:bidi="ar-SA"/>
        </w:rPr>
        <w:t>附表</w:t>
      </w:r>
      <w:bookmarkEnd w:id="104"/>
      <w:bookmarkEnd w:id="105"/>
      <w:bookmarkEnd w:id="106"/>
      <w:bookmarkEnd w:id="107"/>
    </w:p>
    <w:p w14:paraId="20A307E0">
      <w:pPr>
        <w:overflowPunct w:val="0"/>
        <w:autoSpaceDE w:val="0"/>
        <w:autoSpaceDN w:val="0"/>
        <w:bidi w:val="0"/>
        <w:adjustRightInd w:val="0"/>
        <w:snapToGrid w:val="0"/>
        <w:spacing w:before="0" w:after="0" w:line="500" w:lineRule="exact"/>
        <w:ind w:left="0" w:right="0" w:firstLine="562" w:firstLineChars="200"/>
        <w:jc w:val="center"/>
        <w:outlineLvl w:val="0"/>
        <w:rPr>
          <w:rFonts w:hint="eastAsia" w:ascii="Times New Roman" w:hAnsi="Times New Roman" w:eastAsia="宋体" w:cs="宋体"/>
          <w:b/>
          <w:bCs/>
          <w:sz w:val="28"/>
          <w:szCs w:val="28"/>
          <w:lang w:val="en-US" w:eastAsia="zh-CN"/>
        </w:rPr>
      </w:pPr>
      <w:bookmarkStart w:id="108" w:name="_Toc28588"/>
      <w:bookmarkStart w:id="109" w:name="_Toc32240"/>
      <w:bookmarkStart w:id="110" w:name="_Toc19914"/>
      <w:bookmarkStart w:id="111" w:name="_Toc31124"/>
      <w:r>
        <w:rPr>
          <w:rFonts w:hint="eastAsia" w:ascii="Times New Roman" w:hAnsi="Times New Roman" w:eastAsia="宋体" w:cs="宋体"/>
          <w:b/>
          <w:bCs/>
          <w:sz w:val="28"/>
          <w:szCs w:val="28"/>
          <w:lang w:val="en-US" w:eastAsia="zh-CN"/>
        </w:rPr>
        <w:t>建设项目污染物排放量汇总表</w:t>
      </w:r>
      <w:bookmarkEnd w:id="108"/>
      <w:bookmarkEnd w:id="109"/>
      <w:bookmarkEnd w:id="110"/>
      <w:bookmarkEnd w:id="111"/>
    </w:p>
    <w:tbl>
      <w:tblPr>
        <w:tblStyle w:val="22"/>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21"/>
        <w:gridCol w:w="1984"/>
        <w:gridCol w:w="1701"/>
        <w:gridCol w:w="1276"/>
        <w:gridCol w:w="1701"/>
        <w:gridCol w:w="1559"/>
        <w:gridCol w:w="1761"/>
        <w:gridCol w:w="1616"/>
        <w:gridCol w:w="1169"/>
      </w:tblGrid>
      <w:tr w14:paraId="2FABDD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021" w:type="dxa"/>
            <w:tcBorders>
              <w:tl2br w:val="single" w:color="auto" w:sz="4" w:space="0"/>
            </w:tcBorders>
            <w:noWrap w:val="0"/>
            <w:tcMar>
              <w:left w:w="28" w:type="dxa"/>
              <w:right w:w="28" w:type="dxa"/>
            </w:tcMar>
            <w:vAlign w:val="center"/>
          </w:tcPr>
          <w:p w14:paraId="49771D5A">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exact"/>
              <w:ind w:left="0" w:right="0" w:firstLine="396" w:firstLineChars="200"/>
              <w:jc w:val="right"/>
              <w:textAlignment w:val="auto"/>
              <w:rPr>
                <w:rFonts w:hint="eastAsia" w:ascii="Times New Roman" w:hAnsi="Times New Roman" w:eastAsia="黑体" w:cs="宋体"/>
                <w:snapToGrid w:val="0"/>
                <w:color w:val="000000"/>
                <w:spacing w:val="-6"/>
                <w:kern w:val="21"/>
                <w:sz w:val="21"/>
                <w:szCs w:val="21"/>
                <w:highlight w:val="none"/>
                <w:lang w:val="en-US" w:eastAsia="zh-CN" w:bidi="ar-SA"/>
              </w:rPr>
            </w:pPr>
            <w:r>
              <w:rPr>
                <w:rFonts w:hint="eastAsia" w:ascii="Times New Roman" w:hAnsi="Times New Roman" w:eastAsia="黑体" w:cs="宋体"/>
                <w:snapToGrid w:val="0"/>
                <w:color w:val="000000"/>
                <w:spacing w:val="-6"/>
                <w:kern w:val="21"/>
                <w:sz w:val="21"/>
                <w:szCs w:val="21"/>
                <w:highlight w:val="none"/>
                <w:lang w:val="en-US" w:eastAsia="zh-CN" w:bidi="ar-SA"/>
              </w:rPr>
              <w:t>项目</w:t>
            </w:r>
          </w:p>
          <w:p w14:paraId="55E3C006">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exact"/>
              <w:ind w:left="0" w:leftChars="0" w:right="0" w:firstLine="0" w:firstLineChars="0"/>
              <w:jc w:val="left"/>
              <w:textAlignment w:val="auto"/>
              <w:rPr>
                <w:rFonts w:hint="eastAsia" w:ascii="Times New Roman" w:hAnsi="Times New Roman" w:eastAsia="黑体" w:cs="宋体"/>
                <w:snapToGrid w:val="0"/>
                <w:color w:val="000000"/>
                <w:spacing w:val="-6"/>
                <w:kern w:val="21"/>
                <w:sz w:val="21"/>
                <w:szCs w:val="21"/>
                <w:highlight w:val="none"/>
                <w:lang w:val="en-US" w:eastAsia="zh-CN" w:bidi="ar-SA"/>
              </w:rPr>
            </w:pPr>
            <w:r>
              <w:rPr>
                <w:rFonts w:hint="eastAsia" w:ascii="Times New Roman" w:hAnsi="Times New Roman" w:eastAsia="黑体" w:cs="宋体"/>
                <w:snapToGrid w:val="0"/>
                <w:color w:val="000000"/>
                <w:spacing w:val="-6"/>
                <w:kern w:val="21"/>
                <w:sz w:val="21"/>
                <w:szCs w:val="21"/>
                <w:highlight w:val="none"/>
                <w:lang w:val="en-US" w:eastAsia="zh-CN" w:bidi="ar-SA"/>
              </w:rPr>
              <w:t>分类</w:t>
            </w:r>
          </w:p>
        </w:tc>
        <w:tc>
          <w:tcPr>
            <w:tcW w:w="1984" w:type="dxa"/>
            <w:noWrap w:val="0"/>
            <w:tcMar>
              <w:left w:w="28" w:type="dxa"/>
              <w:right w:w="28" w:type="dxa"/>
            </w:tcMar>
            <w:vAlign w:val="center"/>
          </w:tcPr>
          <w:p w14:paraId="1A8FB903">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exact"/>
              <w:ind w:left="0" w:leftChars="0" w:right="0" w:firstLine="0" w:firstLineChars="0"/>
              <w:jc w:val="center"/>
              <w:textAlignment w:val="auto"/>
              <w:rPr>
                <w:rFonts w:hint="eastAsia" w:ascii="Times New Roman" w:hAnsi="Times New Roman" w:eastAsia="黑体" w:cs="宋体"/>
                <w:snapToGrid w:val="0"/>
                <w:color w:val="000000"/>
                <w:spacing w:val="-6"/>
                <w:kern w:val="21"/>
                <w:sz w:val="21"/>
                <w:szCs w:val="21"/>
                <w:highlight w:val="none"/>
                <w:lang w:val="en-US" w:eastAsia="zh-CN" w:bidi="ar-SA"/>
              </w:rPr>
            </w:pPr>
            <w:r>
              <w:rPr>
                <w:rFonts w:hint="eastAsia" w:ascii="Times New Roman" w:hAnsi="Times New Roman" w:eastAsia="黑体" w:cs="宋体"/>
                <w:snapToGrid w:val="0"/>
                <w:color w:val="000000"/>
                <w:spacing w:val="-6"/>
                <w:kern w:val="21"/>
                <w:sz w:val="21"/>
                <w:szCs w:val="21"/>
                <w:highlight w:val="none"/>
                <w:lang w:val="en-US" w:eastAsia="zh-CN" w:bidi="ar-SA"/>
              </w:rPr>
              <w:t>污染物名称</w:t>
            </w:r>
          </w:p>
        </w:tc>
        <w:tc>
          <w:tcPr>
            <w:tcW w:w="1701" w:type="dxa"/>
            <w:noWrap w:val="0"/>
            <w:tcMar>
              <w:left w:w="28" w:type="dxa"/>
              <w:right w:w="28" w:type="dxa"/>
            </w:tcMar>
            <w:vAlign w:val="center"/>
          </w:tcPr>
          <w:p w14:paraId="12DD8A72">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exact"/>
              <w:ind w:left="0" w:leftChars="0" w:right="0" w:firstLine="0" w:firstLineChars="0"/>
              <w:jc w:val="center"/>
              <w:textAlignment w:val="auto"/>
              <w:rPr>
                <w:rFonts w:hint="eastAsia" w:ascii="Times New Roman" w:hAnsi="Times New Roman" w:eastAsia="黑体" w:cs="Times New Roman"/>
                <w:snapToGrid w:val="0"/>
                <w:color w:val="000000"/>
                <w:spacing w:val="-6"/>
                <w:kern w:val="21"/>
                <w:sz w:val="21"/>
                <w:szCs w:val="21"/>
                <w:highlight w:val="none"/>
                <w:lang w:val="en-US" w:eastAsia="zh-CN" w:bidi="ar-SA"/>
              </w:rPr>
            </w:pPr>
            <w:r>
              <w:rPr>
                <w:rFonts w:ascii="Times New Roman" w:hAnsi="Times New Roman" w:eastAsia="黑体" w:cs="Times New Roman"/>
                <w:snapToGrid w:val="0"/>
                <w:color w:val="000000"/>
                <w:spacing w:val="-6"/>
                <w:kern w:val="21"/>
                <w:sz w:val="21"/>
                <w:szCs w:val="21"/>
                <w:highlight w:val="none"/>
                <w:lang w:val="en-US" w:eastAsia="zh-CN" w:bidi="ar-SA"/>
              </w:rPr>
              <w:t>现有工程</w:t>
            </w:r>
          </w:p>
          <w:p w14:paraId="55049475">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exact"/>
              <w:ind w:left="0" w:leftChars="0" w:right="0" w:firstLine="0" w:firstLineChars="0"/>
              <w:jc w:val="center"/>
              <w:textAlignment w:val="auto"/>
              <w:rPr>
                <w:rFonts w:ascii="Times New Roman" w:hAnsi="Times New Roman" w:eastAsia="黑体" w:cs="Times New Roman"/>
                <w:snapToGrid w:val="0"/>
                <w:color w:val="000000"/>
                <w:spacing w:val="-6"/>
                <w:kern w:val="21"/>
                <w:sz w:val="21"/>
                <w:szCs w:val="21"/>
                <w:highlight w:val="none"/>
                <w:lang w:val="en-US" w:eastAsia="zh-CN" w:bidi="ar-SA"/>
              </w:rPr>
            </w:pPr>
            <w:r>
              <w:rPr>
                <w:rFonts w:ascii="Times New Roman" w:hAnsi="Times New Roman" w:eastAsia="黑体" w:cs="Times New Roman"/>
                <w:snapToGrid w:val="0"/>
                <w:color w:val="000000"/>
                <w:spacing w:val="-6"/>
                <w:kern w:val="21"/>
                <w:sz w:val="21"/>
                <w:szCs w:val="21"/>
                <w:highlight w:val="none"/>
                <w:lang w:val="en-US" w:eastAsia="zh-CN" w:bidi="ar-SA"/>
              </w:rPr>
              <w:t>排放量（固</w:t>
            </w:r>
            <w:r>
              <w:rPr>
                <w:rFonts w:hint="eastAsia" w:ascii="Times New Roman" w:hAnsi="Times New Roman" w:eastAsia="黑体" w:cs="Times New Roman"/>
                <w:snapToGrid w:val="0"/>
                <w:color w:val="000000"/>
                <w:spacing w:val="-6"/>
                <w:kern w:val="21"/>
                <w:sz w:val="21"/>
                <w:szCs w:val="21"/>
                <w:highlight w:val="none"/>
                <w:lang w:val="en-US" w:eastAsia="zh-CN" w:bidi="ar-SA"/>
              </w:rPr>
              <w:t>体</w:t>
            </w:r>
            <w:r>
              <w:rPr>
                <w:rFonts w:ascii="Times New Roman" w:hAnsi="Times New Roman" w:eastAsia="黑体" w:cs="Times New Roman"/>
                <w:snapToGrid w:val="0"/>
                <w:color w:val="000000"/>
                <w:spacing w:val="-6"/>
                <w:kern w:val="21"/>
                <w:sz w:val="21"/>
                <w:szCs w:val="21"/>
                <w:highlight w:val="none"/>
                <w:lang w:val="en-US" w:eastAsia="zh-CN" w:bidi="ar-SA"/>
              </w:rPr>
              <w:t>废</w:t>
            </w:r>
            <w:r>
              <w:rPr>
                <w:rFonts w:hint="eastAsia" w:ascii="Times New Roman" w:hAnsi="Times New Roman" w:eastAsia="黑体" w:cs="Times New Roman"/>
                <w:snapToGrid w:val="0"/>
                <w:color w:val="000000"/>
                <w:spacing w:val="-6"/>
                <w:kern w:val="21"/>
                <w:sz w:val="21"/>
                <w:szCs w:val="21"/>
                <w:highlight w:val="none"/>
                <w:lang w:val="en-US" w:eastAsia="zh-CN" w:bidi="ar-SA"/>
              </w:rPr>
              <w:t>物</w:t>
            </w:r>
            <w:r>
              <w:rPr>
                <w:rFonts w:ascii="Times New Roman" w:hAnsi="Times New Roman" w:eastAsia="黑体" w:cs="Times New Roman"/>
                <w:snapToGrid w:val="0"/>
                <w:color w:val="000000"/>
                <w:spacing w:val="-6"/>
                <w:kern w:val="21"/>
                <w:sz w:val="21"/>
                <w:szCs w:val="21"/>
                <w:highlight w:val="none"/>
                <w:lang w:val="en-US" w:eastAsia="zh-CN" w:bidi="ar-SA"/>
              </w:rPr>
              <w:t>产生量）</w:t>
            </w:r>
            <w:r>
              <w:rPr>
                <w:rFonts w:ascii="Times New Roman" w:hAnsi="Times New Roman" w:eastAsia="黑体" w:cs="Times New Roman"/>
                <w:snapToGrid w:val="0"/>
                <w:color w:val="000000"/>
                <w:spacing w:val="-6"/>
                <w:kern w:val="21"/>
                <w:sz w:val="21"/>
                <w:szCs w:val="21"/>
                <w:highlight w:val="none"/>
                <w:lang w:val="en-US" w:eastAsia="zh-CN" w:bidi="ar-SA"/>
              </w:rPr>
              <w:fldChar w:fldCharType="begin"/>
            </w:r>
            <w:r>
              <w:rPr>
                <w:rFonts w:ascii="Times New Roman" w:hAnsi="Times New Roman" w:eastAsia="黑体" w:cs="Times New Roman"/>
                <w:snapToGrid w:val="0"/>
                <w:color w:val="000000"/>
                <w:spacing w:val="-6"/>
                <w:kern w:val="21"/>
                <w:sz w:val="21"/>
                <w:szCs w:val="21"/>
                <w:highlight w:val="none"/>
                <w:lang w:val="en-US" w:eastAsia="zh-CN" w:bidi="ar-SA"/>
              </w:rPr>
              <w:instrText xml:space="preserve"> = 1 \* GB3 \* MERGEFORMAT </w:instrText>
            </w:r>
            <w:r>
              <w:rPr>
                <w:rFonts w:ascii="Times New Roman" w:hAnsi="Times New Roman" w:eastAsia="黑体" w:cs="Times New Roman"/>
                <w:snapToGrid w:val="0"/>
                <w:color w:val="000000"/>
                <w:spacing w:val="-6"/>
                <w:kern w:val="21"/>
                <w:sz w:val="21"/>
                <w:szCs w:val="21"/>
                <w:highlight w:val="none"/>
                <w:lang w:val="en-US" w:eastAsia="zh-CN" w:bidi="ar-SA"/>
              </w:rPr>
              <w:fldChar w:fldCharType="separate"/>
            </w:r>
            <w:r>
              <w:rPr>
                <w:rFonts w:hint="eastAsia" w:ascii="Times New Roman" w:hAnsi="Times New Roman" w:eastAsia="黑体" w:cs="宋体"/>
                <w:color w:val="000000"/>
                <w:kern w:val="2"/>
                <w:sz w:val="21"/>
                <w:szCs w:val="21"/>
                <w:highlight w:val="none"/>
                <w:lang w:val="en-US" w:eastAsia="zh-CN" w:bidi="ar-SA"/>
              </w:rPr>
              <w:t>①</w:t>
            </w:r>
            <w:r>
              <w:rPr>
                <w:rFonts w:ascii="Times New Roman" w:hAnsi="Times New Roman" w:eastAsia="黑体" w:cs="Times New Roman"/>
                <w:snapToGrid w:val="0"/>
                <w:color w:val="000000"/>
                <w:spacing w:val="-6"/>
                <w:kern w:val="21"/>
                <w:sz w:val="21"/>
                <w:szCs w:val="21"/>
                <w:highlight w:val="none"/>
                <w:lang w:val="en-US" w:eastAsia="zh-CN" w:bidi="ar-SA"/>
              </w:rPr>
              <w:fldChar w:fldCharType="end"/>
            </w:r>
          </w:p>
        </w:tc>
        <w:tc>
          <w:tcPr>
            <w:tcW w:w="1276" w:type="dxa"/>
            <w:noWrap w:val="0"/>
            <w:tcMar>
              <w:left w:w="28" w:type="dxa"/>
              <w:right w:w="28" w:type="dxa"/>
            </w:tcMar>
            <w:vAlign w:val="center"/>
          </w:tcPr>
          <w:p w14:paraId="6B2A1F0F">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exact"/>
              <w:ind w:left="0" w:leftChars="0" w:right="0" w:firstLine="0" w:firstLineChars="0"/>
              <w:jc w:val="center"/>
              <w:textAlignment w:val="auto"/>
              <w:rPr>
                <w:rFonts w:ascii="Times New Roman" w:hAnsi="Times New Roman" w:eastAsia="黑体" w:cs="Times New Roman"/>
                <w:snapToGrid w:val="0"/>
                <w:color w:val="000000"/>
                <w:spacing w:val="-6"/>
                <w:kern w:val="21"/>
                <w:sz w:val="21"/>
                <w:szCs w:val="21"/>
                <w:highlight w:val="none"/>
                <w:lang w:val="en-US" w:eastAsia="zh-CN" w:bidi="ar-SA"/>
              </w:rPr>
            </w:pPr>
            <w:r>
              <w:rPr>
                <w:rFonts w:ascii="Times New Roman" w:hAnsi="Times New Roman" w:eastAsia="黑体" w:cs="Times New Roman"/>
                <w:snapToGrid w:val="0"/>
                <w:color w:val="000000"/>
                <w:spacing w:val="-6"/>
                <w:kern w:val="21"/>
                <w:sz w:val="21"/>
                <w:szCs w:val="21"/>
                <w:highlight w:val="none"/>
                <w:lang w:val="en-US" w:eastAsia="zh-CN" w:bidi="ar-SA"/>
              </w:rPr>
              <w:t>现有工程</w:t>
            </w:r>
          </w:p>
          <w:p w14:paraId="5D3DE53C">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exact"/>
              <w:ind w:left="0" w:leftChars="0" w:right="0" w:firstLine="0" w:firstLineChars="0"/>
              <w:jc w:val="center"/>
              <w:textAlignment w:val="auto"/>
              <w:rPr>
                <w:rFonts w:ascii="Times New Roman" w:hAnsi="Times New Roman" w:eastAsia="黑体" w:cs="Times New Roman"/>
                <w:snapToGrid w:val="0"/>
                <w:color w:val="000000"/>
                <w:spacing w:val="-6"/>
                <w:kern w:val="21"/>
                <w:sz w:val="21"/>
                <w:szCs w:val="21"/>
                <w:highlight w:val="none"/>
                <w:lang w:val="en-US" w:eastAsia="zh-CN" w:bidi="ar-SA"/>
              </w:rPr>
            </w:pPr>
            <w:r>
              <w:rPr>
                <w:rFonts w:ascii="Times New Roman" w:hAnsi="Times New Roman" w:eastAsia="黑体" w:cs="Times New Roman"/>
                <w:snapToGrid w:val="0"/>
                <w:color w:val="000000"/>
                <w:spacing w:val="-6"/>
                <w:kern w:val="21"/>
                <w:sz w:val="21"/>
                <w:szCs w:val="21"/>
                <w:highlight w:val="none"/>
                <w:lang w:val="en-US" w:eastAsia="zh-CN" w:bidi="ar-SA"/>
              </w:rPr>
              <w:t>许可排放量</w:t>
            </w:r>
          </w:p>
          <w:p w14:paraId="0F9A7480">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exact"/>
              <w:ind w:left="0" w:right="0" w:firstLine="396" w:firstLineChars="200"/>
              <w:jc w:val="center"/>
              <w:textAlignment w:val="auto"/>
              <w:rPr>
                <w:rFonts w:ascii="Times New Roman" w:hAnsi="Times New Roman" w:eastAsia="黑体" w:cs="Times New Roman"/>
                <w:snapToGrid w:val="0"/>
                <w:color w:val="000000"/>
                <w:spacing w:val="-6"/>
                <w:kern w:val="21"/>
                <w:sz w:val="21"/>
                <w:szCs w:val="21"/>
                <w:highlight w:val="none"/>
                <w:lang w:val="en-US" w:eastAsia="zh-CN" w:bidi="ar-SA"/>
              </w:rPr>
            </w:pPr>
            <w:r>
              <w:rPr>
                <w:rFonts w:ascii="Times New Roman" w:hAnsi="Times New Roman" w:eastAsia="黑体" w:cs="Times New Roman"/>
                <w:snapToGrid w:val="0"/>
                <w:color w:val="000000"/>
                <w:spacing w:val="-6"/>
                <w:kern w:val="21"/>
                <w:sz w:val="21"/>
                <w:szCs w:val="21"/>
                <w:highlight w:val="none"/>
                <w:lang w:val="en-US" w:eastAsia="zh-CN" w:bidi="ar-SA"/>
              </w:rPr>
              <w:fldChar w:fldCharType="begin"/>
            </w:r>
            <w:r>
              <w:rPr>
                <w:rFonts w:ascii="Times New Roman" w:hAnsi="Times New Roman" w:eastAsia="黑体" w:cs="Times New Roman"/>
                <w:snapToGrid w:val="0"/>
                <w:color w:val="000000"/>
                <w:spacing w:val="-6"/>
                <w:kern w:val="21"/>
                <w:sz w:val="21"/>
                <w:szCs w:val="21"/>
                <w:highlight w:val="none"/>
                <w:lang w:val="en-US" w:eastAsia="zh-CN" w:bidi="ar-SA"/>
              </w:rPr>
              <w:instrText xml:space="preserve"> = 2 \* GB3 \* MERGEFORMAT </w:instrText>
            </w:r>
            <w:r>
              <w:rPr>
                <w:rFonts w:ascii="Times New Roman" w:hAnsi="Times New Roman" w:eastAsia="黑体" w:cs="Times New Roman"/>
                <w:snapToGrid w:val="0"/>
                <w:color w:val="000000"/>
                <w:spacing w:val="-6"/>
                <w:kern w:val="21"/>
                <w:sz w:val="21"/>
                <w:szCs w:val="21"/>
                <w:highlight w:val="none"/>
                <w:lang w:val="en-US" w:eastAsia="zh-CN" w:bidi="ar-SA"/>
              </w:rPr>
              <w:fldChar w:fldCharType="separate"/>
            </w:r>
            <w:r>
              <w:rPr>
                <w:rFonts w:hint="eastAsia" w:ascii="Times New Roman" w:hAnsi="Times New Roman" w:eastAsia="黑体" w:cs="宋体"/>
                <w:snapToGrid w:val="0"/>
                <w:color w:val="000000"/>
                <w:spacing w:val="-6"/>
                <w:kern w:val="21"/>
                <w:sz w:val="21"/>
                <w:szCs w:val="21"/>
                <w:highlight w:val="none"/>
                <w:lang w:val="en-US" w:eastAsia="zh-CN" w:bidi="ar-SA"/>
              </w:rPr>
              <w:t>②</w:t>
            </w:r>
            <w:r>
              <w:rPr>
                <w:rFonts w:ascii="Times New Roman" w:hAnsi="Times New Roman" w:eastAsia="黑体" w:cs="Times New Roman"/>
                <w:snapToGrid w:val="0"/>
                <w:color w:val="000000"/>
                <w:spacing w:val="-6"/>
                <w:kern w:val="21"/>
                <w:sz w:val="21"/>
                <w:szCs w:val="21"/>
                <w:highlight w:val="none"/>
                <w:lang w:val="en-US" w:eastAsia="zh-CN" w:bidi="ar-SA"/>
              </w:rPr>
              <w:fldChar w:fldCharType="end"/>
            </w:r>
          </w:p>
        </w:tc>
        <w:tc>
          <w:tcPr>
            <w:tcW w:w="1701" w:type="dxa"/>
            <w:noWrap w:val="0"/>
            <w:tcMar>
              <w:left w:w="28" w:type="dxa"/>
              <w:right w:w="28" w:type="dxa"/>
            </w:tcMar>
            <w:vAlign w:val="center"/>
          </w:tcPr>
          <w:p w14:paraId="56DE2120">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exact"/>
              <w:ind w:left="0" w:leftChars="0" w:right="0" w:firstLine="0" w:firstLineChars="0"/>
              <w:jc w:val="center"/>
              <w:textAlignment w:val="auto"/>
              <w:rPr>
                <w:rFonts w:hint="eastAsia" w:ascii="Times New Roman" w:hAnsi="Times New Roman" w:eastAsia="黑体" w:cs="Times New Roman"/>
                <w:snapToGrid w:val="0"/>
                <w:color w:val="000000"/>
                <w:spacing w:val="-6"/>
                <w:kern w:val="21"/>
                <w:sz w:val="21"/>
                <w:szCs w:val="21"/>
                <w:highlight w:val="none"/>
                <w:lang w:val="en-US" w:eastAsia="zh-CN" w:bidi="ar-SA"/>
              </w:rPr>
            </w:pPr>
            <w:r>
              <w:rPr>
                <w:rFonts w:ascii="Times New Roman" w:hAnsi="Times New Roman" w:eastAsia="黑体" w:cs="Times New Roman"/>
                <w:snapToGrid w:val="0"/>
                <w:color w:val="000000"/>
                <w:spacing w:val="-6"/>
                <w:kern w:val="21"/>
                <w:sz w:val="21"/>
                <w:szCs w:val="21"/>
                <w:highlight w:val="none"/>
                <w:lang w:val="en-US" w:eastAsia="zh-CN" w:bidi="ar-SA"/>
              </w:rPr>
              <w:t>在建工程</w:t>
            </w:r>
          </w:p>
          <w:p w14:paraId="172160C8">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exact"/>
              <w:ind w:left="0" w:leftChars="0" w:right="0" w:firstLine="0" w:firstLineChars="0"/>
              <w:jc w:val="center"/>
              <w:textAlignment w:val="auto"/>
              <w:rPr>
                <w:rFonts w:ascii="Times New Roman" w:hAnsi="Times New Roman" w:eastAsia="黑体" w:cs="Times New Roman"/>
                <w:snapToGrid w:val="0"/>
                <w:color w:val="000000"/>
                <w:spacing w:val="-6"/>
                <w:kern w:val="21"/>
                <w:sz w:val="21"/>
                <w:szCs w:val="21"/>
                <w:highlight w:val="none"/>
                <w:lang w:val="en-US" w:eastAsia="zh-CN" w:bidi="ar-SA"/>
              </w:rPr>
            </w:pPr>
            <w:r>
              <w:rPr>
                <w:rFonts w:ascii="Times New Roman" w:hAnsi="Times New Roman" w:eastAsia="黑体" w:cs="Times New Roman"/>
                <w:snapToGrid w:val="0"/>
                <w:color w:val="000000"/>
                <w:spacing w:val="-6"/>
                <w:kern w:val="21"/>
                <w:sz w:val="21"/>
                <w:szCs w:val="21"/>
                <w:highlight w:val="none"/>
                <w:lang w:val="en-US" w:eastAsia="zh-CN" w:bidi="ar-SA"/>
              </w:rPr>
              <w:t>排放量（固</w:t>
            </w:r>
            <w:r>
              <w:rPr>
                <w:rFonts w:hint="eastAsia" w:ascii="Times New Roman" w:hAnsi="Times New Roman" w:eastAsia="黑体" w:cs="Times New Roman"/>
                <w:snapToGrid w:val="0"/>
                <w:color w:val="000000"/>
                <w:spacing w:val="-6"/>
                <w:kern w:val="21"/>
                <w:sz w:val="21"/>
                <w:szCs w:val="21"/>
                <w:highlight w:val="none"/>
                <w:lang w:val="en-US" w:eastAsia="zh-CN" w:bidi="ar-SA"/>
              </w:rPr>
              <w:t>体</w:t>
            </w:r>
            <w:r>
              <w:rPr>
                <w:rFonts w:ascii="Times New Roman" w:hAnsi="Times New Roman" w:eastAsia="黑体" w:cs="Times New Roman"/>
                <w:snapToGrid w:val="0"/>
                <w:color w:val="000000"/>
                <w:spacing w:val="-6"/>
                <w:kern w:val="21"/>
                <w:sz w:val="21"/>
                <w:szCs w:val="21"/>
                <w:highlight w:val="none"/>
                <w:lang w:val="en-US" w:eastAsia="zh-CN" w:bidi="ar-SA"/>
              </w:rPr>
              <w:t>废</w:t>
            </w:r>
            <w:r>
              <w:rPr>
                <w:rFonts w:hint="eastAsia" w:ascii="Times New Roman" w:hAnsi="Times New Roman" w:eastAsia="黑体" w:cs="Times New Roman"/>
                <w:snapToGrid w:val="0"/>
                <w:color w:val="000000"/>
                <w:spacing w:val="-6"/>
                <w:kern w:val="21"/>
                <w:sz w:val="21"/>
                <w:szCs w:val="21"/>
                <w:highlight w:val="none"/>
                <w:lang w:val="en-US" w:eastAsia="zh-CN" w:bidi="ar-SA"/>
              </w:rPr>
              <w:t>物</w:t>
            </w:r>
            <w:r>
              <w:rPr>
                <w:rFonts w:ascii="Times New Roman" w:hAnsi="Times New Roman" w:eastAsia="黑体" w:cs="Times New Roman"/>
                <w:snapToGrid w:val="0"/>
                <w:color w:val="000000"/>
                <w:spacing w:val="-6"/>
                <w:kern w:val="21"/>
                <w:sz w:val="21"/>
                <w:szCs w:val="21"/>
                <w:highlight w:val="none"/>
                <w:lang w:val="en-US" w:eastAsia="zh-CN" w:bidi="ar-SA"/>
              </w:rPr>
              <w:t>产生量）</w:t>
            </w:r>
            <w:r>
              <w:rPr>
                <w:rFonts w:ascii="Times New Roman" w:hAnsi="Times New Roman" w:eastAsia="黑体" w:cs="Times New Roman"/>
                <w:snapToGrid w:val="0"/>
                <w:color w:val="000000"/>
                <w:spacing w:val="-6"/>
                <w:kern w:val="21"/>
                <w:sz w:val="21"/>
                <w:szCs w:val="21"/>
                <w:highlight w:val="none"/>
                <w:lang w:val="en-US" w:eastAsia="zh-CN" w:bidi="ar-SA"/>
              </w:rPr>
              <w:fldChar w:fldCharType="begin"/>
            </w:r>
            <w:r>
              <w:rPr>
                <w:rFonts w:ascii="Times New Roman" w:hAnsi="Times New Roman" w:eastAsia="黑体" w:cs="Times New Roman"/>
                <w:snapToGrid w:val="0"/>
                <w:color w:val="000000"/>
                <w:spacing w:val="-6"/>
                <w:kern w:val="21"/>
                <w:sz w:val="21"/>
                <w:szCs w:val="21"/>
                <w:highlight w:val="none"/>
                <w:lang w:val="en-US" w:eastAsia="zh-CN" w:bidi="ar-SA"/>
              </w:rPr>
              <w:instrText xml:space="preserve"> = 3 \* GB3 \* MERGEFORMAT </w:instrText>
            </w:r>
            <w:r>
              <w:rPr>
                <w:rFonts w:ascii="Times New Roman" w:hAnsi="Times New Roman" w:eastAsia="黑体" w:cs="Times New Roman"/>
                <w:snapToGrid w:val="0"/>
                <w:color w:val="000000"/>
                <w:spacing w:val="-6"/>
                <w:kern w:val="21"/>
                <w:sz w:val="21"/>
                <w:szCs w:val="21"/>
                <w:highlight w:val="none"/>
                <w:lang w:val="en-US" w:eastAsia="zh-CN" w:bidi="ar-SA"/>
              </w:rPr>
              <w:fldChar w:fldCharType="separate"/>
            </w:r>
            <w:r>
              <w:rPr>
                <w:rFonts w:hint="eastAsia" w:ascii="Times New Roman" w:hAnsi="Times New Roman" w:eastAsia="黑体" w:cs="宋体"/>
                <w:color w:val="000000"/>
                <w:kern w:val="2"/>
                <w:sz w:val="21"/>
                <w:szCs w:val="21"/>
                <w:highlight w:val="none"/>
                <w:lang w:val="en-US" w:eastAsia="zh-CN" w:bidi="ar-SA"/>
              </w:rPr>
              <w:t>③</w:t>
            </w:r>
            <w:r>
              <w:rPr>
                <w:rFonts w:ascii="Times New Roman" w:hAnsi="Times New Roman" w:eastAsia="黑体" w:cs="Times New Roman"/>
                <w:snapToGrid w:val="0"/>
                <w:color w:val="000000"/>
                <w:spacing w:val="-6"/>
                <w:kern w:val="21"/>
                <w:sz w:val="21"/>
                <w:szCs w:val="21"/>
                <w:highlight w:val="none"/>
                <w:lang w:val="en-US" w:eastAsia="zh-CN" w:bidi="ar-SA"/>
              </w:rPr>
              <w:fldChar w:fldCharType="end"/>
            </w:r>
          </w:p>
        </w:tc>
        <w:tc>
          <w:tcPr>
            <w:tcW w:w="1559" w:type="dxa"/>
            <w:noWrap w:val="0"/>
            <w:tcMar>
              <w:left w:w="28" w:type="dxa"/>
              <w:right w:w="28" w:type="dxa"/>
            </w:tcMar>
            <w:vAlign w:val="center"/>
          </w:tcPr>
          <w:p w14:paraId="63CF7B20">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exact"/>
              <w:ind w:left="0" w:leftChars="0" w:right="0" w:firstLine="0" w:firstLineChars="0"/>
              <w:jc w:val="center"/>
              <w:textAlignment w:val="auto"/>
              <w:rPr>
                <w:rFonts w:hint="eastAsia" w:ascii="Times New Roman" w:hAnsi="Times New Roman" w:eastAsia="黑体" w:cs="Times New Roman"/>
                <w:snapToGrid w:val="0"/>
                <w:color w:val="000000"/>
                <w:spacing w:val="-6"/>
                <w:kern w:val="21"/>
                <w:sz w:val="21"/>
                <w:szCs w:val="21"/>
                <w:highlight w:val="none"/>
                <w:lang w:val="en-US" w:eastAsia="zh-CN" w:bidi="ar-SA"/>
              </w:rPr>
            </w:pPr>
            <w:r>
              <w:rPr>
                <w:rFonts w:ascii="Times New Roman" w:hAnsi="Times New Roman" w:eastAsia="黑体" w:cs="Times New Roman"/>
                <w:snapToGrid w:val="0"/>
                <w:color w:val="000000"/>
                <w:spacing w:val="-6"/>
                <w:kern w:val="21"/>
                <w:sz w:val="21"/>
                <w:szCs w:val="21"/>
                <w:highlight w:val="none"/>
                <w:lang w:val="en-US" w:eastAsia="zh-CN" w:bidi="ar-SA"/>
              </w:rPr>
              <w:t>本项目</w:t>
            </w:r>
          </w:p>
          <w:p w14:paraId="26E1449F">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exact"/>
              <w:ind w:left="0" w:leftChars="0" w:right="0" w:firstLine="0" w:firstLineChars="0"/>
              <w:jc w:val="center"/>
              <w:textAlignment w:val="auto"/>
              <w:rPr>
                <w:rFonts w:ascii="Times New Roman" w:hAnsi="Times New Roman" w:eastAsia="黑体" w:cs="Times New Roman"/>
                <w:snapToGrid w:val="0"/>
                <w:color w:val="000000"/>
                <w:spacing w:val="-6"/>
                <w:kern w:val="21"/>
                <w:sz w:val="21"/>
                <w:szCs w:val="21"/>
                <w:highlight w:val="none"/>
                <w:lang w:val="en-US" w:eastAsia="zh-CN" w:bidi="ar-SA"/>
              </w:rPr>
            </w:pPr>
            <w:r>
              <w:rPr>
                <w:rFonts w:ascii="Times New Roman" w:hAnsi="Times New Roman" w:eastAsia="黑体" w:cs="Times New Roman"/>
                <w:snapToGrid w:val="0"/>
                <w:color w:val="000000"/>
                <w:spacing w:val="-6"/>
                <w:kern w:val="21"/>
                <w:sz w:val="21"/>
                <w:szCs w:val="21"/>
                <w:highlight w:val="none"/>
                <w:lang w:val="en-US" w:eastAsia="zh-CN" w:bidi="ar-SA"/>
              </w:rPr>
              <w:t>排放量（固</w:t>
            </w:r>
            <w:r>
              <w:rPr>
                <w:rFonts w:hint="eastAsia" w:ascii="Times New Roman" w:hAnsi="Times New Roman" w:eastAsia="黑体" w:cs="Times New Roman"/>
                <w:snapToGrid w:val="0"/>
                <w:color w:val="000000"/>
                <w:spacing w:val="-6"/>
                <w:kern w:val="21"/>
                <w:sz w:val="21"/>
                <w:szCs w:val="21"/>
                <w:highlight w:val="none"/>
                <w:lang w:val="en-US" w:eastAsia="zh-CN" w:bidi="ar-SA"/>
              </w:rPr>
              <w:t>体</w:t>
            </w:r>
            <w:r>
              <w:rPr>
                <w:rFonts w:ascii="Times New Roman" w:hAnsi="Times New Roman" w:eastAsia="黑体" w:cs="Times New Roman"/>
                <w:snapToGrid w:val="0"/>
                <w:color w:val="000000"/>
                <w:spacing w:val="-6"/>
                <w:kern w:val="21"/>
                <w:sz w:val="21"/>
                <w:szCs w:val="21"/>
                <w:highlight w:val="none"/>
                <w:lang w:val="en-US" w:eastAsia="zh-CN" w:bidi="ar-SA"/>
              </w:rPr>
              <w:t>废</w:t>
            </w:r>
            <w:r>
              <w:rPr>
                <w:rFonts w:hint="eastAsia" w:ascii="Times New Roman" w:hAnsi="Times New Roman" w:eastAsia="黑体" w:cs="Times New Roman"/>
                <w:snapToGrid w:val="0"/>
                <w:color w:val="000000"/>
                <w:spacing w:val="-6"/>
                <w:kern w:val="21"/>
                <w:sz w:val="21"/>
                <w:szCs w:val="21"/>
                <w:highlight w:val="none"/>
                <w:lang w:val="en-US" w:eastAsia="zh-CN" w:bidi="ar-SA"/>
              </w:rPr>
              <w:t>物</w:t>
            </w:r>
            <w:r>
              <w:rPr>
                <w:rFonts w:ascii="Times New Roman" w:hAnsi="Times New Roman" w:eastAsia="黑体" w:cs="Times New Roman"/>
                <w:snapToGrid w:val="0"/>
                <w:color w:val="000000"/>
                <w:spacing w:val="-6"/>
                <w:kern w:val="21"/>
                <w:sz w:val="21"/>
                <w:szCs w:val="21"/>
                <w:highlight w:val="none"/>
                <w:lang w:val="en-US" w:eastAsia="zh-CN" w:bidi="ar-SA"/>
              </w:rPr>
              <w:t>产生量）</w:t>
            </w:r>
            <w:r>
              <w:rPr>
                <w:rFonts w:ascii="Times New Roman" w:hAnsi="Times New Roman" w:eastAsia="黑体" w:cs="Times New Roman"/>
                <w:snapToGrid w:val="0"/>
                <w:color w:val="000000"/>
                <w:spacing w:val="-6"/>
                <w:kern w:val="21"/>
                <w:sz w:val="21"/>
                <w:szCs w:val="21"/>
                <w:highlight w:val="none"/>
                <w:lang w:val="en-US" w:eastAsia="zh-CN" w:bidi="ar-SA"/>
              </w:rPr>
              <w:fldChar w:fldCharType="begin"/>
            </w:r>
            <w:r>
              <w:rPr>
                <w:rFonts w:ascii="Times New Roman" w:hAnsi="Times New Roman" w:eastAsia="黑体" w:cs="Times New Roman"/>
                <w:snapToGrid w:val="0"/>
                <w:color w:val="000000"/>
                <w:spacing w:val="-6"/>
                <w:kern w:val="21"/>
                <w:sz w:val="21"/>
                <w:szCs w:val="21"/>
                <w:highlight w:val="none"/>
                <w:lang w:val="en-US" w:eastAsia="zh-CN" w:bidi="ar-SA"/>
              </w:rPr>
              <w:instrText xml:space="preserve"> = 4 \* GB3 \* MERGEFORMAT </w:instrText>
            </w:r>
            <w:r>
              <w:rPr>
                <w:rFonts w:ascii="Times New Roman" w:hAnsi="Times New Roman" w:eastAsia="黑体" w:cs="Times New Roman"/>
                <w:snapToGrid w:val="0"/>
                <w:color w:val="000000"/>
                <w:spacing w:val="-6"/>
                <w:kern w:val="21"/>
                <w:sz w:val="21"/>
                <w:szCs w:val="21"/>
                <w:highlight w:val="none"/>
                <w:lang w:val="en-US" w:eastAsia="zh-CN" w:bidi="ar-SA"/>
              </w:rPr>
              <w:fldChar w:fldCharType="separate"/>
            </w:r>
            <w:r>
              <w:rPr>
                <w:rFonts w:hint="eastAsia" w:ascii="Times New Roman" w:hAnsi="Times New Roman" w:eastAsia="黑体" w:cs="宋体"/>
                <w:color w:val="000000"/>
                <w:kern w:val="2"/>
                <w:sz w:val="21"/>
                <w:szCs w:val="21"/>
                <w:highlight w:val="none"/>
                <w:lang w:val="en-US" w:eastAsia="zh-CN" w:bidi="ar-SA"/>
              </w:rPr>
              <w:t>④</w:t>
            </w:r>
            <w:r>
              <w:rPr>
                <w:rFonts w:ascii="Times New Roman" w:hAnsi="Times New Roman" w:eastAsia="黑体" w:cs="Times New Roman"/>
                <w:snapToGrid w:val="0"/>
                <w:color w:val="000000"/>
                <w:spacing w:val="-6"/>
                <w:kern w:val="21"/>
                <w:sz w:val="21"/>
                <w:szCs w:val="21"/>
                <w:highlight w:val="none"/>
                <w:lang w:val="en-US" w:eastAsia="zh-CN" w:bidi="ar-SA"/>
              </w:rPr>
              <w:fldChar w:fldCharType="end"/>
            </w:r>
          </w:p>
        </w:tc>
        <w:tc>
          <w:tcPr>
            <w:tcW w:w="1761" w:type="dxa"/>
            <w:noWrap w:val="0"/>
            <w:tcMar>
              <w:left w:w="28" w:type="dxa"/>
              <w:right w:w="28" w:type="dxa"/>
            </w:tcMar>
            <w:vAlign w:val="center"/>
          </w:tcPr>
          <w:p w14:paraId="257DED91">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exact"/>
              <w:ind w:left="0" w:leftChars="0" w:right="0" w:firstLine="0" w:firstLineChars="0"/>
              <w:jc w:val="center"/>
              <w:textAlignment w:val="auto"/>
              <w:rPr>
                <w:rFonts w:hint="eastAsia" w:ascii="Times New Roman" w:hAnsi="Times New Roman" w:eastAsia="黑体" w:cs="Times New Roman"/>
                <w:snapToGrid w:val="0"/>
                <w:color w:val="000000"/>
                <w:spacing w:val="-16"/>
                <w:kern w:val="21"/>
                <w:sz w:val="21"/>
                <w:szCs w:val="21"/>
                <w:highlight w:val="none"/>
                <w:lang w:val="en-US" w:eastAsia="zh-CN" w:bidi="ar-SA"/>
              </w:rPr>
            </w:pPr>
            <w:r>
              <w:rPr>
                <w:rFonts w:ascii="Times New Roman" w:hAnsi="Times New Roman" w:eastAsia="黑体" w:cs="Times New Roman"/>
                <w:snapToGrid w:val="0"/>
                <w:color w:val="000000"/>
                <w:spacing w:val="-16"/>
                <w:kern w:val="21"/>
                <w:sz w:val="21"/>
                <w:szCs w:val="21"/>
                <w:highlight w:val="none"/>
                <w:lang w:val="en-US" w:eastAsia="zh-CN" w:bidi="ar-SA"/>
              </w:rPr>
              <w:t>以新带老削减量</w:t>
            </w:r>
          </w:p>
          <w:p w14:paraId="52A56CCB">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exact"/>
              <w:ind w:left="0" w:leftChars="0" w:right="0" w:firstLine="0" w:firstLineChars="0"/>
              <w:jc w:val="center"/>
              <w:textAlignment w:val="auto"/>
              <w:rPr>
                <w:rFonts w:ascii="Times New Roman" w:hAnsi="Times New Roman" w:eastAsia="黑体" w:cs="Times New Roman"/>
                <w:snapToGrid w:val="0"/>
                <w:color w:val="000000"/>
                <w:spacing w:val="-16"/>
                <w:kern w:val="21"/>
                <w:sz w:val="21"/>
                <w:szCs w:val="21"/>
                <w:highlight w:val="none"/>
                <w:lang w:val="en-US" w:eastAsia="zh-CN" w:bidi="ar-SA"/>
              </w:rPr>
            </w:pPr>
            <w:r>
              <w:rPr>
                <w:rFonts w:ascii="Times New Roman" w:hAnsi="Times New Roman" w:eastAsia="黑体" w:cs="Times New Roman"/>
                <w:snapToGrid w:val="0"/>
                <w:color w:val="000000"/>
                <w:spacing w:val="-16"/>
                <w:kern w:val="21"/>
                <w:sz w:val="21"/>
                <w:szCs w:val="21"/>
                <w:highlight w:val="none"/>
                <w:lang w:val="en-US" w:eastAsia="zh-CN" w:bidi="ar-SA"/>
              </w:rPr>
              <w:t>（新建项目不填）</w:t>
            </w:r>
            <w:r>
              <w:rPr>
                <w:rFonts w:ascii="Times New Roman" w:hAnsi="Times New Roman" w:eastAsia="黑体" w:cs="Times New Roman"/>
                <w:snapToGrid w:val="0"/>
                <w:color w:val="000000"/>
                <w:spacing w:val="-16"/>
                <w:kern w:val="21"/>
                <w:sz w:val="21"/>
                <w:szCs w:val="21"/>
                <w:highlight w:val="none"/>
                <w:lang w:val="en-US" w:eastAsia="zh-CN" w:bidi="ar-SA"/>
              </w:rPr>
              <w:fldChar w:fldCharType="begin"/>
            </w:r>
            <w:r>
              <w:rPr>
                <w:rFonts w:ascii="Times New Roman" w:hAnsi="Times New Roman" w:eastAsia="黑体" w:cs="Times New Roman"/>
                <w:snapToGrid w:val="0"/>
                <w:color w:val="000000"/>
                <w:spacing w:val="-16"/>
                <w:kern w:val="21"/>
                <w:sz w:val="21"/>
                <w:szCs w:val="21"/>
                <w:highlight w:val="none"/>
                <w:lang w:val="en-US" w:eastAsia="zh-CN" w:bidi="ar-SA"/>
              </w:rPr>
              <w:instrText xml:space="preserve"> = 5 \* GB3 \* MERGEFORMAT </w:instrText>
            </w:r>
            <w:r>
              <w:rPr>
                <w:rFonts w:ascii="Times New Roman" w:hAnsi="Times New Roman" w:eastAsia="黑体" w:cs="Times New Roman"/>
                <w:snapToGrid w:val="0"/>
                <w:color w:val="000000"/>
                <w:spacing w:val="-16"/>
                <w:kern w:val="21"/>
                <w:sz w:val="21"/>
                <w:szCs w:val="21"/>
                <w:highlight w:val="none"/>
                <w:lang w:val="en-US" w:eastAsia="zh-CN" w:bidi="ar-SA"/>
              </w:rPr>
              <w:fldChar w:fldCharType="separate"/>
            </w:r>
            <w:r>
              <w:rPr>
                <w:rFonts w:hint="eastAsia" w:ascii="Times New Roman" w:hAnsi="Times New Roman" w:eastAsia="黑体" w:cs="宋体"/>
                <w:color w:val="000000"/>
                <w:kern w:val="2"/>
                <w:sz w:val="21"/>
                <w:szCs w:val="21"/>
                <w:highlight w:val="none"/>
                <w:lang w:val="en-US" w:eastAsia="zh-CN" w:bidi="ar-SA"/>
              </w:rPr>
              <w:t>⑤</w:t>
            </w:r>
            <w:r>
              <w:rPr>
                <w:rFonts w:ascii="Times New Roman" w:hAnsi="Times New Roman" w:eastAsia="黑体" w:cs="Times New Roman"/>
                <w:snapToGrid w:val="0"/>
                <w:color w:val="000000"/>
                <w:spacing w:val="-16"/>
                <w:kern w:val="21"/>
                <w:sz w:val="21"/>
                <w:szCs w:val="21"/>
                <w:highlight w:val="none"/>
                <w:lang w:val="en-US" w:eastAsia="zh-CN" w:bidi="ar-SA"/>
              </w:rPr>
              <w:fldChar w:fldCharType="end"/>
            </w:r>
          </w:p>
        </w:tc>
        <w:tc>
          <w:tcPr>
            <w:tcW w:w="1616" w:type="dxa"/>
            <w:noWrap w:val="0"/>
            <w:tcMar>
              <w:left w:w="28" w:type="dxa"/>
              <w:right w:w="28" w:type="dxa"/>
            </w:tcMar>
            <w:vAlign w:val="center"/>
          </w:tcPr>
          <w:p w14:paraId="787BE45C">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exact"/>
              <w:ind w:left="0" w:leftChars="0" w:right="0" w:firstLine="0" w:firstLineChars="0"/>
              <w:jc w:val="center"/>
              <w:textAlignment w:val="auto"/>
              <w:rPr>
                <w:rFonts w:hint="eastAsia" w:ascii="Times New Roman" w:hAnsi="Times New Roman" w:eastAsia="黑体" w:cs="Times New Roman"/>
                <w:snapToGrid w:val="0"/>
                <w:color w:val="000000"/>
                <w:spacing w:val="-16"/>
                <w:kern w:val="21"/>
                <w:sz w:val="21"/>
                <w:szCs w:val="21"/>
                <w:highlight w:val="none"/>
                <w:lang w:val="en-US" w:eastAsia="zh-CN" w:bidi="ar-SA"/>
              </w:rPr>
            </w:pPr>
            <w:r>
              <w:rPr>
                <w:rFonts w:ascii="Times New Roman" w:hAnsi="Times New Roman" w:eastAsia="黑体" w:cs="Times New Roman"/>
                <w:snapToGrid w:val="0"/>
                <w:color w:val="000000"/>
                <w:spacing w:val="-16"/>
                <w:kern w:val="21"/>
                <w:sz w:val="21"/>
                <w:szCs w:val="21"/>
                <w:highlight w:val="none"/>
                <w:lang w:val="en-US" w:eastAsia="zh-CN" w:bidi="ar-SA"/>
              </w:rPr>
              <w:t>本项目建成后</w:t>
            </w:r>
          </w:p>
          <w:p w14:paraId="0B7BE5C0">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exact"/>
              <w:ind w:left="0" w:leftChars="0" w:right="0" w:firstLine="0" w:firstLineChars="0"/>
              <w:jc w:val="center"/>
              <w:textAlignment w:val="auto"/>
              <w:rPr>
                <w:rFonts w:ascii="Times New Roman" w:hAnsi="Times New Roman" w:eastAsia="黑体" w:cs="Times New Roman"/>
                <w:snapToGrid w:val="0"/>
                <w:color w:val="000000"/>
                <w:spacing w:val="-16"/>
                <w:kern w:val="21"/>
                <w:sz w:val="21"/>
                <w:szCs w:val="21"/>
                <w:highlight w:val="none"/>
                <w:lang w:val="en-US" w:eastAsia="zh-CN" w:bidi="ar-SA"/>
              </w:rPr>
            </w:pPr>
            <w:r>
              <w:rPr>
                <w:rFonts w:hint="eastAsia" w:ascii="Times New Roman" w:hAnsi="Times New Roman" w:eastAsia="黑体" w:cs="Times New Roman"/>
                <w:snapToGrid w:val="0"/>
                <w:color w:val="000000"/>
                <w:spacing w:val="-16"/>
                <w:kern w:val="21"/>
                <w:sz w:val="21"/>
                <w:szCs w:val="21"/>
                <w:highlight w:val="none"/>
                <w:lang w:val="en-US" w:eastAsia="zh-CN" w:bidi="ar-SA"/>
              </w:rPr>
              <w:t>全厂</w:t>
            </w:r>
            <w:r>
              <w:rPr>
                <w:rFonts w:ascii="Times New Roman" w:hAnsi="Times New Roman" w:eastAsia="黑体" w:cs="Times New Roman"/>
                <w:snapToGrid w:val="0"/>
                <w:color w:val="000000"/>
                <w:spacing w:val="-16"/>
                <w:kern w:val="21"/>
                <w:sz w:val="21"/>
                <w:szCs w:val="21"/>
                <w:highlight w:val="none"/>
                <w:lang w:val="en-US" w:eastAsia="zh-CN" w:bidi="ar-SA"/>
              </w:rPr>
              <w:t>排放量（固</w:t>
            </w:r>
            <w:r>
              <w:rPr>
                <w:rFonts w:hint="eastAsia" w:ascii="Times New Roman" w:hAnsi="Times New Roman" w:eastAsia="黑体" w:cs="Times New Roman"/>
                <w:snapToGrid w:val="0"/>
                <w:color w:val="000000"/>
                <w:spacing w:val="-16"/>
                <w:kern w:val="21"/>
                <w:sz w:val="21"/>
                <w:szCs w:val="21"/>
                <w:highlight w:val="none"/>
                <w:lang w:val="en-US" w:eastAsia="zh-CN" w:bidi="ar-SA"/>
              </w:rPr>
              <w:t>体</w:t>
            </w:r>
            <w:r>
              <w:rPr>
                <w:rFonts w:ascii="Times New Roman" w:hAnsi="Times New Roman" w:eastAsia="黑体" w:cs="Times New Roman"/>
                <w:snapToGrid w:val="0"/>
                <w:color w:val="000000"/>
                <w:spacing w:val="-16"/>
                <w:kern w:val="21"/>
                <w:sz w:val="21"/>
                <w:szCs w:val="21"/>
                <w:highlight w:val="none"/>
                <w:lang w:val="en-US" w:eastAsia="zh-CN" w:bidi="ar-SA"/>
              </w:rPr>
              <w:t>废</w:t>
            </w:r>
            <w:r>
              <w:rPr>
                <w:rFonts w:hint="eastAsia" w:ascii="Times New Roman" w:hAnsi="Times New Roman" w:eastAsia="黑体" w:cs="Times New Roman"/>
                <w:snapToGrid w:val="0"/>
                <w:color w:val="000000"/>
                <w:spacing w:val="-16"/>
                <w:kern w:val="21"/>
                <w:sz w:val="21"/>
                <w:szCs w:val="21"/>
                <w:highlight w:val="none"/>
                <w:lang w:val="en-US" w:eastAsia="zh-CN" w:bidi="ar-SA"/>
              </w:rPr>
              <w:t>物</w:t>
            </w:r>
            <w:r>
              <w:rPr>
                <w:rFonts w:ascii="Times New Roman" w:hAnsi="Times New Roman" w:eastAsia="黑体" w:cs="Times New Roman"/>
                <w:snapToGrid w:val="0"/>
                <w:color w:val="000000"/>
                <w:spacing w:val="-16"/>
                <w:kern w:val="21"/>
                <w:sz w:val="21"/>
                <w:szCs w:val="21"/>
                <w:highlight w:val="none"/>
                <w:lang w:val="en-US" w:eastAsia="zh-CN" w:bidi="ar-SA"/>
              </w:rPr>
              <w:t>产生量）</w:t>
            </w:r>
            <w:r>
              <w:rPr>
                <w:rFonts w:ascii="Times New Roman" w:hAnsi="Times New Roman" w:eastAsia="黑体" w:cs="Times New Roman"/>
                <w:snapToGrid w:val="0"/>
                <w:color w:val="000000"/>
                <w:spacing w:val="-16"/>
                <w:kern w:val="21"/>
                <w:sz w:val="21"/>
                <w:szCs w:val="21"/>
                <w:highlight w:val="none"/>
                <w:lang w:val="en-US" w:eastAsia="zh-CN" w:bidi="ar-SA"/>
              </w:rPr>
              <w:fldChar w:fldCharType="begin"/>
            </w:r>
            <w:r>
              <w:rPr>
                <w:rFonts w:ascii="Times New Roman" w:hAnsi="Times New Roman" w:eastAsia="黑体" w:cs="Times New Roman"/>
                <w:snapToGrid w:val="0"/>
                <w:color w:val="000000"/>
                <w:spacing w:val="-16"/>
                <w:kern w:val="21"/>
                <w:sz w:val="21"/>
                <w:szCs w:val="21"/>
                <w:highlight w:val="none"/>
                <w:lang w:val="en-US" w:eastAsia="zh-CN" w:bidi="ar-SA"/>
              </w:rPr>
              <w:instrText xml:space="preserve"> = 6 \* GB3 \* MERGEFORMAT </w:instrText>
            </w:r>
            <w:r>
              <w:rPr>
                <w:rFonts w:ascii="Times New Roman" w:hAnsi="Times New Roman" w:eastAsia="黑体" w:cs="Times New Roman"/>
                <w:snapToGrid w:val="0"/>
                <w:color w:val="000000"/>
                <w:spacing w:val="-16"/>
                <w:kern w:val="21"/>
                <w:sz w:val="21"/>
                <w:szCs w:val="21"/>
                <w:highlight w:val="none"/>
                <w:lang w:val="en-US" w:eastAsia="zh-CN" w:bidi="ar-SA"/>
              </w:rPr>
              <w:fldChar w:fldCharType="separate"/>
            </w:r>
            <w:r>
              <w:rPr>
                <w:rFonts w:hint="eastAsia" w:ascii="Times New Roman" w:hAnsi="Times New Roman" w:eastAsia="黑体" w:cs="宋体"/>
                <w:color w:val="000000"/>
                <w:kern w:val="2"/>
                <w:sz w:val="21"/>
                <w:szCs w:val="21"/>
                <w:highlight w:val="none"/>
                <w:lang w:val="en-US" w:eastAsia="zh-CN" w:bidi="ar-SA"/>
              </w:rPr>
              <w:t>⑥</w:t>
            </w:r>
            <w:r>
              <w:rPr>
                <w:rFonts w:ascii="Times New Roman" w:hAnsi="Times New Roman" w:eastAsia="黑体" w:cs="Times New Roman"/>
                <w:snapToGrid w:val="0"/>
                <w:color w:val="000000"/>
                <w:spacing w:val="-16"/>
                <w:kern w:val="21"/>
                <w:sz w:val="21"/>
                <w:szCs w:val="21"/>
                <w:highlight w:val="none"/>
                <w:lang w:val="en-US" w:eastAsia="zh-CN" w:bidi="ar-SA"/>
              </w:rPr>
              <w:fldChar w:fldCharType="end"/>
            </w:r>
          </w:p>
        </w:tc>
        <w:tc>
          <w:tcPr>
            <w:tcW w:w="1169" w:type="dxa"/>
            <w:noWrap w:val="0"/>
            <w:tcMar>
              <w:left w:w="28" w:type="dxa"/>
              <w:right w:w="28" w:type="dxa"/>
            </w:tcMar>
            <w:vAlign w:val="center"/>
          </w:tcPr>
          <w:p w14:paraId="1C4C133F">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exact"/>
              <w:ind w:left="0" w:leftChars="0" w:right="0" w:firstLine="0" w:firstLineChars="0"/>
              <w:jc w:val="center"/>
              <w:textAlignment w:val="auto"/>
              <w:rPr>
                <w:rFonts w:ascii="Times New Roman" w:hAnsi="Times New Roman" w:eastAsia="黑体" w:cs="Times New Roman"/>
                <w:snapToGrid w:val="0"/>
                <w:color w:val="000000"/>
                <w:spacing w:val="-6"/>
                <w:kern w:val="21"/>
                <w:sz w:val="21"/>
                <w:szCs w:val="21"/>
                <w:highlight w:val="none"/>
                <w:lang w:val="en-US" w:eastAsia="zh-CN" w:bidi="ar-SA"/>
              </w:rPr>
            </w:pPr>
            <w:r>
              <w:rPr>
                <w:rFonts w:ascii="Times New Roman" w:hAnsi="Times New Roman" w:eastAsia="黑体" w:cs="Times New Roman"/>
                <w:snapToGrid w:val="0"/>
                <w:color w:val="000000"/>
                <w:spacing w:val="-6"/>
                <w:kern w:val="21"/>
                <w:sz w:val="21"/>
                <w:szCs w:val="21"/>
                <w:highlight w:val="none"/>
                <w:lang w:val="en-US" w:eastAsia="zh-CN" w:bidi="ar-SA"/>
              </w:rPr>
              <w:t>变化量</w:t>
            </w:r>
          </w:p>
          <w:p w14:paraId="5D4BA8A7">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exact"/>
              <w:ind w:left="0" w:leftChars="0" w:right="0" w:firstLine="0" w:firstLineChars="0"/>
              <w:jc w:val="center"/>
              <w:textAlignment w:val="auto"/>
              <w:rPr>
                <w:rFonts w:ascii="Times New Roman" w:hAnsi="Times New Roman" w:eastAsia="黑体" w:cs="Times New Roman"/>
                <w:snapToGrid w:val="0"/>
                <w:color w:val="000000"/>
                <w:spacing w:val="-6"/>
                <w:kern w:val="21"/>
                <w:sz w:val="21"/>
                <w:szCs w:val="21"/>
                <w:highlight w:val="none"/>
                <w:lang w:val="en-US" w:eastAsia="zh-CN" w:bidi="ar-SA"/>
              </w:rPr>
            </w:pPr>
            <w:r>
              <w:rPr>
                <w:rFonts w:ascii="Times New Roman" w:hAnsi="Times New Roman" w:eastAsia="黑体" w:cs="Times New Roman"/>
                <w:snapToGrid w:val="0"/>
                <w:color w:val="000000"/>
                <w:spacing w:val="-6"/>
                <w:kern w:val="21"/>
                <w:sz w:val="21"/>
                <w:szCs w:val="21"/>
                <w:highlight w:val="none"/>
                <w:lang w:val="en-US" w:eastAsia="zh-CN" w:bidi="ar-SA"/>
              </w:rPr>
              <w:fldChar w:fldCharType="begin"/>
            </w:r>
            <w:r>
              <w:rPr>
                <w:rFonts w:ascii="Times New Roman" w:hAnsi="Times New Roman" w:eastAsia="黑体" w:cs="Times New Roman"/>
                <w:snapToGrid w:val="0"/>
                <w:color w:val="000000"/>
                <w:spacing w:val="-6"/>
                <w:kern w:val="21"/>
                <w:sz w:val="21"/>
                <w:szCs w:val="21"/>
                <w:highlight w:val="none"/>
                <w:lang w:val="en-US" w:eastAsia="zh-CN" w:bidi="ar-SA"/>
              </w:rPr>
              <w:instrText xml:space="preserve"> = 7 \* GB3 \* MERGEFORMAT </w:instrText>
            </w:r>
            <w:r>
              <w:rPr>
                <w:rFonts w:ascii="Times New Roman" w:hAnsi="Times New Roman" w:eastAsia="黑体" w:cs="Times New Roman"/>
                <w:snapToGrid w:val="0"/>
                <w:color w:val="000000"/>
                <w:spacing w:val="-6"/>
                <w:kern w:val="21"/>
                <w:sz w:val="21"/>
                <w:szCs w:val="21"/>
                <w:highlight w:val="none"/>
                <w:lang w:val="en-US" w:eastAsia="zh-CN" w:bidi="ar-SA"/>
              </w:rPr>
              <w:fldChar w:fldCharType="separate"/>
            </w:r>
            <w:r>
              <w:rPr>
                <w:rFonts w:hint="eastAsia" w:ascii="Times New Roman" w:hAnsi="Times New Roman" w:eastAsia="黑体" w:cs="宋体"/>
                <w:color w:val="000000"/>
                <w:kern w:val="2"/>
                <w:sz w:val="21"/>
                <w:szCs w:val="21"/>
                <w:highlight w:val="none"/>
                <w:lang w:val="en-US" w:eastAsia="zh-CN" w:bidi="ar-SA"/>
              </w:rPr>
              <w:t>⑦</w:t>
            </w:r>
            <w:r>
              <w:rPr>
                <w:rFonts w:ascii="Times New Roman" w:hAnsi="Times New Roman" w:eastAsia="黑体" w:cs="Times New Roman"/>
                <w:snapToGrid w:val="0"/>
                <w:color w:val="000000"/>
                <w:spacing w:val="-6"/>
                <w:kern w:val="21"/>
                <w:sz w:val="21"/>
                <w:szCs w:val="21"/>
                <w:highlight w:val="none"/>
                <w:lang w:val="en-US" w:eastAsia="zh-CN" w:bidi="ar-SA"/>
              </w:rPr>
              <w:fldChar w:fldCharType="end"/>
            </w:r>
          </w:p>
        </w:tc>
      </w:tr>
      <w:tr w14:paraId="19863B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021" w:type="dxa"/>
            <w:vMerge w:val="restart"/>
            <w:noWrap w:val="0"/>
            <w:vAlign w:val="center"/>
          </w:tcPr>
          <w:p w14:paraId="75C78F46">
            <w:pPr>
              <w:widowControl w:val="0"/>
              <w:overflowPunct w:val="0"/>
              <w:autoSpaceDE w:val="0"/>
              <w:autoSpaceDN w:val="0"/>
              <w:adjustRightInd w:val="0"/>
              <w:snapToGrid w:val="0"/>
              <w:spacing w:before="0" w:beforeLines="0" w:after="0" w:afterLines="0" w:line="240" w:lineRule="auto"/>
              <w:ind w:left="0" w:leftChars="0" w:right="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r>
              <w:rPr>
                <w:rFonts w:hint="eastAsia" w:ascii="Times New Roman" w:hAnsi="Times New Roman" w:eastAsia="宋体" w:cs="宋体"/>
                <w:snapToGrid w:val="0"/>
                <w:color w:val="000000"/>
                <w:kern w:val="21"/>
                <w:sz w:val="21"/>
                <w:szCs w:val="21"/>
                <w:highlight w:val="none"/>
                <w:lang w:val="en-US" w:eastAsia="zh-CN" w:bidi="ar-SA"/>
              </w:rPr>
              <w:t>废气</w:t>
            </w:r>
          </w:p>
        </w:tc>
        <w:tc>
          <w:tcPr>
            <w:tcW w:w="1984" w:type="dxa"/>
            <w:noWrap w:val="0"/>
            <w:vAlign w:val="center"/>
          </w:tcPr>
          <w:p w14:paraId="18006CB1">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宋体"/>
                <w:snapToGrid w:val="0"/>
                <w:color w:val="000000"/>
                <w:kern w:val="21"/>
                <w:sz w:val="21"/>
                <w:szCs w:val="21"/>
                <w:highlight w:val="none"/>
                <w:lang w:val="en-US" w:eastAsia="zh-CN"/>
              </w:rPr>
            </w:pPr>
            <w:r>
              <w:rPr>
                <w:rFonts w:hint="eastAsia" w:ascii="宋体" w:hAnsi="宋体" w:eastAsia="宋体" w:cs="宋体"/>
                <w:color w:val="000000"/>
                <w:kern w:val="2"/>
                <w:sz w:val="21"/>
                <w:szCs w:val="21"/>
                <w:u w:val="none"/>
                <w:lang w:val="en-US" w:eastAsia="zh-CN" w:bidi="ar"/>
              </w:rPr>
              <w:t>颗粒物（</w:t>
            </w:r>
            <w:r>
              <w:rPr>
                <w:rFonts w:hint="default" w:ascii="Times New Roman" w:hAnsi="Times New Roman" w:eastAsia="宋体" w:cs="Times New Roman"/>
                <w:color w:val="000000"/>
                <w:kern w:val="2"/>
                <w:sz w:val="21"/>
                <w:szCs w:val="21"/>
                <w:u w:val="none"/>
                <w:lang w:val="en-US" w:eastAsia="zh-CN" w:bidi="ar"/>
              </w:rPr>
              <w:t>t/a</w:t>
            </w:r>
            <w:r>
              <w:rPr>
                <w:rFonts w:hint="eastAsia" w:ascii="宋体" w:hAnsi="宋体" w:eastAsia="宋体" w:cs="宋体"/>
                <w:color w:val="000000"/>
                <w:kern w:val="2"/>
                <w:sz w:val="21"/>
                <w:szCs w:val="21"/>
                <w:u w:val="none"/>
                <w:lang w:val="en-US" w:eastAsia="zh-CN" w:bidi="ar"/>
              </w:rPr>
              <w:t>）</w:t>
            </w:r>
          </w:p>
        </w:tc>
        <w:tc>
          <w:tcPr>
            <w:tcW w:w="1701" w:type="dxa"/>
            <w:noWrap w:val="0"/>
            <w:vAlign w:val="center"/>
          </w:tcPr>
          <w:p w14:paraId="389F4017">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snapToGrid w:val="0"/>
                <w:color w:val="000000"/>
                <w:kern w:val="21"/>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276" w:type="dxa"/>
            <w:noWrap w:val="0"/>
            <w:vAlign w:val="center"/>
          </w:tcPr>
          <w:p w14:paraId="6C636046">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snapToGrid w:val="0"/>
                <w:color w:val="000000"/>
                <w:kern w:val="21"/>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701" w:type="dxa"/>
            <w:noWrap w:val="0"/>
            <w:vAlign w:val="center"/>
          </w:tcPr>
          <w:p w14:paraId="3C5A5CF9">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snapToGrid w:val="0"/>
                <w:color w:val="000000"/>
                <w:kern w:val="21"/>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559" w:type="dxa"/>
            <w:noWrap w:val="0"/>
            <w:vAlign w:val="center"/>
          </w:tcPr>
          <w:p w14:paraId="0D05C31B">
            <w:pPr>
              <w:keepNext w:val="0"/>
              <w:keepLines w:val="0"/>
              <w:widowControl/>
              <w:suppressLineNumbers w:val="0"/>
              <w:jc w:val="center"/>
              <w:textAlignment w:val="center"/>
              <w:rPr>
                <w:rFonts w:hint="default" w:ascii="Times New Roman" w:hAnsi="Times New Roman" w:eastAsia="宋体" w:cs="Times New Roman"/>
                <w:i w:val="0"/>
                <w:iCs w:val="0"/>
                <w:color w:val="0000FF"/>
                <w:sz w:val="21"/>
                <w:szCs w:val="21"/>
                <w:highlight w:val="none"/>
                <w:u w:val="none"/>
                <w:lang w:val="en-US" w:eastAsia="zh-CN" w:bidi="ar-SA"/>
              </w:rPr>
            </w:pPr>
            <w:r>
              <w:rPr>
                <w:rFonts w:hint="eastAsia" w:ascii="Times New Roman" w:hAnsi="Times New Roman" w:eastAsia="宋体" w:cs="Times New Roman"/>
                <w:i w:val="0"/>
                <w:iCs w:val="0"/>
                <w:color w:val="0000FF"/>
                <w:kern w:val="0"/>
                <w:sz w:val="21"/>
                <w:szCs w:val="21"/>
                <w:highlight w:val="none"/>
                <w:u w:val="none"/>
                <w:lang w:val="en-US" w:eastAsia="zh-CN" w:bidi="ar"/>
              </w:rPr>
              <w:t>0.1332</w:t>
            </w:r>
          </w:p>
        </w:tc>
        <w:tc>
          <w:tcPr>
            <w:tcW w:w="1761" w:type="dxa"/>
            <w:noWrap w:val="0"/>
            <w:vAlign w:val="center"/>
          </w:tcPr>
          <w:p w14:paraId="6E8EA7FC">
            <w:pPr>
              <w:keepNext w:val="0"/>
              <w:keepLines w:val="0"/>
              <w:widowControl/>
              <w:suppressLineNumbers w:val="0"/>
              <w:overflowPunct/>
              <w:autoSpaceDE/>
              <w:autoSpaceDN/>
              <w:adjustRightInd/>
              <w:snapToGrid/>
              <w:spacing w:before="0" w:after="0" w:line="240" w:lineRule="auto"/>
              <w:ind w:left="0" w:right="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w:t>
            </w:r>
          </w:p>
        </w:tc>
        <w:tc>
          <w:tcPr>
            <w:tcW w:w="1616" w:type="dxa"/>
            <w:noWrap w:val="0"/>
            <w:vAlign w:val="center"/>
          </w:tcPr>
          <w:p w14:paraId="11970B3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0000FF"/>
                <w:kern w:val="0"/>
                <w:sz w:val="21"/>
                <w:szCs w:val="21"/>
                <w:highlight w:val="none"/>
                <w:u w:val="none"/>
                <w:lang w:val="en-US" w:eastAsia="zh-CN" w:bidi="ar"/>
              </w:rPr>
              <w:t>0.1332</w:t>
            </w:r>
          </w:p>
        </w:tc>
        <w:tc>
          <w:tcPr>
            <w:tcW w:w="1169" w:type="dxa"/>
            <w:noWrap w:val="0"/>
            <w:vAlign w:val="center"/>
          </w:tcPr>
          <w:p w14:paraId="62CACEFF">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highlight w:val="none"/>
                <w:u w:val="none"/>
                <w:lang w:val="en-US" w:eastAsia="zh-CN" w:bidi="ar"/>
              </w:rPr>
              <w:t>+0.1332</w:t>
            </w:r>
          </w:p>
        </w:tc>
      </w:tr>
      <w:tr w14:paraId="4987BF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1" w:type="dxa"/>
            <w:vMerge w:val="continue"/>
            <w:noWrap w:val="0"/>
            <w:vAlign w:val="center"/>
          </w:tcPr>
          <w:p w14:paraId="5CDD579D">
            <w:pPr>
              <w:widowControl w:val="0"/>
              <w:overflowPunct w:val="0"/>
              <w:autoSpaceDE w:val="0"/>
              <w:autoSpaceDN w:val="0"/>
              <w:adjustRightInd w:val="0"/>
              <w:snapToGrid w:val="0"/>
              <w:spacing w:before="0" w:beforeLines="0" w:after="0" w:afterLines="0" w:line="240" w:lineRule="auto"/>
              <w:ind w:left="0" w:leftChars="0" w:right="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p>
        </w:tc>
        <w:tc>
          <w:tcPr>
            <w:tcW w:w="1984" w:type="dxa"/>
            <w:noWrap w:val="0"/>
            <w:vAlign w:val="center"/>
          </w:tcPr>
          <w:p w14:paraId="1828E067">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宋体" w:hAnsi="宋体" w:cs="宋体"/>
                <w:color w:val="000000"/>
                <w:kern w:val="2"/>
                <w:sz w:val="21"/>
                <w:szCs w:val="21"/>
                <w:u w:val="none"/>
                <w:lang w:val="en-US" w:eastAsia="zh-CN" w:bidi="ar"/>
              </w:rPr>
            </w:pPr>
            <w:r>
              <w:rPr>
                <w:rFonts w:hint="eastAsia" w:ascii="宋体" w:hAnsi="宋体" w:cs="宋体"/>
                <w:color w:val="000000"/>
                <w:kern w:val="2"/>
                <w:sz w:val="21"/>
                <w:szCs w:val="21"/>
                <w:u w:val="none"/>
                <w:lang w:val="en-US" w:eastAsia="zh-CN" w:bidi="ar"/>
              </w:rPr>
              <w:t>氨</w:t>
            </w:r>
            <w:r>
              <w:rPr>
                <w:rFonts w:hint="eastAsia" w:ascii="宋体" w:hAnsi="宋体" w:eastAsia="宋体" w:cs="宋体"/>
                <w:color w:val="000000"/>
                <w:kern w:val="2"/>
                <w:sz w:val="21"/>
                <w:szCs w:val="21"/>
                <w:u w:val="none"/>
                <w:lang w:val="en-US" w:eastAsia="zh-CN" w:bidi="ar"/>
              </w:rPr>
              <w:t>（</w:t>
            </w:r>
            <w:r>
              <w:rPr>
                <w:rFonts w:hint="default" w:ascii="Times New Roman" w:hAnsi="Times New Roman" w:eastAsia="宋体" w:cs="Times New Roman"/>
                <w:color w:val="000000"/>
                <w:kern w:val="2"/>
                <w:sz w:val="21"/>
                <w:szCs w:val="21"/>
                <w:u w:val="none"/>
                <w:lang w:val="en-US" w:eastAsia="zh-CN" w:bidi="ar"/>
              </w:rPr>
              <w:t>t/a</w:t>
            </w:r>
            <w:r>
              <w:rPr>
                <w:rFonts w:hint="eastAsia" w:ascii="宋体" w:hAnsi="宋体" w:eastAsia="宋体" w:cs="宋体"/>
                <w:color w:val="000000"/>
                <w:kern w:val="2"/>
                <w:sz w:val="21"/>
                <w:szCs w:val="21"/>
                <w:u w:val="none"/>
                <w:lang w:val="en-US" w:eastAsia="zh-CN" w:bidi="ar"/>
              </w:rPr>
              <w:t>）</w:t>
            </w:r>
          </w:p>
        </w:tc>
        <w:tc>
          <w:tcPr>
            <w:tcW w:w="1701" w:type="dxa"/>
            <w:noWrap w:val="0"/>
            <w:vAlign w:val="center"/>
          </w:tcPr>
          <w:p w14:paraId="47EA8A4A">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276" w:type="dxa"/>
            <w:noWrap w:val="0"/>
            <w:vAlign w:val="center"/>
          </w:tcPr>
          <w:p w14:paraId="160E17DC">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701" w:type="dxa"/>
            <w:noWrap w:val="0"/>
            <w:vAlign w:val="center"/>
          </w:tcPr>
          <w:p w14:paraId="2C544447">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559" w:type="dxa"/>
            <w:noWrap w:val="0"/>
            <w:vAlign w:val="center"/>
          </w:tcPr>
          <w:p w14:paraId="7CFEB47A">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i w:val="0"/>
                <w:iCs w:val="0"/>
                <w:color w:val="0000FF"/>
                <w:kern w:val="0"/>
                <w:sz w:val="21"/>
                <w:szCs w:val="21"/>
                <w:highlight w:val="none"/>
                <w:u w:val="none"/>
                <w:lang w:val="en-US" w:eastAsia="zh-CN" w:bidi="ar"/>
              </w:rPr>
            </w:pPr>
            <w:r>
              <w:rPr>
                <w:rFonts w:hint="default" w:ascii="Times New Roman" w:hAnsi="Times New Roman" w:eastAsia="宋体" w:cs="Times New Roman"/>
                <w:i w:val="0"/>
                <w:iCs w:val="0"/>
                <w:color w:val="0000FF"/>
                <w:sz w:val="21"/>
                <w:szCs w:val="21"/>
                <w:u w:val="none"/>
                <w:lang w:val="en-US" w:eastAsia="zh-CN" w:bidi="ar-SA"/>
              </w:rPr>
              <w:t>0.0216</w:t>
            </w:r>
          </w:p>
        </w:tc>
        <w:tc>
          <w:tcPr>
            <w:tcW w:w="1761" w:type="dxa"/>
            <w:noWrap w:val="0"/>
            <w:vAlign w:val="center"/>
          </w:tcPr>
          <w:p w14:paraId="5462A7AD">
            <w:pPr>
              <w:keepNext w:val="0"/>
              <w:keepLines w:val="0"/>
              <w:pageBreakBefore w:val="0"/>
              <w:widowControl w:val="0"/>
              <w:kinsoku/>
              <w:wordWrap/>
              <w:overflowPunct w:val="0"/>
              <w:topLinePunct w:val="0"/>
              <w:autoSpaceDE w:val="0"/>
              <w:autoSpaceDN w:val="0"/>
              <w:bidi w:val="0"/>
              <w:adjustRightInd w:val="0"/>
              <w:snapToGrid w:val="0"/>
              <w:ind w:left="0" w:leftChars="0" w:firstLine="0" w:firstLineChars="0"/>
              <w:jc w:val="center"/>
              <w:textAlignment w:val="baseline"/>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w:t>
            </w:r>
          </w:p>
        </w:tc>
        <w:tc>
          <w:tcPr>
            <w:tcW w:w="1616" w:type="dxa"/>
            <w:noWrap w:val="0"/>
            <w:vAlign w:val="center"/>
          </w:tcPr>
          <w:p w14:paraId="307D474C">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FF"/>
                <w:sz w:val="21"/>
                <w:szCs w:val="21"/>
                <w:u w:val="none"/>
                <w:lang w:val="en-US" w:eastAsia="zh-CN" w:bidi="ar-SA"/>
              </w:rPr>
              <w:t>0.0216</w:t>
            </w:r>
          </w:p>
        </w:tc>
        <w:tc>
          <w:tcPr>
            <w:tcW w:w="1169" w:type="dxa"/>
            <w:noWrap w:val="0"/>
            <w:vAlign w:val="center"/>
          </w:tcPr>
          <w:p w14:paraId="2BF6968A">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FF"/>
                <w:sz w:val="21"/>
                <w:szCs w:val="21"/>
                <w:u w:val="none"/>
                <w:lang w:val="en-US" w:eastAsia="zh-CN" w:bidi="ar-SA"/>
              </w:rPr>
              <w:t>+</w:t>
            </w:r>
            <w:r>
              <w:rPr>
                <w:rFonts w:hint="default" w:ascii="Times New Roman" w:hAnsi="Times New Roman" w:eastAsia="宋体" w:cs="Times New Roman"/>
                <w:i w:val="0"/>
                <w:iCs w:val="0"/>
                <w:color w:val="0000FF"/>
                <w:sz w:val="21"/>
                <w:szCs w:val="21"/>
                <w:u w:val="none"/>
                <w:lang w:val="en-US" w:eastAsia="zh-CN" w:bidi="ar-SA"/>
              </w:rPr>
              <w:t>0.0216</w:t>
            </w:r>
          </w:p>
        </w:tc>
      </w:tr>
      <w:tr w14:paraId="402E4E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1" w:type="dxa"/>
            <w:vMerge w:val="continue"/>
            <w:noWrap w:val="0"/>
            <w:vAlign w:val="center"/>
          </w:tcPr>
          <w:p w14:paraId="3E88F737">
            <w:pPr>
              <w:widowControl w:val="0"/>
              <w:overflowPunct w:val="0"/>
              <w:autoSpaceDE w:val="0"/>
              <w:autoSpaceDN w:val="0"/>
              <w:adjustRightInd w:val="0"/>
              <w:snapToGrid w:val="0"/>
              <w:spacing w:before="0" w:beforeLines="0" w:after="0" w:afterLines="0" w:line="240" w:lineRule="auto"/>
              <w:ind w:left="0" w:leftChars="0" w:right="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p>
        </w:tc>
        <w:tc>
          <w:tcPr>
            <w:tcW w:w="1984" w:type="dxa"/>
            <w:noWrap w:val="0"/>
            <w:vAlign w:val="center"/>
          </w:tcPr>
          <w:p w14:paraId="13380035">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宋体" w:hAnsi="宋体" w:cs="宋体"/>
                <w:color w:val="000000"/>
                <w:kern w:val="2"/>
                <w:sz w:val="21"/>
                <w:szCs w:val="21"/>
                <w:u w:val="none"/>
                <w:lang w:val="en-US" w:eastAsia="zh-CN" w:bidi="ar"/>
              </w:rPr>
            </w:pPr>
            <w:r>
              <w:rPr>
                <w:rFonts w:hint="eastAsia" w:ascii="宋体" w:hAnsi="宋体" w:cs="宋体"/>
                <w:color w:val="000000"/>
                <w:kern w:val="2"/>
                <w:sz w:val="21"/>
                <w:szCs w:val="21"/>
                <w:u w:val="none"/>
                <w:lang w:val="en-US" w:eastAsia="zh-CN" w:bidi="ar"/>
              </w:rPr>
              <w:t>硫化氢</w:t>
            </w:r>
            <w:r>
              <w:rPr>
                <w:rFonts w:hint="eastAsia" w:ascii="宋体" w:hAnsi="宋体" w:eastAsia="宋体" w:cs="宋体"/>
                <w:color w:val="000000"/>
                <w:kern w:val="2"/>
                <w:sz w:val="21"/>
                <w:szCs w:val="21"/>
                <w:u w:val="none"/>
                <w:lang w:val="en-US" w:eastAsia="zh-CN" w:bidi="ar"/>
              </w:rPr>
              <w:t>（</w:t>
            </w:r>
            <w:r>
              <w:rPr>
                <w:rFonts w:hint="default" w:ascii="Times New Roman" w:hAnsi="Times New Roman" w:eastAsia="宋体" w:cs="Times New Roman"/>
                <w:color w:val="000000"/>
                <w:kern w:val="2"/>
                <w:sz w:val="21"/>
                <w:szCs w:val="21"/>
                <w:u w:val="none"/>
                <w:lang w:val="en-US" w:eastAsia="zh-CN" w:bidi="ar"/>
              </w:rPr>
              <w:t>t/a</w:t>
            </w:r>
            <w:r>
              <w:rPr>
                <w:rFonts w:hint="eastAsia" w:ascii="宋体" w:hAnsi="宋体" w:eastAsia="宋体" w:cs="宋体"/>
                <w:color w:val="000000"/>
                <w:kern w:val="2"/>
                <w:sz w:val="21"/>
                <w:szCs w:val="21"/>
                <w:u w:val="none"/>
                <w:lang w:val="en-US" w:eastAsia="zh-CN" w:bidi="ar"/>
              </w:rPr>
              <w:t>）</w:t>
            </w:r>
          </w:p>
        </w:tc>
        <w:tc>
          <w:tcPr>
            <w:tcW w:w="1701" w:type="dxa"/>
            <w:noWrap w:val="0"/>
            <w:vAlign w:val="center"/>
          </w:tcPr>
          <w:p w14:paraId="324B86E9">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276" w:type="dxa"/>
            <w:noWrap w:val="0"/>
            <w:vAlign w:val="center"/>
          </w:tcPr>
          <w:p w14:paraId="44EAB4CD">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701" w:type="dxa"/>
            <w:noWrap w:val="0"/>
            <w:vAlign w:val="center"/>
          </w:tcPr>
          <w:p w14:paraId="5FB11A71">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559" w:type="dxa"/>
            <w:noWrap w:val="0"/>
            <w:vAlign w:val="center"/>
          </w:tcPr>
          <w:p w14:paraId="5CA0CFF4">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i w:val="0"/>
                <w:iCs w:val="0"/>
                <w:color w:val="0000FF"/>
                <w:kern w:val="0"/>
                <w:sz w:val="21"/>
                <w:szCs w:val="21"/>
                <w:highlight w:val="none"/>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0.0116</w:t>
            </w:r>
          </w:p>
        </w:tc>
        <w:tc>
          <w:tcPr>
            <w:tcW w:w="1761" w:type="dxa"/>
            <w:noWrap w:val="0"/>
            <w:vAlign w:val="center"/>
          </w:tcPr>
          <w:p w14:paraId="1DEC22F8">
            <w:pPr>
              <w:keepNext w:val="0"/>
              <w:keepLines w:val="0"/>
              <w:pageBreakBefore w:val="0"/>
              <w:widowControl w:val="0"/>
              <w:kinsoku/>
              <w:wordWrap/>
              <w:overflowPunct w:val="0"/>
              <w:topLinePunct w:val="0"/>
              <w:autoSpaceDE w:val="0"/>
              <w:autoSpaceDN w:val="0"/>
              <w:bidi w:val="0"/>
              <w:adjustRightInd w:val="0"/>
              <w:snapToGrid w:val="0"/>
              <w:ind w:left="0" w:leftChars="0" w:firstLine="0" w:firstLineChars="0"/>
              <w:jc w:val="center"/>
              <w:textAlignment w:val="baseline"/>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w:t>
            </w:r>
          </w:p>
        </w:tc>
        <w:tc>
          <w:tcPr>
            <w:tcW w:w="1616" w:type="dxa"/>
            <w:noWrap w:val="0"/>
            <w:vAlign w:val="center"/>
          </w:tcPr>
          <w:p w14:paraId="561ACC98">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0.0116</w:t>
            </w:r>
          </w:p>
        </w:tc>
        <w:tc>
          <w:tcPr>
            <w:tcW w:w="1169" w:type="dxa"/>
            <w:noWrap w:val="0"/>
            <w:vAlign w:val="center"/>
          </w:tcPr>
          <w:p w14:paraId="3C41FB5C">
            <w:pPr>
              <w:keepNext w:val="0"/>
              <w:keepLines w:val="0"/>
              <w:pageBreakBefore w:val="0"/>
              <w:widowControl w:val="0"/>
              <w:suppressLineNumbers w:val="0"/>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FF"/>
                <w:kern w:val="0"/>
                <w:sz w:val="21"/>
                <w:szCs w:val="21"/>
                <w:u w:val="none"/>
                <w:lang w:val="en-US" w:eastAsia="zh-CN" w:bidi="ar"/>
              </w:rPr>
              <w:t>+</w:t>
            </w:r>
            <w:r>
              <w:rPr>
                <w:rFonts w:hint="default" w:ascii="Times New Roman" w:hAnsi="Times New Roman" w:eastAsia="宋体" w:cs="Times New Roman"/>
                <w:i w:val="0"/>
                <w:iCs w:val="0"/>
                <w:color w:val="0000FF"/>
                <w:kern w:val="0"/>
                <w:sz w:val="21"/>
                <w:szCs w:val="21"/>
                <w:u w:val="none"/>
                <w:lang w:val="en-US" w:eastAsia="zh-CN" w:bidi="ar"/>
              </w:rPr>
              <w:t>0.0116</w:t>
            </w:r>
          </w:p>
        </w:tc>
      </w:tr>
      <w:tr w14:paraId="46DF7A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1" w:type="dxa"/>
            <w:vMerge w:val="restart"/>
            <w:noWrap w:val="0"/>
            <w:vAlign w:val="center"/>
          </w:tcPr>
          <w:p w14:paraId="37F74BD3">
            <w:pPr>
              <w:widowControl w:val="0"/>
              <w:overflowPunct w:val="0"/>
              <w:autoSpaceDE w:val="0"/>
              <w:autoSpaceDN w:val="0"/>
              <w:adjustRightInd w:val="0"/>
              <w:snapToGrid w:val="0"/>
              <w:spacing w:before="0" w:beforeLines="0" w:after="0" w:afterLines="0" w:line="240" w:lineRule="auto"/>
              <w:ind w:left="0" w:leftChars="0" w:right="0" w:firstLine="0" w:firstLineChars="0"/>
              <w:jc w:val="center"/>
              <w:rPr>
                <w:rFonts w:hint="eastAsia" w:ascii="Times New Roman" w:hAnsi="Times New Roman" w:eastAsia="宋体" w:cs="宋体"/>
                <w:snapToGrid w:val="0"/>
                <w:color w:val="auto"/>
                <w:kern w:val="21"/>
                <w:sz w:val="21"/>
                <w:szCs w:val="21"/>
                <w:highlight w:val="none"/>
                <w:lang w:val="en-US" w:eastAsia="zh-CN" w:bidi="ar-SA"/>
              </w:rPr>
            </w:pPr>
            <w:r>
              <w:rPr>
                <w:rFonts w:hint="eastAsia" w:ascii="Times New Roman" w:hAnsi="Times New Roman" w:eastAsia="宋体" w:cs="宋体"/>
                <w:snapToGrid w:val="0"/>
                <w:color w:val="auto"/>
                <w:kern w:val="21"/>
                <w:sz w:val="21"/>
                <w:szCs w:val="21"/>
                <w:highlight w:val="none"/>
                <w:lang w:val="en-US" w:eastAsia="zh-CN" w:bidi="ar-SA"/>
              </w:rPr>
              <w:t>废水</w:t>
            </w:r>
          </w:p>
        </w:tc>
        <w:tc>
          <w:tcPr>
            <w:tcW w:w="1984" w:type="dxa"/>
            <w:noWrap w:val="0"/>
            <w:vAlign w:val="center"/>
          </w:tcPr>
          <w:p w14:paraId="6A9EB5C1">
            <w:pPr>
              <w:keepNext w:val="0"/>
              <w:keepLines w:val="0"/>
              <w:widowControl/>
              <w:suppressLineNumbers w:val="0"/>
              <w:overflowPunct/>
              <w:autoSpaceDE/>
              <w:autoSpaceDN/>
              <w:adjustRightInd/>
              <w:snapToGrid/>
              <w:spacing w:before="0" w:after="0" w:line="240" w:lineRule="auto"/>
              <w:ind w:left="0" w:right="0" w:firstLine="0" w:firstLineChars="0"/>
              <w:jc w:val="center"/>
              <w:textAlignment w:val="center"/>
              <w:rPr>
                <w:rFonts w:hint="default" w:ascii="Times New Roman" w:hAnsi="Times New Roman" w:eastAsia="宋体" w:cs="宋体"/>
                <w:snapToGrid w:val="0"/>
                <w:color w:val="auto"/>
                <w:kern w:val="21"/>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COD</w:t>
            </w:r>
            <w:r>
              <w:rPr>
                <w:rFonts w:hint="eastAsia" w:ascii="宋体" w:hAnsi="宋体" w:eastAsia="宋体" w:cs="宋体"/>
                <w:color w:val="auto"/>
                <w:kern w:val="2"/>
                <w:sz w:val="21"/>
                <w:szCs w:val="21"/>
                <w:u w:val="none"/>
                <w:lang w:val="en-US" w:eastAsia="zh-CN" w:bidi="ar"/>
              </w:rPr>
              <w:t>（</w:t>
            </w:r>
            <w:r>
              <w:rPr>
                <w:rFonts w:hint="default" w:ascii="Times New Roman" w:hAnsi="Times New Roman" w:eastAsia="宋体" w:cs="Times New Roman"/>
                <w:color w:val="auto"/>
                <w:kern w:val="2"/>
                <w:sz w:val="21"/>
                <w:szCs w:val="21"/>
                <w:u w:val="none"/>
                <w:lang w:val="en-US" w:eastAsia="zh-CN" w:bidi="ar"/>
              </w:rPr>
              <w:t>t/a</w:t>
            </w:r>
            <w:r>
              <w:rPr>
                <w:rFonts w:hint="eastAsia" w:ascii="宋体" w:hAnsi="宋体" w:eastAsia="宋体" w:cs="宋体"/>
                <w:color w:val="auto"/>
                <w:kern w:val="2"/>
                <w:sz w:val="21"/>
                <w:szCs w:val="21"/>
                <w:u w:val="none"/>
                <w:lang w:val="en-US" w:eastAsia="zh-CN" w:bidi="ar"/>
              </w:rPr>
              <w:t>）</w:t>
            </w:r>
          </w:p>
        </w:tc>
        <w:tc>
          <w:tcPr>
            <w:tcW w:w="1701" w:type="dxa"/>
            <w:noWrap w:val="0"/>
            <w:vAlign w:val="center"/>
          </w:tcPr>
          <w:p w14:paraId="05A27C8C">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276" w:type="dxa"/>
            <w:noWrap w:val="0"/>
            <w:vAlign w:val="center"/>
          </w:tcPr>
          <w:p w14:paraId="7158BB7D">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701" w:type="dxa"/>
            <w:noWrap w:val="0"/>
            <w:vAlign w:val="center"/>
          </w:tcPr>
          <w:p w14:paraId="0A0CF77C">
            <w:pPr>
              <w:keepNext w:val="0"/>
              <w:keepLines w:val="0"/>
              <w:widowControl/>
              <w:suppressLineNumbers w:val="0"/>
              <w:overflowPunct/>
              <w:autoSpaceDE/>
              <w:autoSpaceDN/>
              <w:adjustRightInd/>
              <w:snapToGrid/>
              <w:spacing w:before="0" w:after="0" w:line="240" w:lineRule="auto"/>
              <w:ind w:left="0" w:right="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559" w:type="dxa"/>
            <w:noWrap w:val="0"/>
            <w:vAlign w:val="center"/>
          </w:tcPr>
          <w:p w14:paraId="459BA04C">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FF"/>
                <w:kern w:val="0"/>
                <w:sz w:val="21"/>
                <w:szCs w:val="21"/>
                <w:highlight w:val="none"/>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w:t>
            </w:r>
          </w:p>
        </w:tc>
        <w:tc>
          <w:tcPr>
            <w:tcW w:w="1761" w:type="dxa"/>
            <w:noWrap w:val="0"/>
            <w:vAlign w:val="center"/>
          </w:tcPr>
          <w:p w14:paraId="0D91693E">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w:t>
            </w:r>
          </w:p>
        </w:tc>
        <w:tc>
          <w:tcPr>
            <w:tcW w:w="1616" w:type="dxa"/>
            <w:noWrap w:val="0"/>
            <w:vAlign w:val="center"/>
          </w:tcPr>
          <w:p w14:paraId="3EFC28EC">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w:t>
            </w:r>
          </w:p>
        </w:tc>
        <w:tc>
          <w:tcPr>
            <w:tcW w:w="1169" w:type="dxa"/>
            <w:noWrap w:val="0"/>
            <w:vAlign w:val="center"/>
          </w:tcPr>
          <w:p w14:paraId="03450712">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w:t>
            </w:r>
          </w:p>
        </w:tc>
      </w:tr>
      <w:tr w14:paraId="124415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1" w:type="dxa"/>
            <w:vMerge w:val="continue"/>
            <w:noWrap w:val="0"/>
            <w:vAlign w:val="center"/>
          </w:tcPr>
          <w:p w14:paraId="1BF810AA">
            <w:pPr>
              <w:widowControl w:val="0"/>
              <w:overflowPunct w:val="0"/>
              <w:autoSpaceDE w:val="0"/>
              <w:autoSpaceDN w:val="0"/>
              <w:adjustRightInd w:val="0"/>
              <w:snapToGrid w:val="0"/>
              <w:spacing w:before="0" w:beforeLines="0" w:after="0" w:afterLines="0" w:line="240" w:lineRule="auto"/>
              <w:ind w:left="0" w:right="0" w:firstLine="420" w:firstLineChars="200"/>
              <w:jc w:val="center"/>
              <w:rPr>
                <w:rFonts w:hint="eastAsia" w:ascii="Times New Roman" w:hAnsi="Times New Roman" w:eastAsia="宋体" w:cs="宋体"/>
                <w:snapToGrid w:val="0"/>
                <w:color w:val="auto"/>
                <w:kern w:val="21"/>
                <w:sz w:val="21"/>
                <w:szCs w:val="21"/>
                <w:highlight w:val="none"/>
                <w:lang w:val="en-US" w:eastAsia="zh-CN" w:bidi="ar-SA"/>
              </w:rPr>
            </w:pPr>
          </w:p>
        </w:tc>
        <w:tc>
          <w:tcPr>
            <w:tcW w:w="1984" w:type="dxa"/>
            <w:noWrap w:val="0"/>
            <w:vAlign w:val="center"/>
          </w:tcPr>
          <w:p w14:paraId="3AFE4599">
            <w:pPr>
              <w:keepNext w:val="0"/>
              <w:keepLines w:val="0"/>
              <w:widowControl/>
              <w:suppressLineNumbers w:val="0"/>
              <w:overflowPunct/>
              <w:autoSpaceDE/>
              <w:autoSpaceDN/>
              <w:adjustRightInd/>
              <w:snapToGrid/>
              <w:spacing w:before="0" w:after="0" w:line="240" w:lineRule="auto"/>
              <w:ind w:left="0" w:right="0" w:firstLine="0" w:firstLineChars="0"/>
              <w:jc w:val="center"/>
              <w:textAlignment w:val="center"/>
              <w:rPr>
                <w:rFonts w:hint="default" w:ascii="Times New Roman" w:hAnsi="Times New Roman" w:eastAsia="宋体" w:cs="宋体"/>
                <w:snapToGrid w:val="0"/>
                <w:color w:val="auto"/>
                <w:kern w:val="21"/>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氨氮（</w:t>
            </w:r>
            <w:r>
              <w:rPr>
                <w:rFonts w:hint="default" w:ascii="Times New Roman" w:hAnsi="Times New Roman" w:eastAsia="宋体" w:cs="Times New Roman"/>
                <w:color w:val="auto"/>
                <w:kern w:val="2"/>
                <w:sz w:val="21"/>
                <w:szCs w:val="21"/>
                <w:u w:val="none"/>
                <w:lang w:val="en-US" w:eastAsia="zh-CN" w:bidi="ar"/>
              </w:rPr>
              <w:t>t/a</w:t>
            </w:r>
            <w:r>
              <w:rPr>
                <w:rFonts w:hint="eastAsia" w:ascii="宋体" w:hAnsi="宋体" w:eastAsia="宋体" w:cs="宋体"/>
                <w:color w:val="auto"/>
                <w:kern w:val="2"/>
                <w:sz w:val="21"/>
                <w:szCs w:val="21"/>
                <w:u w:val="none"/>
                <w:lang w:val="en-US" w:eastAsia="zh-CN" w:bidi="ar"/>
              </w:rPr>
              <w:t>）</w:t>
            </w:r>
          </w:p>
        </w:tc>
        <w:tc>
          <w:tcPr>
            <w:tcW w:w="1701" w:type="dxa"/>
            <w:noWrap w:val="0"/>
            <w:vAlign w:val="center"/>
          </w:tcPr>
          <w:p w14:paraId="66D33DC3">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276" w:type="dxa"/>
            <w:noWrap w:val="0"/>
            <w:vAlign w:val="center"/>
          </w:tcPr>
          <w:p w14:paraId="206C3F34">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701" w:type="dxa"/>
            <w:noWrap w:val="0"/>
            <w:vAlign w:val="center"/>
          </w:tcPr>
          <w:p w14:paraId="0C222C77">
            <w:pPr>
              <w:keepNext w:val="0"/>
              <w:keepLines w:val="0"/>
              <w:widowControl/>
              <w:suppressLineNumbers w:val="0"/>
              <w:overflowPunct/>
              <w:autoSpaceDE/>
              <w:autoSpaceDN/>
              <w:adjustRightInd/>
              <w:snapToGrid/>
              <w:spacing w:before="0" w:after="0" w:line="240" w:lineRule="auto"/>
              <w:ind w:left="0" w:right="0"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559" w:type="dxa"/>
            <w:noWrap w:val="0"/>
            <w:vAlign w:val="center"/>
          </w:tcPr>
          <w:p w14:paraId="4185B8C6">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FF"/>
                <w:kern w:val="0"/>
                <w:sz w:val="21"/>
                <w:szCs w:val="21"/>
                <w:highlight w:val="none"/>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w:t>
            </w:r>
          </w:p>
        </w:tc>
        <w:tc>
          <w:tcPr>
            <w:tcW w:w="1761" w:type="dxa"/>
            <w:noWrap w:val="0"/>
            <w:vAlign w:val="center"/>
          </w:tcPr>
          <w:p w14:paraId="4D694AD7">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w:t>
            </w:r>
          </w:p>
        </w:tc>
        <w:tc>
          <w:tcPr>
            <w:tcW w:w="1616" w:type="dxa"/>
            <w:noWrap w:val="0"/>
            <w:vAlign w:val="center"/>
          </w:tcPr>
          <w:p w14:paraId="433439B9">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w:t>
            </w:r>
          </w:p>
        </w:tc>
        <w:tc>
          <w:tcPr>
            <w:tcW w:w="1169" w:type="dxa"/>
            <w:noWrap w:val="0"/>
            <w:vAlign w:val="center"/>
          </w:tcPr>
          <w:p w14:paraId="2A92F3EC">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i w:val="0"/>
                <w:iCs w:val="0"/>
                <w:color w:val="0000FF"/>
                <w:kern w:val="0"/>
                <w:sz w:val="21"/>
                <w:szCs w:val="21"/>
                <w:u w:val="none"/>
                <w:lang w:val="en-US" w:eastAsia="zh-CN" w:bidi="ar"/>
              </w:rPr>
              <w:t>/</w:t>
            </w:r>
          </w:p>
        </w:tc>
      </w:tr>
      <w:tr w14:paraId="41C32A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1" w:type="dxa"/>
            <w:vMerge w:val="restart"/>
            <w:noWrap w:val="0"/>
            <w:vAlign w:val="center"/>
          </w:tcPr>
          <w:p w14:paraId="10970239">
            <w:pPr>
              <w:widowControl w:val="0"/>
              <w:overflowPunct w:val="0"/>
              <w:autoSpaceDE w:val="0"/>
              <w:autoSpaceDN w:val="0"/>
              <w:adjustRightInd w:val="0"/>
              <w:snapToGrid w:val="0"/>
              <w:spacing w:before="0" w:beforeLines="0" w:after="0" w:afterLines="0" w:line="240" w:lineRule="auto"/>
              <w:ind w:left="0" w:leftChars="0" w:right="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r>
              <w:rPr>
                <w:rFonts w:hint="eastAsia" w:ascii="Times New Roman" w:hAnsi="Times New Roman" w:eastAsia="宋体" w:cs="宋体"/>
                <w:snapToGrid w:val="0"/>
                <w:color w:val="000000"/>
                <w:kern w:val="21"/>
                <w:sz w:val="21"/>
                <w:szCs w:val="21"/>
                <w:highlight w:val="none"/>
                <w:lang w:val="en-US" w:eastAsia="zh-CN" w:bidi="ar-SA"/>
              </w:rPr>
              <w:t>一般工业固体废物</w:t>
            </w:r>
          </w:p>
        </w:tc>
        <w:tc>
          <w:tcPr>
            <w:tcW w:w="1984" w:type="dxa"/>
            <w:noWrap w:val="0"/>
            <w:vAlign w:val="center"/>
          </w:tcPr>
          <w:p w14:paraId="273A7BA2">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宋体"/>
                <w:snapToGrid w:val="0"/>
                <w:color w:val="000000"/>
                <w:kern w:val="21"/>
                <w:sz w:val="21"/>
                <w:szCs w:val="21"/>
                <w:highlight w:val="none"/>
                <w:lang w:val="en-US" w:eastAsia="zh-CN"/>
              </w:rPr>
            </w:pPr>
            <w:r>
              <w:rPr>
                <w:rFonts w:hint="eastAsia" w:ascii="Times New Roman" w:hAnsi="Times New Roman" w:eastAsia="宋体" w:cs="Times New Roman"/>
                <w:color w:val="000000"/>
                <w:kern w:val="0"/>
                <w:sz w:val="21"/>
                <w:szCs w:val="21"/>
                <w:highlight w:val="none"/>
                <w:lang w:val="en-US" w:eastAsia="zh-CN" w:bidi="ar"/>
              </w:rPr>
              <w:t>除尘灰</w:t>
            </w:r>
            <w:r>
              <w:rPr>
                <w:rFonts w:hint="eastAsia" w:ascii="宋体" w:hAnsi="宋体" w:eastAsia="宋体" w:cs="宋体"/>
                <w:color w:val="000000"/>
                <w:kern w:val="2"/>
                <w:sz w:val="21"/>
                <w:szCs w:val="21"/>
                <w:u w:val="none"/>
                <w:lang w:val="en-US" w:eastAsia="zh-CN" w:bidi="ar"/>
              </w:rPr>
              <w:t>（</w:t>
            </w:r>
            <w:r>
              <w:rPr>
                <w:rFonts w:hint="default" w:ascii="Times New Roman" w:hAnsi="Times New Roman" w:eastAsia="宋体" w:cs="Times New Roman"/>
                <w:color w:val="000000"/>
                <w:kern w:val="2"/>
                <w:sz w:val="21"/>
                <w:szCs w:val="21"/>
                <w:u w:val="none"/>
                <w:lang w:val="en-US" w:eastAsia="zh-CN" w:bidi="ar"/>
              </w:rPr>
              <w:t>t/a</w:t>
            </w:r>
            <w:r>
              <w:rPr>
                <w:rFonts w:hint="eastAsia" w:ascii="宋体" w:hAnsi="宋体" w:eastAsia="宋体" w:cs="宋体"/>
                <w:color w:val="000000"/>
                <w:kern w:val="2"/>
                <w:sz w:val="21"/>
                <w:szCs w:val="21"/>
                <w:u w:val="none"/>
                <w:lang w:val="en-US" w:eastAsia="zh-CN" w:bidi="ar"/>
              </w:rPr>
              <w:t>）</w:t>
            </w:r>
          </w:p>
        </w:tc>
        <w:tc>
          <w:tcPr>
            <w:tcW w:w="1701" w:type="dxa"/>
            <w:noWrap w:val="0"/>
            <w:vAlign w:val="center"/>
          </w:tcPr>
          <w:p w14:paraId="4E5BD963">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snapToGrid w:val="0"/>
                <w:color w:val="000000"/>
                <w:kern w:val="21"/>
                <w:sz w:val="21"/>
                <w:szCs w:val="21"/>
                <w:highlight w:val="none"/>
                <w:lang w:val="en-US"/>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276" w:type="dxa"/>
            <w:noWrap w:val="0"/>
            <w:vAlign w:val="center"/>
          </w:tcPr>
          <w:p w14:paraId="1BA5683C">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snapToGrid w:val="0"/>
                <w:color w:val="000000"/>
                <w:kern w:val="21"/>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701" w:type="dxa"/>
            <w:noWrap w:val="0"/>
            <w:vAlign w:val="center"/>
          </w:tcPr>
          <w:p w14:paraId="2DFA8E99">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snapToGrid w:val="0"/>
                <w:color w:val="000000"/>
                <w:kern w:val="21"/>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559" w:type="dxa"/>
            <w:noWrap w:val="0"/>
            <w:vAlign w:val="center"/>
          </w:tcPr>
          <w:p w14:paraId="5BEA9903">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0000FF"/>
                <w:kern w:val="2"/>
                <w:sz w:val="21"/>
                <w:szCs w:val="21"/>
                <w:highlight w:val="none"/>
                <w:lang w:val="en-US" w:eastAsia="zh-CN"/>
              </w:rPr>
            </w:pPr>
            <w:r>
              <w:rPr>
                <w:rFonts w:hint="eastAsia" w:cs="Times New Roman"/>
                <w:color w:val="0000FF"/>
                <w:kern w:val="0"/>
                <w:sz w:val="21"/>
                <w:szCs w:val="21"/>
                <w:highlight w:val="none"/>
                <w:lang w:val="en-US" w:eastAsia="zh-CN" w:bidi="ar"/>
              </w:rPr>
              <w:t>6.5268</w:t>
            </w:r>
          </w:p>
        </w:tc>
        <w:tc>
          <w:tcPr>
            <w:tcW w:w="1761" w:type="dxa"/>
            <w:noWrap w:val="0"/>
            <w:vAlign w:val="center"/>
          </w:tcPr>
          <w:p w14:paraId="307F3193">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b/>
                <w:bCs/>
                <w:color w:val="000000"/>
                <w:kern w:val="2"/>
                <w:sz w:val="21"/>
                <w:szCs w:val="21"/>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w:t>
            </w:r>
          </w:p>
        </w:tc>
        <w:tc>
          <w:tcPr>
            <w:tcW w:w="1616" w:type="dxa"/>
            <w:noWrap w:val="0"/>
            <w:vAlign w:val="center"/>
          </w:tcPr>
          <w:p w14:paraId="793B1A23">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cs="Times New Roman"/>
                <w:color w:val="0000FF"/>
                <w:kern w:val="0"/>
                <w:sz w:val="21"/>
                <w:szCs w:val="21"/>
                <w:highlight w:val="none"/>
                <w:lang w:val="en-US" w:eastAsia="zh-CN" w:bidi="ar"/>
              </w:rPr>
              <w:t>6.5268</w:t>
            </w:r>
          </w:p>
        </w:tc>
        <w:tc>
          <w:tcPr>
            <w:tcW w:w="1169" w:type="dxa"/>
            <w:noWrap w:val="0"/>
            <w:vAlign w:val="center"/>
          </w:tcPr>
          <w:p w14:paraId="22D538C5">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000000"/>
                <w:kern w:val="0"/>
                <w:sz w:val="21"/>
                <w:szCs w:val="21"/>
                <w:u w:val="none"/>
                <w:lang w:val="en-US" w:eastAsia="zh-CN" w:bidi="ar"/>
              </w:rPr>
            </w:pPr>
            <w:r>
              <w:rPr>
                <w:rFonts w:hint="eastAsia" w:cs="Times New Roman"/>
                <w:color w:val="0000FF"/>
                <w:kern w:val="0"/>
                <w:sz w:val="21"/>
                <w:szCs w:val="21"/>
                <w:highlight w:val="none"/>
                <w:lang w:val="en-US" w:eastAsia="zh-CN" w:bidi="ar"/>
              </w:rPr>
              <w:t>+6.5268</w:t>
            </w:r>
          </w:p>
        </w:tc>
      </w:tr>
      <w:tr w14:paraId="40D745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1" w:type="dxa"/>
            <w:vMerge w:val="continue"/>
            <w:noWrap w:val="0"/>
            <w:vAlign w:val="center"/>
          </w:tcPr>
          <w:p w14:paraId="56C33573">
            <w:pPr>
              <w:widowControl w:val="0"/>
              <w:overflowPunct w:val="0"/>
              <w:autoSpaceDE w:val="0"/>
              <w:autoSpaceDN w:val="0"/>
              <w:adjustRightInd w:val="0"/>
              <w:snapToGrid w:val="0"/>
              <w:spacing w:before="0" w:beforeLines="0" w:after="0" w:afterLines="0" w:line="240" w:lineRule="auto"/>
              <w:ind w:left="0" w:leftChars="0" w:right="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p>
        </w:tc>
        <w:tc>
          <w:tcPr>
            <w:tcW w:w="1984" w:type="dxa"/>
            <w:noWrap w:val="0"/>
            <w:vAlign w:val="center"/>
          </w:tcPr>
          <w:p w14:paraId="348E3B30">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宋体" w:hAnsi="宋体" w:eastAsia="宋体" w:cs="宋体"/>
                <w:i w:val="0"/>
                <w:iCs w:val="0"/>
                <w:color w:val="000000"/>
                <w:kern w:val="0"/>
                <w:sz w:val="21"/>
                <w:szCs w:val="21"/>
                <w:u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废包装袋</w:t>
            </w:r>
            <w:r>
              <w:rPr>
                <w:rFonts w:hint="eastAsia" w:ascii="宋体" w:hAnsi="宋体" w:eastAsia="宋体" w:cs="宋体"/>
                <w:color w:val="000000"/>
                <w:kern w:val="2"/>
                <w:sz w:val="21"/>
                <w:szCs w:val="21"/>
                <w:u w:val="none"/>
                <w:lang w:val="en-US" w:eastAsia="zh-CN" w:bidi="ar"/>
              </w:rPr>
              <w:t>（</w:t>
            </w:r>
            <w:r>
              <w:rPr>
                <w:rFonts w:hint="default" w:ascii="Times New Roman" w:hAnsi="Times New Roman" w:eastAsia="宋体" w:cs="Times New Roman"/>
                <w:color w:val="000000"/>
                <w:kern w:val="2"/>
                <w:sz w:val="21"/>
                <w:szCs w:val="21"/>
                <w:u w:val="none"/>
                <w:lang w:val="en-US" w:eastAsia="zh-CN" w:bidi="ar"/>
              </w:rPr>
              <w:t>t/a</w:t>
            </w:r>
            <w:r>
              <w:rPr>
                <w:rFonts w:hint="eastAsia" w:ascii="宋体" w:hAnsi="宋体" w:eastAsia="宋体" w:cs="宋体"/>
                <w:color w:val="000000"/>
                <w:kern w:val="2"/>
                <w:sz w:val="21"/>
                <w:szCs w:val="21"/>
                <w:u w:val="none"/>
                <w:lang w:val="en-US" w:eastAsia="zh-CN" w:bidi="ar"/>
              </w:rPr>
              <w:t>）</w:t>
            </w:r>
          </w:p>
        </w:tc>
        <w:tc>
          <w:tcPr>
            <w:tcW w:w="1701" w:type="dxa"/>
            <w:noWrap w:val="0"/>
            <w:vAlign w:val="center"/>
          </w:tcPr>
          <w:p w14:paraId="3252FD02">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276" w:type="dxa"/>
            <w:noWrap w:val="0"/>
            <w:vAlign w:val="center"/>
          </w:tcPr>
          <w:p w14:paraId="05B1CA19">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701" w:type="dxa"/>
            <w:noWrap w:val="0"/>
            <w:vAlign w:val="center"/>
          </w:tcPr>
          <w:p w14:paraId="10DFD5D9">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559" w:type="dxa"/>
            <w:noWrap w:val="0"/>
            <w:vAlign w:val="center"/>
          </w:tcPr>
          <w:p w14:paraId="523CF004">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0000FF"/>
                <w:kern w:val="0"/>
                <w:sz w:val="21"/>
                <w:szCs w:val="21"/>
                <w:highlight w:val="none"/>
                <w:lang w:val="en-US" w:eastAsia="zh-CN" w:bidi="ar"/>
              </w:rPr>
            </w:pPr>
            <w:r>
              <w:rPr>
                <w:rFonts w:hint="eastAsia" w:cs="Times New Roman"/>
                <w:color w:val="0000FF"/>
                <w:kern w:val="0"/>
                <w:sz w:val="21"/>
                <w:szCs w:val="21"/>
                <w:highlight w:val="none"/>
                <w:lang w:val="en-US" w:eastAsia="zh-CN" w:bidi="ar"/>
              </w:rPr>
              <w:t>0.1</w:t>
            </w:r>
          </w:p>
        </w:tc>
        <w:tc>
          <w:tcPr>
            <w:tcW w:w="1761" w:type="dxa"/>
            <w:noWrap w:val="0"/>
            <w:vAlign w:val="center"/>
          </w:tcPr>
          <w:p w14:paraId="61D823C5">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w:t>
            </w:r>
          </w:p>
        </w:tc>
        <w:tc>
          <w:tcPr>
            <w:tcW w:w="1616" w:type="dxa"/>
            <w:noWrap w:val="0"/>
            <w:vAlign w:val="center"/>
          </w:tcPr>
          <w:p w14:paraId="260AB95E">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0000FF"/>
                <w:kern w:val="0"/>
                <w:sz w:val="21"/>
                <w:szCs w:val="21"/>
                <w:highlight w:val="none"/>
                <w:lang w:val="en-US" w:eastAsia="zh-CN" w:bidi="ar"/>
              </w:rPr>
              <w:t>0.1</w:t>
            </w:r>
          </w:p>
        </w:tc>
        <w:tc>
          <w:tcPr>
            <w:tcW w:w="1169" w:type="dxa"/>
            <w:noWrap w:val="0"/>
            <w:vAlign w:val="center"/>
          </w:tcPr>
          <w:p w14:paraId="49808BF6">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b/>
                <w:bCs/>
                <w:i w:val="0"/>
                <w:iCs w:val="0"/>
                <w:color w:val="000000"/>
                <w:kern w:val="0"/>
                <w:sz w:val="21"/>
                <w:szCs w:val="21"/>
                <w:u w:val="none"/>
                <w:lang w:val="en-US" w:eastAsia="zh-CN" w:bidi="ar"/>
              </w:rPr>
            </w:pPr>
            <w:r>
              <w:rPr>
                <w:rFonts w:hint="eastAsia" w:cs="Times New Roman"/>
                <w:color w:val="0000FF"/>
                <w:kern w:val="0"/>
                <w:sz w:val="21"/>
                <w:szCs w:val="21"/>
                <w:highlight w:val="none"/>
                <w:lang w:val="en-US" w:eastAsia="zh-CN" w:bidi="ar"/>
              </w:rPr>
              <w:t>+0.1</w:t>
            </w:r>
          </w:p>
        </w:tc>
      </w:tr>
      <w:tr w14:paraId="3A0A48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1" w:type="dxa"/>
            <w:vMerge w:val="continue"/>
            <w:noWrap w:val="0"/>
            <w:vAlign w:val="center"/>
          </w:tcPr>
          <w:p w14:paraId="3ECC72F2">
            <w:pPr>
              <w:widowControl w:val="0"/>
              <w:overflowPunct w:val="0"/>
              <w:autoSpaceDE w:val="0"/>
              <w:autoSpaceDN w:val="0"/>
              <w:adjustRightInd w:val="0"/>
              <w:snapToGrid w:val="0"/>
              <w:spacing w:before="0" w:beforeLines="0" w:after="0" w:afterLines="0" w:line="240" w:lineRule="auto"/>
              <w:ind w:left="0" w:leftChars="0" w:right="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p>
        </w:tc>
        <w:tc>
          <w:tcPr>
            <w:tcW w:w="1984" w:type="dxa"/>
            <w:noWrap w:val="0"/>
            <w:vAlign w:val="center"/>
          </w:tcPr>
          <w:p w14:paraId="0315F02F">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宋体" w:hAnsi="宋体" w:eastAsia="宋体" w:cs="宋体"/>
                <w:i w:val="0"/>
                <w:iCs w:val="0"/>
                <w:color w:val="000000"/>
                <w:kern w:val="0"/>
                <w:sz w:val="21"/>
                <w:szCs w:val="21"/>
                <w:u w:val="none"/>
                <w:lang w:val="en-US" w:eastAsia="zh-CN" w:bidi="ar"/>
              </w:rPr>
            </w:pPr>
            <w:r>
              <w:rPr>
                <w:rFonts w:hint="eastAsia" w:cs="Times New Roman"/>
                <w:color w:val="auto"/>
                <w:kern w:val="0"/>
                <w:sz w:val="21"/>
                <w:szCs w:val="21"/>
                <w:highlight w:val="none"/>
                <w:lang w:val="en-US" w:eastAsia="zh-CN" w:bidi="ar"/>
              </w:rPr>
              <w:t>不合格品</w:t>
            </w:r>
            <w:r>
              <w:rPr>
                <w:rFonts w:hint="eastAsia" w:ascii="宋体" w:hAnsi="宋体" w:eastAsia="宋体" w:cs="宋体"/>
                <w:color w:val="000000"/>
                <w:kern w:val="2"/>
                <w:sz w:val="21"/>
                <w:szCs w:val="21"/>
                <w:u w:val="none"/>
                <w:lang w:val="en-US" w:eastAsia="zh-CN" w:bidi="ar"/>
              </w:rPr>
              <w:t>（</w:t>
            </w:r>
            <w:r>
              <w:rPr>
                <w:rFonts w:hint="default" w:ascii="Times New Roman" w:hAnsi="Times New Roman" w:eastAsia="宋体" w:cs="Times New Roman"/>
                <w:color w:val="000000"/>
                <w:kern w:val="2"/>
                <w:sz w:val="21"/>
                <w:szCs w:val="21"/>
                <w:u w:val="none"/>
                <w:lang w:val="en-US" w:eastAsia="zh-CN" w:bidi="ar"/>
              </w:rPr>
              <w:t>t/a</w:t>
            </w:r>
            <w:r>
              <w:rPr>
                <w:rFonts w:hint="eastAsia" w:ascii="宋体" w:hAnsi="宋体" w:eastAsia="宋体" w:cs="宋体"/>
                <w:color w:val="000000"/>
                <w:kern w:val="2"/>
                <w:sz w:val="21"/>
                <w:szCs w:val="21"/>
                <w:u w:val="none"/>
                <w:lang w:val="en-US" w:eastAsia="zh-CN" w:bidi="ar"/>
              </w:rPr>
              <w:t>）</w:t>
            </w:r>
          </w:p>
        </w:tc>
        <w:tc>
          <w:tcPr>
            <w:tcW w:w="1701" w:type="dxa"/>
            <w:noWrap w:val="0"/>
            <w:vAlign w:val="center"/>
          </w:tcPr>
          <w:p w14:paraId="49AA39CA">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276" w:type="dxa"/>
            <w:noWrap w:val="0"/>
            <w:vAlign w:val="center"/>
          </w:tcPr>
          <w:p w14:paraId="5E6C4A1B">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701" w:type="dxa"/>
            <w:noWrap w:val="0"/>
            <w:vAlign w:val="center"/>
          </w:tcPr>
          <w:p w14:paraId="73891E1B">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w:t>
            </w:r>
          </w:p>
        </w:tc>
        <w:tc>
          <w:tcPr>
            <w:tcW w:w="1559" w:type="dxa"/>
            <w:noWrap w:val="0"/>
            <w:vAlign w:val="center"/>
          </w:tcPr>
          <w:p w14:paraId="68D2C015">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0000FF"/>
                <w:kern w:val="0"/>
                <w:sz w:val="21"/>
                <w:szCs w:val="21"/>
                <w:highlight w:val="none"/>
                <w:lang w:val="en-US" w:eastAsia="zh-CN" w:bidi="ar"/>
              </w:rPr>
            </w:pPr>
            <w:r>
              <w:rPr>
                <w:rFonts w:hint="eastAsia" w:cs="Times New Roman"/>
                <w:color w:val="0000FF"/>
                <w:kern w:val="0"/>
                <w:sz w:val="21"/>
                <w:szCs w:val="21"/>
                <w:highlight w:val="none"/>
                <w:lang w:val="en-US" w:eastAsia="zh-CN" w:bidi="ar"/>
              </w:rPr>
              <w:t>100</w:t>
            </w:r>
          </w:p>
        </w:tc>
        <w:tc>
          <w:tcPr>
            <w:tcW w:w="1761" w:type="dxa"/>
            <w:noWrap w:val="0"/>
            <w:vAlign w:val="center"/>
          </w:tcPr>
          <w:p w14:paraId="29C808CA">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i w:val="0"/>
                <w:iCs w:val="0"/>
                <w:color w:val="000000"/>
                <w:kern w:val="0"/>
                <w:sz w:val="21"/>
                <w:szCs w:val="21"/>
                <w:highlight w:val="none"/>
                <w:u w:val="none"/>
                <w:lang w:val="en-US" w:eastAsia="zh-CN" w:bidi="ar"/>
              </w:rPr>
              <w:t>/</w:t>
            </w:r>
          </w:p>
        </w:tc>
        <w:tc>
          <w:tcPr>
            <w:tcW w:w="1616" w:type="dxa"/>
            <w:noWrap w:val="0"/>
            <w:vAlign w:val="center"/>
          </w:tcPr>
          <w:p w14:paraId="5CDEA2B2">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0000FF"/>
                <w:kern w:val="0"/>
                <w:sz w:val="21"/>
                <w:szCs w:val="21"/>
                <w:highlight w:val="none"/>
                <w:lang w:val="en-US" w:eastAsia="zh-CN" w:bidi="ar"/>
              </w:rPr>
              <w:t>100</w:t>
            </w:r>
          </w:p>
        </w:tc>
        <w:tc>
          <w:tcPr>
            <w:tcW w:w="1169" w:type="dxa"/>
            <w:noWrap w:val="0"/>
            <w:vAlign w:val="center"/>
          </w:tcPr>
          <w:p w14:paraId="7E2D55DB">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color w:val="0000FF"/>
                <w:kern w:val="0"/>
                <w:sz w:val="21"/>
                <w:szCs w:val="21"/>
                <w:highlight w:val="none"/>
                <w:lang w:val="en-US" w:eastAsia="zh-CN" w:bidi="ar"/>
              </w:rPr>
              <w:t>+100</w:t>
            </w:r>
          </w:p>
        </w:tc>
      </w:tr>
      <w:tr w14:paraId="3C2586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1" w:type="dxa"/>
            <w:vMerge w:val="continue"/>
            <w:noWrap w:val="0"/>
            <w:vAlign w:val="center"/>
          </w:tcPr>
          <w:p w14:paraId="5912AB73">
            <w:pPr>
              <w:widowControl w:val="0"/>
              <w:overflowPunct w:val="0"/>
              <w:autoSpaceDE w:val="0"/>
              <w:autoSpaceDN w:val="0"/>
              <w:adjustRightInd w:val="0"/>
              <w:snapToGrid w:val="0"/>
              <w:spacing w:before="0" w:beforeLines="0" w:after="0" w:afterLines="0" w:line="240" w:lineRule="auto"/>
              <w:ind w:left="0" w:leftChars="0" w:right="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p>
        </w:tc>
        <w:tc>
          <w:tcPr>
            <w:tcW w:w="1984" w:type="dxa"/>
            <w:noWrap w:val="0"/>
            <w:vAlign w:val="center"/>
          </w:tcPr>
          <w:p w14:paraId="601B9F0B">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废布袋（t/a）</w:t>
            </w:r>
          </w:p>
        </w:tc>
        <w:tc>
          <w:tcPr>
            <w:tcW w:w="1701" w:type="dxa"/>
            <w:noWrap w:val="0"/>
            <w:vAlign w:val="center"/>
          </w:tcPr>
          <w:p w14:paraId="73F77E28">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w:t>
            </w:r>
          </w:p>
        </w:tc>
        <w:tc>
          <w:tcPr>
            <w:tcW w:w="1276" w:type="dxa"/>
            <w:noWrap w:val="0"/>
            <w:vAlign w:val="center"/>
          </w:tcPr>
          <w:p w14:paraId="6CDDEAEC">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w:t>
            </w:r>
          </w:p>
        </w:tc>
        <w:tc>
          <w:tcPr>
            <w:tcW w:w="1701" w:type="dxa"/>
            <w:noWrap w:val="0"/>
            <w:vAlign w:val="center"/>
          </w:tcPr>
          <w:p w14:paraId="28220BF9">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w:t>
            </w:r>
          </w:p>
        </w:tc>
        <w:tc>
          <w:tcPr>
            <w:tcW w:w="1559" w:type="dxa"/>
            <w:noWrap w:val="0"/>
            <w:vAlign w:val="center"/>
          </w:tcPr>
          <w:p w14:paraId="57ADD172">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cs="Times New Roman"/>
                <w:color w:val="0000FF"/>
                <w:kern w:val="0"/>
                <w:sz w:val="21"/>
                <w:szCs w:val="21"/>
                <w:highlight w:val="none"/>
                <w:lang w:val="en-US" w:eastAsia="zh-CN" w:bidi="ar"/>
              </w:rPr>
            </w:pPr>
            <w:r>
              <w:rPr>
                <w:rFonts w:hint="eastAsia" w:cs="Times New Roman"/>
                <w:color w:val="0000FF"/>
                <w:kern w:val="0"/>
                <w:sz w:val="21"/>
                <w:szCs w:val="21"/>
                <w:highlight w:val="none"/>
                <w:lang w:val="en-US" w:eastAsia="zh-CN" w:bidi="ar"/>
              </w:rPr>
              <w:t>0.01</w:t>
            </w:r>
          </w:p>
        </w:tc>
        <w:tc>
          <w:tcPr>
            <w:tcW w:w="1761" w:type="dxa"/>
            <w:noWrap w:val="0"/>
            <w:vAlign w:val="center"/>
          </w:tcPr>
          <w:p w14:paraId="7891C9A9">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w:t>
            </w:r>
          </w:p>
        </w:tc>
        <w:tc>
          <w:tcPr>
            <w:tcW w:w="1616" w:type="dxa"/>
            <w:noWrap w:val="0"/>
            <w:vAlign w:val="center"/>
          </w:tcPr>
          <w:p w14:paraId="6F9C34E6">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cs="Times New Roman"/>
                <w:color w:val="auto"/>
                <w:kern w:val="0"/>
                <w:sz w:val="21"/>
                <w:szCs w:val="21"/>
                <w:highlight w:val="none"/>
                <w:lang w:val="en-US" w:eastAsia="zh-CN" w:bidi="ar"/>
              </w:rPr>
            </w:pPr>
            <w:r>
              <w:rPr>
                <w:rFonts w:hint="eastAsia" w:cs="Times New Roman"/>
                <w:color w:val="0000FF"/>
                <w:kern w:val="0"/>
                <w:sz w:val="21"/>
                <w:szCs w:val="21"/>
                <w:highlight w:val="none"/>
                <w:lang w:val="en-US" w:eastAsia="zh-CN" w:bidi="ar"/>
              </w:rPr>
              <w:t>0.01</w:t>
            </w:r>
          </w:p>
        </w:tc>
        <w:tc>
          <w:tcPr>
            <w:tcW w:w="1169" w:type="dxa"/>
            <w:noWrap w:val="0"/>
            <w:vAlign w:val="center"/>
          </w:tcPr>
          <w:p w14:paraId="71EE2D3B">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color w:val="0000FF"/>
                <w:kern w:val="0"/>
                <w:sz w:val="21"/>
                <w:szCs w:val="21"/>
                <w:highlight w:val="none"/>
                <w:lang w:val="en-US" w:eastAsia="zh-CN" w:bidi="ar"/>
              </w:rPr>
              <w:t>+0.01</w:t>
            </w:r>
          </w:p>
        </w:tc>
      </w:tr>
      <w:tr w14:paraId="1ACA81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1" w:type="dxa"/>
            <w:vMerge w:val="continue"/>
            <w:noWrap w:val="0"/>
            <w:vAlign w:val="center"/>
          </w:tcPr>
          <w:p w14:paraId="4226D975">
            <w:pPr>
              <w:widowControl w:val="0"/>
              <w:overflowPunct w:val="0"/>
              <w:autoSpaceDE w:val="0"/>
              <w:autoSpaceDN w:val="0"/>
              <w:adjustRightInd w:val="0"/>
              <w:snapToGrid w:val="0"/>
              <w:spacing w:before="0" w:beforeLines="0" w:after="0" w:afterLines="0" w:line="240" w:lineRule="auto"/>
              <w:ind w:left="0" w:leftChars="0" w:right="0" w:firstLine="0" w:firstLineChars="0"/>
              <w:jc w:val="center"/>
              <w:rPr>
                <w:rFonts w:hint="eastAsia" w:ascii="Times New Roman" w:hAnsi="Times New Roman" w:eastAsia="宋体" w:cs="宋体"/>
                <w:snapToGrid w:val="0"/>
                <w:color w:val="000000"/>
                <w:kern w:val="21"/>
                <w:sz w:val="21"/>
                <w:szCs w:val="21"/>
                <w:highlight w:val="none"/>
                <w:lang w:val="en-US" w:eastAsia="zh-CN" w:bidi="ar-SA"/>
              </w:rPr>
            </w:pPr>
          </w:p>
        </w:tc>
        <w:tc>
          <w:tcPr>
            <w:tcW w:w="1984" w:type="dxa"/>
            <w:noWrap w:val="0"/>
            <w:vAlign w:val="center"/>
          </w:tcPr>
          <w:p w14:paraId="70310664">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废填料（t/a）</w:t>
            </w:r>
          </w:p>
        </w:tc>
        <w:tc>
          <w:tcPr>
            <w:tcW w:w="1701" w:type="dxa"/>
            <w:noWrap w:val="0"/>
            <w:vAlign w:val="center"/>
          </w:tcPr>
          <w:p w14:paraId="3260F2A9">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w:t>
            </w:r>
          </w:p>
        </w:tc>
        <w:tc>
          <w:tcPr>
            <w:tcW w:w="1276" w:type="dxa"/>
            <w:noWrap w:val="0"/>
            <w:vAlign w:val="center"/>
          </w:tcPr>
          <w:p w14:paraId="10584042">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w:t>
            </w:r>
          </w:p>
        </w:tc>
        <w:tc>
          <w:tcPr>
            <w:tcW w:w="1701" w:type="dxa"/>
            <w:noWrap w:val="0"/>
            <w:vAlign w:val="center"/>
          </w:tcPr>
          <w:p w14:paraId="3D4753C1">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w:t>
            </w:r>
          </w:p>
        </w:tc>
        <w:tc>
          <w:tcPr>
            <w:tcW w:w="1559" w:type="dxa"/>
            <w:noWrap w:val="0"/>
            <w:vAlign w:val="center"/>
          </w:tcPr>
          <w:p w14:paraId="637997E0">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cs="Times New Roman"/>
                <w:color w:val="0000FF"/>
                <w:kern w:val="0"/>
                <w:sz w:val="21"/>
                <w:szCs w:val="21"/>
                <w:highlight w:val="none"/>
                <w:lang w:val="en-US" w:eastAsia="zh-CN" w:bidi="ar"/>
              </w:rPr>
            </w:pPr>
            <w:r>
              <w:rPr>
                <w:rFonts w:hint="eastAsia" w:cs="Times New Roman"/>
                <w:color w:val="0000FF"/>
                <w:kern w:val="0"/>
                <w:sz w:val="21"/>
                <w:szCs w:val="21"/>
                <w:highlight w:val="none"/>
                <w:lang w:val="en-US" w:eastAsia="zh-CN" w:bidi="ar"/>
              </w:rPr>
              <w:t>1</w:t>
            </w:r>
          </w:p>
        </w:tc>
        <w:tc>
          <w:tcPr>
            <w:tcW w:w="1761" w:type="dxa"/>
            <w:noWrap w:val="0"/>
            <w:vAlign w:val="center"/>
          </w:tcPr>
          <w:p w14:paraId="54EBE09C">
            <w:pPr>
              <w:keepNext w:val="0"/>
              <w:keepLines w:val="0"/>
              <w:widowControl/>
              <w:suppressLineNumbers w:val="0"/>
              <w:overflowPunct/>
              <w:autoSpaceDE/>
              <w:autoSpaceDN/>
              <w:adjustRightInd/>
              <w:snapToGrid/>
              <w:spacing w:before="0" w:after="0" w:line="240" w:lineRule="auto"/>
              <w:ind w:left="0" w:leftChars="0" w:right="0" w:rightChars="0" w:firstLine="0" w:firstLineChars="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w:t>
            </w:r>
          </w:p>
        </w:tc>
        <w:tc>
          <w:tcPr>
            <w:tcW w:w="1616" w:type="dxa"/>
            <w:noWrap w:val="0"/>
            <w:vAlign w:val="center"/>
          </w:tcPr>
          <w:p w14:paraId="7346D4C4">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color w:val="0000FF"/>
                <w:kern w:val="0"/>
                <w:sz w:val="21"/>
                <w:szCs w:val="21"/>
                <w:highlight w:val="none"/>
                <w:lang w:val="en-US" w:eastAsia="zh-CN" w:bidi="ar"/>
              </w:rPr>
              <w:t>1</w:t>
            </w:r>
          </w:p>
        </w:tc>
        <w:tc>
          <w:tcPr>
            <w:tcW w:w="1169" w:type="dxa"/>
            <w:noWrap w:val="0"/>
            <w:vAlign w:val="center"/>
          </w:tcPr>
          <w:p w14:paraId="098FBA31">
            <w:pPr>
              <w:keepNext w:val="0"/>
              <w:keepLines w:val="0"/>
              <w:pageBreakBefore w:val="0"/>
              <w:widowControl/>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eastAsia" w:ascii="Times New Roman" w:hAnsi="Times New Roman" w:eastAsia="宋体" w:cs="Times New Roman"/>
                <w:i w:val="0"/>
                <w:iCs w:val="0"/>
                <w:color w:val="000000"/>
                <w:kern w:val="0"/>
                <w:sz w:val="21"/>
                <w:szCs w:val="21"/>
                <w:u w:val="none"/>
                <w:lang w:val="en-US" w:eastAsia="zh-CN" w:bidi="ar"/>
              </w:rPr>
            </w:pPr>
            <w:r>
              <w:rPr>
                <w:rFonts w:hint="eastAsia" w:cs="Times New Roman"/>
                <w:color w:val="0000FF"/>
                <w:kern w:val="0"/>
                <w:sz w:val="21"/>
                <w:szCs w:val="21"/>
                <w:highlight w:val="none"/>
                <w:lang w:val="en-US" w:eastAsia="zh-CN" w:bidi="ar"/>
              </w:rPr>
              <w:t>+1</w:t>
            </w:r>
          </w:p>
        </w:tc>
      </w:tr>
    </w:tbl>
    <w:p w14:paraId="3F5CB704">
      <w:pPr>
        <w:pStyle w:val="20"/>
        <w:ind w:left="0" w:leftChars="0" w:firstLine="0" w:firstLineChars="0"/>
      </w:pPr>
    </w:p>
    <w:sectPr>
      <w:headerReference r:id="rId14" w:type="default"/>
      <w:footerReference r:id="rId15" w:type="default"/>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7CE1E">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1502F">
    <w:pPr>
      <w:widowControl w:val="0"/>
      <w:overflowPunct w:val="0"/>
      <w:autoSpaceDE w:val="0"/>
      <w:autoSpaceDN w:val="0"/>
      <w:adjustRightInd w:val="0"/>
      <w:snapToGrid w:val="0"/>
      <w:spacing w:before="0" w:after="0" w:line="500" w:lineRule="exact"/>
      <w:ind w:left="0" w:right="0" w:firstLine="360" w:firstLineChars="200"/>
      <w:jc w:val="left"/>
      <w:rPr>
        <w:rFonts w:ascii="Times New Roman" w:hAnsi="Times New Roman" w:eastAsia="宋体" w:cs="宋体"/>
        <w:sz w:val="18"/>
        <w:szCs w:val="22"/>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485F7">
    <w:pPr>
      <w:widowControl w:val="0"/>
      <w:overflowPunct w:val="0"/>
      <w:autoSpaceDE w:val="0"/>
      <w:autoSpaceDN w:val="0"/>
      <w:adjustRightInd w:val="0"/>
      <w:snapToGrid w:val="0"/>
      <w:spacing w:before="0" w:after="0" w:line="500" w:lineRule="exact"/>
      <w:ind w:left="0" w:right="0" w:firstLine="360" w:firstLineChars="200"/>
      <w:jc w:val="left"/>
      <w:rPr>
        <w:rFonts w:ascii="Times New Roman" w:hAnsi="Times New Roman" w:eastAsia="宋体" w:cs="宋体"/>
        <w:sz w:val="18"/>
        <w:szCs w:val="22"/>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1A09F0">
                          <w:pPr>
                            <w:widowControl w:val="0"/>
                            <w:tabs>
                              <w:tab w:val="center" w:pos="4153"/>
                              <w:tab w:val="right" w:pos="8306"/>
                            </w:tabs>
                            <w:snapToGrid w:val="0"/>
                            <w:spacing w:line="320" w:lineRule="exact"/>
                            <w:jc w:val="left"/>
                            <w:rPr>
                              <w:rFonts w:ascii="Times New Roman" w:hAnsi="Times New Roman" w:eastAsia="宋体" w:cs="宋体"/>
                              <w:color w:val="auto"/>
                              <w:sz w:val="18"/>
                              <w:szCs w:val="22"/>
                              <w:lang w:val="en-US" w:eastAsia="zh-CN" w:bidi="ar-SA"/>
                            </w:rPr>
                          </w:pPr>
                          <w:r>
                            <w:rPr>
                              <w:rFonts w:ascii="Times New Roman" w:hAnsi="Times New Roman" w:eastAsia="宋体" w:cs="宋体"/>
                              <w:color w:val="auto"/>
                              <w:sz w:val="18"/>
                              <w:szCs w:val="22"/>
                              <w:lang w:val="en-US" w:eastAsia="zh-CN" w:bidi="ar-SA"/>
                            </w:rPr>
                            <w:fldChar w:fldCharType="begin"/>
                          </w:r>
                          <w:r>
                            <w:rPr>
                              <w:rFonts w:ascii="Times New Roman" w:hAnsi="Times New Roman" w:eastAsia="宋体" w:cs="宋体"/>
                              <w:color w:val="auto"/>
                              <w:sz w:val="18"/>
                              <w:szCs w:val="22"/>
                              <w:lang w:val="en-US" w:eastAsia="zh-CN" w:bidi="ar-SA"/>
                            </w:rPr>
                            <w:instrText xml:space="preserve"> PAGE  \* MERGEFORMAT </w:instrText>
                          </w:r>
                          <w:r>
                            <w:rPr>
                              <w:rFonts w:ascii="Times New Roman" w:hAnsi="Times New Roman" w:eastAsia="宋体" w:cs="宋体"/>
                              <w:color w:val="auto"/>
                              <w:sz w:val="18"/>
                              <w:szCs w:val="22"/>
                              <w:lang w:val="en-US" w:eastAsia="zh-CN" w:bidi="ar-SA"/>
                            </w:rPr>
                            <w:fldChar w:fldCharType="separate"/>
                          </w:r>
                          <w:r>
                            <w:rPr>
                              <w:rFonts w:ascii="Times New Roman" w:hAnsi="Times New Roman" w:eastAsia="宋体" w:cs="宋体"/>
                              <w:color w:val="auto"/>
                              <w:sz w:val="18"/>
                              <w:szCs w:val="22"/>
                              <w:lang w:val="en-US" w:eastAsia="zh-CN" w:bidi="ar-SA"/>
                            </w:rPr>
                            <w:t>2</w:t>
                          </w:r>
                          <w:r>
                            <w:rPr>
                              <w:rFonts w:ascii="Times New Roman" w:hAnsi="Times New Roman" w:eastAsia="宋体" w:cs="宋体"/>
                              <w:color w:val="auto"/>
                              <w:sz w:val="18"/>
                              <w:szCs w:val="22"/>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421A09F0">
                    <w:pPr>
                      <w:widowControl w:val="0"/>
                      <w:tabs>
                        <w:tab w:val="center" w:pos="4153"/>
                        <w:tab w:val="right" w:pos="8306"/>
                      </w:tabs>
                      <w:snapToGrid w:val="0"/>
                      <w:spacing w:line="320" w:lineRule="exact"/>
                      <w:jc w:val="left"/>
                      <w:rPr>
                        <w:rFonts w:ascii="Times New Roman" w:hAnsi="Times New Roman" w:eastAsia="宋体" w:cs="宋体"/>
                        <w:color w:val="auto"/>
                        <w:sz w:val="18"/>
                        <w:szCs w:val="22"/>
                        <w:lang w:val="en-US" w:eastAsia="zh-CN" w:bidi="ar-SA"/>
                      </w:rPr>
                    </w:pPr>
                    <w:r>
                      <w:rPr>
                        <w:rFonts w:ascii="Times New Roman" w:hAnsi="Times New Roman" w:eastAsia="宋体" w:cs="宋体"/>
                        <w:color w:val="auto"/>
                        <w:sz w:val="18"/>
                        <w:szCs w:val="22"/>
                        <w:lang w:val="en-US" w:eastAsia="zh-CN" w:bidi="ar-SA"/>
                      </w:rPr>
                      <w:fldChar w:fldCharType="begin"/>
                    </w:r>
                    <w:r>
                      <w:rPr>
                        <w:rFonts w:ascii="Times New Roman" w:hAnsi="Times New Roman" w:eastAsia="宋体" w:cs="宋体"/>
                        <w:color w:val="auto"/>
                        <w:sz w:val="18"/>
                        <w:szCs w:val="22"/>
                        <w:lang w:val="en-US" w:eastAsia="zh-CN" w:bidi="ar-SA"/>
                      </w:rPr>
                      <w:instrText xml:space="preserve"> PAGE  \* MERGEFORMAT </w:instrText>
                    </w:r>
                    <w:r>
                      <w:rPr>
                        <w:rFonts w:ascii="Times New Roman" w:hAnsi="Times New Roman" w:eastAsia="宋体" w:cs="宋体"/>
                        <w:color w:val="auto"/>
                        <w:sz w:val="18"/>
                        <w:szCs w:val="22"/>
                        <w:lang w:val="en-US" w:eastAsia="zh-CN" w:bidi="ar-SA"/>
                      </w:rPr>
                      <w:fldChar w:fldCharType="separate"/>
                    </w:r>
                    <w:r>
                      <w:rPr>
                        <w:rFonts w:ascii="Times New Roman" w:hAnsi="Times New Roman" w:eastAsia="宋体" w:cs="宋体"/>
                        <w:color w:val="auto"/>
                        <w:sz w:val="18"/>
                        <w:szCs w:val="22"/>
                        <w:lang w:val="en-US" w:eastAsia="zh-CN" w:bidi="ar-SA"/>
                      </w:rPr>
                      <w:t>2</w:t>
                    </w:r>
                    <w:r>
                      <w:rPr>
                        <w:rFonts w:ascii="Times New Roman" w:hAnsi="Times New Roman" w:eastAsia="宋体" w:cs="宋体"/>
                        <w:color w:val="auto"/>
                        <w:sz w:val="18"/>
                        <w:szCs w:val="22"/>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4E124">
    <w:pPr>
      <w:widowControl w:val="0"/>
      <w:overflowPunct w:val="0"/>
      <w:autoSpaceDE w:val="0"/>
      <w:autoSpaceDN w:val="0"/>
      <w:adjustRightInd w:val="0"/>
      <w:snapToGrid w:val="0"/>
      <w:spacing w:before="0" w:after="0" w:line="500" w:lineRule="exact"/>
      <w:ind w:left="0" w:right="0" w:firstLine="360" w:firstLineChars="200"/>
      <w:jc w:val="center"/>
      <w:rPr>
        <w:rFonts w:hint="eastAsia" w:ascii="宋体" w:hAnsi="宋体" w:eastAsia="宋体" w:cs="宋体"/>
        <w:sz w:val="18"/>
        <w:szCs w:val="22"/>
        <w:lang w:val="en-US" w:eastAsia="zh-CN" w:bidi="ar-SA"/>
      </w:rPr>
    </w:pPr>
    <w:r>
      <w:rPr>
        <w:rFonts w:ascii="Times New Roman" w:hAnsi="Times New Roman" w:eastAsia="宋体" w:cs="宋体"/>
        <w:sz w:val="18"/>
        <w:szCs w:val="22"/>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 name="文本框 1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F45FCF">
                          <w:pPr>
                            <w:widowControl w:val="0"/>
                            <w:overflowPunct w:val="0"/>
                            <w:autoSpaceDE w:val="0"/>
                            <w:autoSpaceDN w:val="0"/>
                            <w:adjustRightInd w:val="0"/>
                            <w:snapToGrid w:val="0"/>
                            <w:spacing w:before="0" w:after="0" w:line="500" w:lineRule="exact"/>
                            <w:ind w:left="0" w:right="0" w:firstLine="420" w:firstLineChars="200"/>
                            <w:jc w:val="center"/>
                            <w:rPr>
                              <w:rFonts w:ascii="Times New Roman" w:hAnsi="Times New Roman" w:eastAsia="宋体" w:cs="宋体"/>
                              <w:sz w:val="21"/>
                              <w:szCs w:val="21"/>
                              <w:lang w:val="en-US" w:eastAsia="zh-CN" w:bidi="ar-SA"/>
                            </w:rPr>
                          </w:pPr>
                          <w:r>
                            <w:rPr>
                              <w:rFonts w:hint="default" w:ascii="Times New Roman" w:hAnsi="Times New Roman" w:eastAsia="宋体" w:cs="Times New Roman"/>
                              <w:sz w:val="21"/>
                              <w:szCs w:val="21"/>
                              <w:lang w:val="en-US" w:eastAsia="zh-CN" w:bidi="ar-SA"/>
                            </w:rPr>
                            <w:fldChar w:fldCharType="begin"/>
                          </w:r>
                          <w:r>
                            <w:rPr>
                              <w:rFonts w:hint="default" w:ascii="Times New Roman" w:hAnsi="Times New Roman" w:eastAsia="宋体" w:cs="Times New Roman"/>
                              <w:sz w:val="21"/>
                              <w:szCs w:val="21"/>
                              <w:lang w:val="en-US" w:eastAsia="zh-CN" w:bidi="ar-SA"/>
                            </w:rPr>
                            <w:instrText xml:space="preserve"> PAGE   \* MERGEFORMAT </w:instrText>
                          </w:r>
                          <w:r>
                            <w:rPr>
                              <w:rFonts w:hint="default" w:ascii="Times New Roman" w:hAnsi="Times New Roman" w:eastAsia="宋体" w:cs="Times New Roman"/>
                              <w:sz w:val="21"/>
                              <w:szCs w:val="21"/>
                              <w:lang w:val="en-US" w:eastAsia="zh-CN" w:bidi="ar-SA"/>
                            </w:rPr>
                            <w:fldChar w:fldCharType="separate"/>
                          </w:r>
                          <w:r>
                            <w:rPr>
                              <w:rFonts w:hint="default" w:ascii="Times New Roman" w:hAnsi="Times New Roman" w:eastAsia="宋体" w:cs="Times New Roman"/>
                              <w:sz w:val="21"/>
                              <w:szCs w:val="21"/>
                              <w:lang w:val="zh-CN" w:eastAsia="zh-CN" w:bidi="ar-SA"/>
                            </w:rPr>
                            <w:t>39</w:t>
                          </w:r>
                          <w:r>
                            <w:rPr>
                              <w:rFonts w:hint="default" w:ascii="Times New Roman" w:hAnsi="Times New Roman" w:eastAsia="宋体" w:cs="Times New Roman"/>
                              <w:sz w:val="21"/>
                              <w:szCs w:val="21"/>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hty45AgAAc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Erhty45AgAAcwQAAA4AAAAAAAAAAQAgAAAAHwEAAGRycy9lMm9Eb2Mu&#10;eG1sUEsFBgAAAAAGAAYAWQEAAMoFAAAAAA==&#10;">
              <v:fill on="f" focussize="0,0"/>
              <v:stroke on="f" weight="0.5pt"/>
              <v:imagedata o:title=""/>
              <o:lock v:ext="edit" aspectratio="f"/>
              <v:textbox inset="0mm,0mm,0mm,0mm" style="mso-fit-shape-to-text:t;">
                <w:txbxContent>
                  <w:p w14:paraId="02F45FCF">
                    <w:pPr>
                      <w:widowControl w:val="0"/>
                      <w:overflowPunct w:val="0"/>
                      <w:autoSpaceDE w:val="0"/>
                      <w:autoSpaceDN w:val="0"/>
                      <w:adjustRightInd w:val="0"/>
                      <w:snapToGrid w:val="0"/>
                      <w:spacing w:before="0" w:after="0" w:line="500" w:lineRule="exact"/>
                      <w:ind w:left="0" w:right="0" w:firstLine="420" w:firstLineChars="200"/>
                      <w:jc w:val="center"/>
                      <w:rPr>
                        <w:rFonts w:ascii="Times New Roman" w:hAnsi="Times New Roman" w:eastAsia="宋体" w:cs="宋体"/>
                        <w:sz w:val="21"/>
                        <w:szCs w:val="21"/>
                        <w:lang w:val="en-US" w:eastAsia="zh-CN" w:bidi="ar-SA"/>
                      </w:rPr>
                    </w:pPr>
                    <w:r>
                      <w:rPr>
                        <w:rFonts w:hint="default" w:ascii="Times New Roman" w:hAnsi="Times New Roman" w:eastAsia="宋体" w:cs="Times New Roman"/>
                        <w:sz w:val="21"/>
                        <w:szCs w:val="21"/>
                        <w:lang w:val="en-US" w:eastAsia="zh-CN" w:bidi="ar-SA"/>
                      </w:rPr>
                      <w:fldChar w:fldCharType="begin"/>
                    </w:r>
                    <w:r>
                      <w:rPr>
                        <w:rFonts w:hint="default" w:ascii="Times New Roman" w:hAnsi="Times New Roman" w:eastAsia="宋体" w:cs="Times New Roman"/>
                        <w:sz w:val="21"/>
                        <w:szCs w:val="21"/>
                        <w:lang w:val="en-US" w:eastAsia="zh-CN" w:bidi="ar-SA"/>
                      </w:rPr>
                      <w:instrText xml:space="preserve"> PAGE   \* MERGEFORMAT </w:instrText>
                    </w:r>
                    <w:r>
                      <w:rPr>
                        <w:rFonts w:hint="default" w:ascii="Times New Roman" w:hAnsi="Times New Roman" w:eastAsia="宋体" w:cs="Times New Roman"/>
                        <w:sz w:val="21"/>
                        <w:szCs w:val="21"/>
                        <w:lang w:val="en-US" w:eastAsia="zh-CN" w:bidi="ar-SA"/>
                      </w:rPr>
                      <w:fldChar w:fldCharType="separate"/>
                    </w:r>
                    <w:r>
                      <w:rPr>
                        <w:rFonts w:hint="default" w:ascii="Times New Roman" w:hAnsi="Times New Roman" w:eastAsia="宋体" w:cs="Times New Roman"/>
                        <w:sz w:val="21"/>
                        <w:szCs w:val="21"/>
                        <w:lang w:val="zh-CN" w:eastAsia="zh-CN" w:bidi="ar-SA"/>
                      </w:rPr>
                      <w:t>39</w:t>
                    </w:r>
                    <w:r>
                      <w:rPr>
                        <w:rFonts w:hint="default" w:ascii="Times New Roman" w:hAnsi="Times New Roman" w:eastAsia="宋体" w:cs="Times New Roman"/>
                        <w:sz w:val="21"/>
                        <w:szCs w:val="21"/>
                        <w:lang w:val="en-US" w:eastAsia="zh-CN" w:bidi="ar-S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ED4D5">
    <w:pPr>
      <w:widowControl w:val="0"/>
      <w:overflowPunct w:val="0"/>
      <w:autoSpaceDE w:val="0"/>
      <w:autoSpaceDN w:val="0"/>
      <w:adjustRightInd w:val="0"/>
      <w:snapToGrid w:val="0"/>
      <w:spacing w:before="0" w:after="0" w:line="500" w:lineRule="exact"/>
      <w:ind w:left="0" w:right="0" w:firstLine="360" w:firstLineChars="200"/>
      <w:jc w:val="left"/>
      <w:rPr>
        <w:rFonts w:ascii="Times New Roman" w:hAnsi="Times New Roman" w:eastAsia="宋体" w:cs="宋体"/>
        <w:sz w:val="18"/>
        <w:szCs w:val="22"/>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03A9DE">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3203A9DE">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105DB">
    <w:pPr>
      <w:widowControl w:val="0"/>
      <w:overflowPunct w:val="0"/>
      <w:autoSpaceDE w:val="0"/>
      <w:autoSpaceDN w:val="0"/>
      <w:adjustRightInd w:val="0"/>
      <w:snapToGrid w:val="0"/>
      <w:spacing w:before="0" w:after="0" w:line="500" w:lineRule="exact"/>
      <w:ind w:left="0" w:right="0" w:firstLine="360" w:firstLineChars="200"/>
      <w:jc w:val="left"/>
      <w:rPr>
        <w:rFonts w:ascii="Times New Roman" w:hAnsi="Times New Roman" w:eastAsia="宋体" w:cs="宋体"/>
        <w:sz w:val="18"/>
        <w:szCs w:val="22"/>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9BFF80">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009BFF80">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3BBCE">
    <w:pPr>
      <w:widowControl w:val="0"/>
      <w:overflowPunct w:val="0"/>
      <w:autoSpaceDE w:val="0"/>
      <w:autoSpaceDN w:val="0"/>
      <w:adjustRightInd w:val="0"/>
      <w:snapToGrid w:val="0"/>
      <w:spacing w:before="0" w:after="0" w:line="500" w:lineRule="exact"/>
      <w:ind w:left="0" w:right="0" w:firstLine="360" w:firstLineChars="200"/>
      <w:jc w:val="center"/>
      <w:rPr>
        <w:rFonts w:hint="eastAsia" w:ascii="宋体" w:hAnsi="宋体" w:eastAsia="宋体" w:cs="宋体"/>
        <w:sz w:val="18"/>
        <w:szCs w:val="22"/>
        <w:lang w:val="en-US" w:eastAsia="zh-CN" w:bidi="ar-SA"/>
      </w:rPr>
    </w:pPr>
    <w:r>
      <w:rPr>
        <w:rFonts w:ascii="Times New Roman" w:hAnsi="Times New Roman" w:eastAsia="宋体" w:cs="宋体"/>
        <w:sz w:val="18"/>
        <w:szCs w:val="22"/>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C20BAA">
                          <w:pPr>
                            <w:widowControl w:val="0"/>
                            <w:overflowPunct w:val="0"/>
                            <w:autoSpaceDE w:val="0"/>
                            <w:autoSpaceDN w:val="0"/>
                            <w:adjustRightInd w:val="0"/>
                            <w:snapToGrid w:val="0"/>
                            <w:spacing w:before="0" w:after="0" w:line="500" w:lineRule="exact"/>
                            <w:ind w:left="0" w:right="0" w:firstLine="420" w:firstLineChars="200"/>
                            <w:jc w:val="center"/>
                            <w:rPr>
                              <w:rFonts w:ascii="Times New Roman" w:hAnsi="Times New Roman" w:eastAsia="宋体" w:cs="宋体"/>
                              <w:sz w:val="21"/>
                              <w:szCs w:val="21"/>
                              <w:lang w:val="en-US" w:eastAsia="zh-CN" w:bidi="ar-SA"/>
                            </w:rPr>
                          </w:pPr>
                          <w:r>
                            <w:rPr>
                              <w:rFonts w:hint="default" w:ascii="Times New Roman" w:hAnsi="Times New Roman" w:eastAsia="宋体" w:cs="Times New Roman"/>
                              <w:sz w:val="21"/>
                              <w:szCs w:val="21"/>
                              <w:lang w:val="en-US" w:eastAsia="zh-CN" w:bidi="ar-SA"/>
                            </w:rPr>
                            <w:fldChar w:fldCharType="begin"/>
                          </w:r>
                          <w:r>
                            <w:rPr>
                              <w:rFonts w:hint="default" w:ascii="Times New Roman" w:hAnsi="Times New Roman" w:eastAsia="宋体" w:cs="Times New Roman"/>
                              <w:sz w:val="21"/>
                              <w:szCs w:val="21"/>
                              <w:lang w:val="en-US" w:eastAsia="zh-CN" w:bidi="ar-SA"/>
                            </w:rPr>
                            <w:instrText xml:space="preserve"> PAGE   \* MERGEFORMAT </w:instrText>
                          </w:r>
                          <w:r>
                            <w:rPr>
                              <w:rFonts w:hint="default" w:ascii="Times New Roman" w:hAnsi="Times New Roman" w:eastAsia="宋体" w:cs="Times New Roman"/>
                              <w:sz w:val="21"/>
                              <w:szCs w:val="21"/>
                              <w:lang w:val="en-US" w:eastAsia="zh-CN" w:bidi="ar-SA"/>
                            </w:rPr>
                            <w:fldChar w:fldCharType="separate"/>
                          </w:r>
                          <w:r>
                            <w:rPr>
                              <w:rFonts w:hint="default" w:ascii="Times New Roman" w:hAnsi="Times New Roman" w:eastAsia="宋体" w:cs="Times New Roman"/>
                              <w:sz w:val="21"/>
                              <w:szCs w:val="21"/>
                              <w:lang w:val="zh-CN" w:eastAsia="zh-CN" w:bidi="ar-SA"/>
                            </w:rPr>
                            <w:t>39</w:t>
                          </w:r>
                          <w:r>
                            <w:rPr>
                              <w:rFonts w:hint="default" w:ascii="Times New Roman" w:hAnsi="Times New Roman" w:eastAsia="宋体" w:cs="Times New Roman"/>
                              <w:sz w:val="21"/>
                              <w:szCs w:val="21"/>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AXen6w5AgAAcQQAAA4AAAAAAAAAAQAgAAAAHwEAAGRycy9lMm9Eb2Mu&#10;eG1sUEsFBgAAAAAGAAYAWQEAAMoFAAAAAA==&#10;">
              <v:fill on="f" focussize="0,0"/>
              <v:stroke on="f" weight="0.5pt"/>
              <v:imagedata o:title=""/>
              <o:lock v:ext="edit" aspectratio="f"/>
              <v:textbox inset="0mm,0mm,0mm,0mm" style="mso-fit-shape-to-text:t;">
                <w:txbxContent>
                  <w:p w14:paraId="4BC20BAA">
                    <w:pPr>
                      <w:widowControl w:val="0"/>
                      <w:overflowPunct w:val="0"/>
                      <w:autoSpaceDE w:val="0"/>
                      <w:autoSpaceDN w:val="0"/>
                      <w:adjustRightInd w:val="0"/>
                      <w:snapToGrid w:val="0"/>
                      <w:spacing w:before="0" w:after="0" w:line="500" w:lineRule="exact"/>
                      <w:ind w:left="0" w:right="0" w:firstLine="420" w:firstLineChars="200"/>
                      <w:jc w:val="center"/>
                      <w:rPr>
                        <w:rFonts w:ascii="Times New Roman" w:hAnsi="Times New Roman" w:eastAsia="宋体" w:cs="宋体"/>
                        <w:sz w:val="21"/>
                        <w:szCs w:val="21"/>
                        <w:lang w:val="en-US" w:eastAsia="zh-CN" w:bidi="ar-SA"/>
                      </w:rPr>
                    </w:pPr>
                    <w:r>
                      <w:rPr>
                        <w:rFonts w:hint="default" w:ascii="Times New Roman" w:hAnsi="Times New Roman" w:eastAsia="宋体" w:cs="Times New Roman"/>
                        <w:sz w:val="21"/>
                        <w:szCs w:val="21"/>
                        <w:lang w:val="en-US" w:eastAsia="zh-CN" w:bidi="ar-SA"/>
                      </w:rPr>
                      <w:fldChar w:fldCharType="begin"/>
                    </w:r>
                    <w:r>
                      <w:rPr>
                        <w:rFonts w:hint="default" w:ascii="Times New Roman" w:hAnsi="Times New Roman" w:eastAsia="宋体" w:cs="Times New Roman"/>
                        <w:sz w:val="21"/>
                        <w:szCs w:val="21"/>
                        <w:lang w:val="en-US" w:eastAsia="zh-CN" w:bidi="ar-SA"/>
                      </w:rPr>
                      <w:instrText xml:space="preserve"> PAGE   \* MERGEFORMAT </w:instrText>
                    </w:r>
                    <w:r>
                      <w:rPr>
                        <w:rFonts w:hint="default" w:ascii="Times New Roman" w:hAnsi="Times New Roman" w:eastAsia="宋体" w:cs="Times New Roman"/>
                        <w:sz w:val="21"/>
                        <w:szCs w:val="21"/>
                        <w:lang w:val="en-US" w:eastAsia="zh-CN" w:bidi="ar-SA"/>
                      </w:rPr>
                      <w:fldChar w:fldCharType="separate"/>
                    </w:r>
                    <w:r>
                      <w:rPr>
                        <w:rFonts w:hint="default" w:ascii="Times New Roman" w:hAnsi="Times New Roman" w:eastAsia="宋体" w:cs="Times New Roman"/>
                        <w:sz w:val="21"/>
                        <w:szCs w:val="21"/>
                        <w:lang w:val="zh-CN" w:eastAsia="zh-CN" w:bidi="ar-SA"/>
                      </w:rPr>
                      <w:t>39</w:t>
                    </w:r>
                    <w:r>
                      <w:rPr>
                        <w:rFonts w:hint="default" w:ascii="Times New Roman" w:hAnsi="Times New Roman" w:eastAsia="宋体" w:cs="Times New Roman"/>
                        <w:sz w:val="21"/>
                        <w:szCs w:val="21"/>
                        <w:lang w:val="en-US" w:eastAsia="zh-CN" w:bidi="ar-S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54DED">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A4202">
    <w:pPr>
      <w:widowControl w:val="0"/>
      <w:pBdr>
        <w:bottom w:val="none" w:color="auto" w:sz="0" w:space="1"/>
      </w:pBdr>
      <w:overflowPunct w:val="0"/>
      <w:autoSpaceDE w:val="0"/>
      <w:autoSpaceDN w:val="0"/>
      <w:adjustRightInd w:val="0"/>
      <w:snapToGrid w:val="0"/>
      <w:spacing w:before="0" w:after="0" w:line="240" w:lineRule="atLeast"/>
      <w:ind w:left="0" w:right="0" w:firstLine="360" w:firstLineChars="200"/>
      <w:jc w:val="center"/>
      <w:rPr>
        <w:rFonts w:ascii="Times New Roman" w:hAnsi="Times New Roman" w:eastAsia="宋体" w:cs="宋体"/>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4D12D">
    <w:pPr>
      <w:widowControl w:val="0"/>
      <w:pBdr>
        <w:bottom w:val="none" w:color="auto" w:sz="0" w:space="1"/>
      </w:pBdr>
      <w:overflowPunct w:val="0"/>
      <w:autoSpaceDE w:val="0"/>
      <w:autoSpaceDN w:val="0"/>
      <w:adjustRightInd w:val="0"/>
      <w:snapToGrid w:val="0"/>
      <w:spacing w:before="0" w:after="0" w:line="240" w:lineRule="atLeast"/>
      <w:ind w:left="0" w:right="0" w:firstLine="360" w:firstLineChars="200"/>
      <w:jc w:val="center"/>
      <w:rPr>
        <w:rFonts w:ascii="Times New Roman" w:hAnsi="Times New Roman" w:eastAsia="宋体" w:cs="宋体"/>
        <w:sz w:val="18"/>
        <w:szCs w:val="18"/>
        <w:lang w:val="en-US" w:eastAsia="zh-CN" w:bidi="ar-S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8AEDC">
    <w:pPr>
      <w:widowControl w:val="0"/>
      <w:pBdr>
        <w:bottom w:val="none" w:color="auto" w:sz="0" w:space="1"/>
      </w:pBdr>
      <w:overflowPunct w:val="0"/>
      <w:autoSpaceDE w:val="0"/>
      <w:autoSpaceDN w:val="0"/>
      <w:adjustRightInd w:val="0"/>
      <w:snapToGrid w:val="0"/>
      <w:spacing w:before="0" w:after="0" w:line="240" w:lineRule="atLeast"/>
      <w:ind w:left="0" w:right="0" w:firstLine="360" w:firstLineChars="200"/>
      <w:jc w:val="center"/>
      <w:rPr>
        <w:rFonts w:ascii="Times New Roman" w:hAnsi="Times New Roman" w:eastAsia="宋体" w:cs="宋体"/>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ABDACA"/>
    <w:multiLevelType w:val="singleLevel"/>
    <w:tmpl w:val="C2ABDACA"/>
    <w:lvl w:ilvl="0" w:tentative="0">
      <w:start w:val="1"/>
      <w:numFmt w:val="bullet"/>
      <w:pStyle w:val="13"/>
      <w:lvlText w:val=""/>
      <w:lvlJc w:val="left"/>
      <w:pPr>
        <w:tabs>
          <w:tab w:val="left" w:pos="2040"/>
        </w:tabs>
        <w:ind w:left="2040" w:hanging="360"/>
      </w:pPr>
      <w:rPr>
        <w:rFonts w:hint="default" w:ascii="Wingdings" w:hAnsi="Wingdings"/>
      </w:rPr>
    </w:lvl>
  </w:abstractNum>
  <w:abstractNum w:abstractNumId="1">
    <w:nsid w:val="215BDC7C"/>
    <w:multiLevelType w:val="singleLevel"/>
    <w:tmpl w:val="215BDC7C"/>
    <w:lvl w:ilvl="0" w:tentative="0">
      <w:start w:val="2"/>
      <w:numFmt w:val="chineseCounting"/>
      <w:suff w:val="nothing"/>
      <w:lvlText w:val="%1、"/>
      <w:lvlJc w:val="left"/>
      <w:rPr>
        <w:rFonts w:hint="eastAsia"/>
      </w:rPr>
    </w:lvl>
  </w:abstractNum>
  <w:abstractNum w:abstractNumId="2">
    <w:nsid w:val="463816A1"/>
    <w:multiLevelType w:val="singleLevel"/>
    <w:tmpl w:val="463816A1"/>
    <w:lvl w:ilvl="0" w:tentative="0">
      <w:start w:val="1"/>
      <w:numFmt w:val="lowerLetter"/>
      <w:suff w:val="nothing"/>
      <w:lvlText w:val="%1）"/>
      <w:lvlJc w:val="left"/>
    </w:lvl>
  </w:abstractNum>
  <w:abstractNum w:abstractNumId="3">
    <w:nsid w:val="5E2B1243"/>
    <w:multiLevelType w:val="singleLevel"/>
    <w:tmpl w:val="5E2B1243"/>
    <w:lvl w:ilvl="0" w:tentative="0">
      <w:start w:val="3"/>
      <w:numFmt w:val="chineseCounting"/>
      <w:suff w:val="nothing"/>
      <w:lvlText w:val="%1、"/>
      <w:lvlJc w:val="left"/>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xMDdkMGM0ZWE5NzRhNmQ3MTAwMTIwOWMzZmZjMTUifQ=="/>
  </w:docVars>
  <w:rsids>
    <w:rsidRoot w:val="3C011945"/>
    <w:rsid w:val="00635B77"/>
    <w:rsid w:val="00F554AB"/>
    <w:rsid w:val="01CE1272"/>
    <w:rsid w:val="01F304E5"/>
    <w:rsid w:val="02182ED7"/>
    <w:rsid w:val="02663C42"/>
    <w:rsid w:val="026B3007"/>
    <w:rsid w:val="02DE7C7D"/>
    <w:rsid w:val="03201F29"/>
    <w:rsid w:val="033F6241"/>
    <w:rsid w:val="03525F75"/>
    <w:rsid w:val="03E60263"/>
    <w:rsid w:val="040D6EAF"/>
    <w:rsid w:val="0431202E"/>
    <w:rsid w:val="04D33F6A"/>
    <w:rsid w:val="04D94B9F"/>
    <w:rsid w:val="055661F0"/>
    <w:rsid w:val="05942874"/>
    <w:rsid w:val="05C05FA5"/>
    <w:rsid w:val="05FB6D97"/>
    <w:rsid w:val="0620235A"/>
    <w:rsid w:val="06C4471F"/>
    <w:rsid w:val="06D26F63"/>
    <w:rsid w:val="07442078"/>
    <w:rsid w:val="076444C8"/>
    <w:rsid w:val="07915F04"/>
    <w:rsid w:val="07B40FAC"/>
    <w:rsid w:val="07E95851"/>
    <w:rsid w:val="08017F69"/>
    <w:rsid w:val="08910C0A"/>
    <w:rsid w:val="08BE3E7A"/>
    <w:rsid w:val="092A37C5"/>
    <w:rsid w:val="094620D8"/>
    <w:rsid w:val="0983332C"/>
    <w:rsid w:val="099E3CC2"/>
    <w:rsid w:val="0A4D2E56"/>
    <w:rsid w:val="0B9F6417"/>
    <w:rsid w:val="0CBB4B8B"/>
    <w:rsid w:val="0CEE6D0E"/>
    <w:rsid w:val="0D1E7E5C"/>
    <w:rsid w:val="0D22594A"/>
    <w:rsid w:val="0DBC0BBA"/>
    <w:rsid w:val="0E772D33"/>
    <w:rsid w:val="0E8611C8"/>
    <w:rsid w:val="0EEC3721"/>
    <w:rsid w:val="0F4A076D"/>
    <w:rsid w:val="0FFD54BA"/>
    <w:rsid w:val="109951E3"/>
    <w:rsid w:val="10AA1CBB"/>
    <w:rsid w:val="11230ADE"/>
    <w:rsid w:val="11317B11"/>
    <w:rsid w:val="113F222E"/>
    <w:rsid w:val="11C027FC"/>
    <w:rsid w:val="121F5BBC"/>
    <w:rsid w:val="12B02C0D"/>
    <w:rsid w:val="12E503FF"/>
    <w:rsid w:val="12F931CC"/>
    <w:rsid w:val="12FC7CAB"/>
    <w:rsid w:val="13743CE5"/>
    <w:rsid w:val="138A5A29"/>
    <w:rsid w:val="13F410BC"/>
    <w:rsid w:val="14720225"/>
    <w:rsid w:val="1497721C"/>
    <w:rsid w:val="149C2957"/>
    <w:rsid w:val="1511216F"/>
    <w:rsid w:val="15155054"/>
    <w:rsid w:val="16113A6D"/>
    <w:rsid w:val="16C1175B"/>
    <w:rsid w:val="17516817"/>
    <w:rsid w:val="17A6518D"/>
    <w:rsid w:val="18376D73"/>
    <w:rsid w:val="184D696C"/>
    <w:rsid w:val="19145B32"/>
    <w:rsid w:val="19622F5E"/>
    <w:rsid w:val="19B412DF"/>
    <w:rsid w:val="1A7B1DFD"/>
    <w:rsid w:val="1A9B5FFB"/>
    <w:rsid w:val="1AD35795"/>
    <w:rsid w:val="1BA57132"/>
    <w:rsid w:val="1BC53D80"/>
    <w:rsid w:val="1C441FDC"/>
    <w:rsid w:val="1CDB6B83"/>
    <w:rsid w:val="1D0B1216"/>
    <w:rsid w:val="1D90796E"/>
    <w:rsid w:val="1DAA7DF9"/>
    <w:rsid w:val="1DD737EE"/>
    <w:rsid w:val="1E2C7696"/>
    <w:rsid w:val="1E4470D6"/>
    <w:rsid w:val="1E7149BC"/>
    <w:rsid w:val="1ED3045A"/>
    <w:rsid w:val="1F737996"/>
    <w:rsid w:val="1FFE32B4"/>
    <w:rsid w:val="20256A93"/>
    <w:rsid w:val="204A474C"/>
    <w:rsid w:val="208B5543"/>
    <w:rsid w:val="21290D39"/>
    <w:rsid w:val="221338AA"/>
    <w:rsid w:val="225D0F40"/>
    <w:rsid w:val="22B30754"/>
    <w:rsid w:val="23127636"/>
    <w:rsid w:val="24B71C84"/>
    <w:rsid w:val="265A0BF5"/>
    <w:rsid w:val="265E2CFF"/>
    <w:rsid w:val="26D67770"/>
    <w:rsid w:val="26DF4115"/>
    <w:rsid w:val="271C380D"/>
    <w:rsid w:val="27300024"/>
    <w:rsid w:val="27A97FAA"/>
    <w:rsid w:val="27E02E0D"/>
    <w:rsid w:val="284D6B87"/>
    <w:rsid w:val="288B76AF"/>
    <w:rsid w:val="29891E41"/>
    <w:rsid w:val="29AE7AF9"/>
    <w:rsid w:val="29C83614"/>
    <w:rsid w:val="2A202079"/>
    <w:rsid w:val="2A916E63"/>
    <w:rsid w:val="2B1E093C"/>
    <w:rsid w:val="2B4600C0"/>
    <w:rsid w:val="2C8763E0"/>
    <w:rsid w:val="2D410C84"/>
    <w:rsid w:val="2D8770FA"/>
    <w:rsid w:val="2DEB788F"/>
    <w:rsid w:val="2DF2421D"/>
    <w:rsid w:val="2E113C98"/>
    <w:rsid w:val="2EB57234"/>
    <w:rsid w:val="2F0957D2"/>
    <w:rsid w:val="2F603644"/>
    <w:rsid w:val="2FAD4687"/>
    <w:rsid w:val="2FEC2C86"/>
    <w:rsid w:val="2FF72146"/>
    <w:rsid w:val="30823A8E"/>
    <w:rsid w:val="30DC7CF7"/>
    <w:rsid w:val="318178A1"/>
    <w:rsid w:val="31D23A6C"/>
    <w:rsid w:val="322F5D31"/>
    <w:rsid w:val="32F90788"/>
    <w:rsid w:val="3315256D"/>
    <w:rsid w:val="343F1B0D"/>
    <w:rsid w:val="3476395F"/>
    <w:rsid w:val="34CA25C5"/>
    <w:rsid w:val="35303AB8"/>
    <w:rsid w:val="3550485A"/>
    <w:rsid w:val="35A6440A"/>
    <w:rsid w:val="35A86F64"/>
    <w:rsid w:val="360C62D3"/>
    <w:rsid w:val="371E5495"/>
    <w:rsid w:val="37623CD1"/>
    <w:rsid w:val="37AB1B1C"/>
    <w:rsid w:val="38D26C34"/>
    <w:rsid w:val="39363667"/>
    <w:rsid w:val="398D457E"/>
    <w:rsid w:val="3BFC64A2"/>
    <w:rsid w:val="3C011945"/>
    <w:rsid w:val="3C2E0626"/>
    <w:rsid w:val="3C8625AD"/>
    <w:rsid w:val="3D257C7B"/>
    <w:rsid w:val="3D2739F3"/>
    <w:rsid w:val="3D46406C"/>
    <w:rsid w:val="3DE03BA2"/>
    <w:rsid w:val="3DF06474"/>
    <w:rsid w:val="3DFE080A"/>
    <w:rsid w:val="3E111CD2"/>
    <w:rsid w:val="3E5E370A"/>
    <w:rsid w:val="3E88226F"/>
    <w:rsid w:val="3FDE7310"/>
    <w:rsid w:val="410248F7"/>
    <w:rsid w:val="411316AE"/>
    <w:rsid w:val="41EF2605"/>
    <w:rsid w:val="421B33FA"/>
    <w:rsid w:val="42735B31"/>
    <w:rsid w:val="42D261AF"/>
    <w:rsid w:val="43234A18"/>
    <w:rsid w:val="434075BC"/>
    <w:rsid w:val="43543068"/>
    <w:rsid w:val="43560B8E"/>
    <w:rsid w:val="43E20674"/>
    <w:rsid w:val="44054626"/>
    <w:rsid w:val="443D58AA"/>
    <w:rsid w:val="44A26055"/>
    <w:rsid w:val="45A04342"/>
    <w:rsid w:val="45F37E11"/>
    <w:rsid w:val="465F5FAB"/>
    <w:rsid w:val="467217EE"/>
    <w:rsid w:val="4743767B"/>
    <w:rsid w:val="479C4FDD"/>
    <w:rsid w:val="47DD7AD0"/>
    <w:rsid w:val="483A1816"/>
    <w:rsid w:val="48415ED5"/>
    <w:rsid w:val="486D24D6"/>
    <w:rsid w:val="48C20A74"/>
    <w:rsid w:val="48DE00EA"/>
    <w:rsid w:val="49296D45"/>
    <w:rsid w:val="49647D7D"/>
    <w:rsid w:val="49FB3382"/>
    <w:rsid w:val="4A0F5AF6"/>
    <w:rsid w:val="4A282B58"/>
    <w:rsid w:val="4A370B35"/>
    <w:rsid w:val="4A4F4589"/>
    <w:rsid w:val="4AEB2789"/>
    <w:rsid w:val="4B010E98"/>
    <w:rsid w:val="4B1F21AD"/>
    <w:rsid w:val="4B425E9C"/>
    <w:rsid w:val="4C1074F4"/>
    <w:rsid w:val="4CAF7561"/>
    <w:rsid w:val="4CB701C3"/>
    <w:rsid w:val="4D241CFD"/>
    <w:rsid w:val="4D9F75D5"/>
    <w:rsid w:val="4DBF5582"/>
    <w:rsid w:val="4E9613BC"/>
    <w:rsid w:val="4F135B85"/>
    <w:rsid w:val="4F2C6C47"/>
    <w:rsid w:val="4F6B3C13"/>
    <w:rsid w:val="4F9547EC"/>
    <w:rsid w:val="4FA40ED3"/>
    <w:rsid w:val="4FCE408F"/>
    <w:rsid w:val="4FFB3CCE"/>
    <w:rsid w:val="502E6535"/>
    <w:rsid w:val="507E34D2"/>
    <w:rsid w:val="509C1BAA"/>
    <w:rsid w:val="50BB4726"/>
    <w:rsid w:val="51025EB1"/>
    <w:rsid w:val="52651237"/>
    <w:rsid w:val="528B2DD1"/>
    <w:rsid w:val="52DD61F2"/>
    <w:rsid w:val="53165C44"/>
    <w:rsid w:val="5363025D"/>
    <w:rsid w:val="53C51418"/>
    <w:rsid w:val="5411465D"/>
    <w:rsid w:val="545818BF"/>
    <w:rsid w:val="54F2623D"/>
    <w:rsid w:val="552226E1"/>
    <w:rsid w:val="55256612"/>
    <w:rsid w:val="55DA7B2F"/>
    <w:rsid w:val="55E262B1"/>
    <w:rsid w:val="565E57F8"/>
    <w:rsid w:val="569F0646"/>
    <w:rsid w:val="574D3BFE"/>
    <w:rsid w:val="585B234B"/>
    <w:rsid w:val="58C2245F"/>
    <w:rsid w:val="59502165"/>
    <w:rsid w:val="59E37BAC"/>
    <w:rsid w:val="5A184997"/>
    <w:rsid w:val="5A7B5B93"/>
    <w:rsid w:val="5A97463C"/>
    <w:rsid w:val="5AB8287C"/>
    <w:rsid w:val="5B1433B1"/>
    <w:rsid w:val="5B8E3240"/>
    <w:rsid w:val="5B961C00"/>
    <w:rsid w:val="5BC00E43"/>
    <w:rsid w:val="5BDD7B3B"/>
    <w:rsid w:val="5CBF7B1D"/>
    <w:rsid w:val="5D5D5E76"/>
    <w:rsid w:val="5D995DEF"/>
    <w:rsid w:val="5DB03139"/>
    <w:rsid w:val="5E7B72A3"/>
    <w:rsid w:val="5E9F5687"/>
    <w:rsid w:val="5EAD1D6A"/>
    <w:rsid w:val="5EC56770"/>
    <w:rsid w:val="5EC944B2"/>
    <w:rsid w:val="5EFF7ED4"/>
    <w:rsid w:val="5F1B0545"/>
    <w:rsid w:val="5F337B7D"/>
    <w:rsid w:val="5F360FAD"/>
    <w:rsid w:val="5F57386C"/>
    <w:rsid w:val="5FF27A39"/>
    <w:rsid w:val="601B6F8F"/>
    <w:rsid w:val="60F723E5"/>
    <w:rsid w:val="61E92171"/>
    <w:rsid w:val="626E264D"/>
    <w:rsid w:val="62A420D5"/>
    <w:rsid w:val="637752F7"/>
    <w:rsid w:val="637F38AA"/>
    <w:rsid w:val="63D7141F"/>
    <w:rsid w:val="63DE1CAA"/>
    <w:rsid w:val="642018CA"/>
    <w:rsid w:val="64357EF4"/>
    <w:rsid w:val="647B3DE9"/>
    <w:rsid w:val="648F5856"/>
    <w:rsid w:val="64E37A7F"/>
    <w:rsid w:val="65360D57"/>
    <w:rsid w:val="65876E75"/>
    <w:rsid w:val="65AB3032"/>
    <w:rsid w:val="65DB48C7"/>
    <w:rsid w:val="66164BA2"/>
    <w:rsid w:val="66367C9F"/>
    <w:rsid w:val="67564D51"/>
    <w:rsid w:val="67CE0D8B"/>
    <w:rsid w:val="67DC0C16"/>
    <w:rsid w:val="68016A6B"/>
    <w:rsid w:val="681D761D"/>
    <w:rsid w:val="6861575B"/>
    <w:rsid w:val="68AD4580"/>
    <w:rsid w:val="68C5224B"/>
    <w:rsid w:val="690031C6"/>
    <w:rsid w:val="69D223C7"/>
    <w:rsid w:val="6A131EE9"/>
    <w:rsid w:val="6A8D3D23"/>
    <w:rsid w:val="6AB853DB"/>
    <w:rsid w:val="6AC27850"/>
    <w:rsid w:val="6AFB2D74"/>
    <w:rsid w:val="6B693AC1"/>
    <w:rsid w:val="6B87197D"/>
    <w:rsid w:val="6BB43DF4"/>
    <w:rsid w:val="6C083D18"/>
    <w:rsid w:val="6C223454"/>
    <w:rsid w:val="6C4C59CB"/>
    <w:rsid w:val="6C891FB9"/>
    <w:rsid w:val="6CD72490"/>
    <w:rsid w:val="6D5238C5"/>
    <w:rsid w:val="6DA454A8"/>
    <w:rsid w:val="6E1E6CA0"/>
    <w:rsid w:val="6EBE2492"/>
    <w:rsid w:val="6F371073"/>
    <w:rsid w:val="6F4B0F13"/>
    <w:rsid w:val="6F861880"/>
    <w:rsid w:val="6FA7614A"/>
    <w:rsid w:val="6FDF5D3B"/>
    <w:rsid w:val="6FF10F37"/>
    <w:rsid w:val="704B38AD"/>
    <w:rsid w:val="7122025E"/>
    <w:rsid w:val="71FD06A9"/>
    <w:rsid w:val="7242786E"/>
    <w:rsid w:val="724916C3"/>
    <w:rsid w:val="728564EA"/>
    <w:rsid w:val="731735E6"/>
    <w:rsid w:val="73964760"/>
    <w:rsid w:val="73AB54A9"/>
    <w:rsid w:val="744C1B58"/>
    <w:rsid w:val="74F90CE3"/>
    <w:rsid w:val="752244C4"/>
    <w:rsid w:val="75B14794"/>
    <w:rsid w:val="7677439C"/>
    <w:rsid w:val="76E01F41"/>
    <w:rsid w:val="77672662"/>
    <w:rsid w:val="77866F8C"/>
    <w:rsid w:val="77A6318B"/>
    <w:rsid w:val="78F547C3"/>
    <w:rsid w:val="790A14F7"/>
    <w:rsid w:val="79975481"/>
    <w:rsid w:val="79A96F62"/>
    <w:rsid w:val="7ADD3367"/>
    <w:rsid w:val="7B0F16BD"/>
    <w:rsid w:val="7B4707E1"/>
    <w:rsid w:val="7B5B24DE"/>
    <w:rsid w:val="7BFE4AD0"/>
    <w:rsid w:val="7C4116D4"/>
    <w:rsid w:val="7C49668D"/>
    <w:rsid w:val="7C920181"/>
    <w:rsid w:val="7CA57EB5"/>
    <w:rsid w:val="7CEE6037"/>
    <w:rsid w:val="7D30623E"/>
    <w:rsid w:val="7D4D96EB"/>
    <w:rsid w:val="7DA0067C"/>
    <w:rsid w:val="7E7C4C45"/>
    <w:rsid w:val="7ED06D3F"/>
    <w:rsid w:val="7F745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20" w:lineRule="exact"/>
      <w:jc w:val="both"/>
    </w:pPr>
    <w:rPr>
      <w:rFonts w:ascii="Times New Roman" w:hAnsi="Times New Roman" w:eastAsia="宋体" w:cs="宋体"/>
      <w:color w:val="auto"/>
      <w:sz w:val="24"/>
      <w:szCs w:val="22"/>
      <w:lang w:val="en-US" w:eastAsia="zh-CN" w:bidi="ar-SA"/>
    </w:rPr>
  </w:style>
  <w:style w:type="paragraph" w:styleId="4">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autoRedefine/>
    <w:qFormat/>
    <w:uiPriority w:val="99"/>
    <w:pPr>
      <w:keepNext/>
      <w:keepLines/>
      <w:spacing w:line="413" w:lineRule="auto"/>
      <w:outlineLvl w:val="1"/>
    </w:pPr>
    <w:rPr>
      <w:rFonts w:ascii="Arial" w:hAnsi="Arial" w:eastAsia="黑体"/>
      <w:b/>
      <w:sz w:val="32"/>
    </w:rPr>
  </w:style>
  <w:style w:type="paragraph" w:styleId="6">
    <w:name w:val="heading 3"/>
    <w:basedOn w:val="1"/>
    <w:next w:val="1"/>
    <w:autoRedefine/>
    <w:unhideWhenUsed/>
    <w:qFormat/>
    <w:uiPriority w:val="0"/>
    <w:pPr>
      <w:keepNext w:val="0"/>
      <w:keepLines w:val="0"/>
      <w:spacing w:beforeLines="0" w:beforeAutospacing="0" w:afterLines="0" w:afterAutospacing="0" w:line="560" w:lineRule="exact"/>
      <w:outlineLvl w:val="2"/>
    </w:pPr>
    <w:rPr>
      <w:rFonts w:ascii="Times New Roman" w:hAnsi="Times New Roman" w:eastAsia="宋体"/>
      <w:b/>
      <w:sz w:val="28"/>
    </w:rPr>
  </w:style>
  <w:style w:type="paragraph" w:styleId="7">
    <w:name w:val="heading 4"/>
    <w:basedOn w:val="1"/>
    <w:next w:val="1"/>
    <w:autoRedefine/>
    <w:qFormat/>
    <w:uiPriority w:val="0"/>
    <w:pPr>
      <w:keepNext/>
      <w:keepLines/>
      <w:widowControl/>
      <w:spacing w:before="280" w:after="290" w:line="376" w:lineRule="atLeast"/>
      <w:outlineLvl w:val="3"/>
    </w:pPr>
    <w:rPr>
      <w:rFonts w:ascii="Arial" w:hAnsi="Arial"/>
      <w:b/>
      <w:bCs/>
      <w:szCs w:val="28"/>
    </w:rPr>
  </w:style>
  <w:style w:type="character" w:default="1" w:styleId="24">
    <w:name w:val="Default Paragraph Font"/>
    <w:autoRedefine/>
    <w:semiHidden/>
    <w:qFormat/>
    <w:uiPriority w:val="0"/>
  </w:style>
  <w:style w:type="table" w:default="1" w:styleId="22">
    <w:name w:val="Normal Table"/>
    <w:autoRedefine/>
    <w:semiHidden/>
    <w:qFormat/>
    <w:uiPriority w:val="0"/>
    <w:tblPr>
      <w:tblCellMar>
        <w:top w:w="0" w:type="dxa"/>
        <w:left w:w="108" w:type="dxa"/>
        <w:bottom w:w="0" w:type="dxa"/>
        <w:right w:w="108" w:type="dxa"/>
      </w:tblCellMar>
    </w:tblPr>
  </w:style>
  <w:style w:type="paragraph" w:customStyle="1" w:styleId="2">
    <w:name w:val="Default"/>
    <w:basedOn w:val="3"/>
    <w:next w:val="1"/>
    <w:autoRedefine/>
    <w:qFormat/>
    <w:uiPriority w:val="0"/>
    <w:pPr>
      <w:widowControl w:val="0"/>
      <w:tabs>
        <w:tab w:val="left" w:pos="1845"/>
      </w:tabs>
      <w:autoSpaceDE w:val="0"/>
      <w:autoSpaceDN w:val="0"/>
      <w:adjustRightInd w:val="0"/>
    </w:pPr>
    <w:rPr>
      <w:rFonts w:ascii="宋体" w:hAnsi="Times New Roman" w:eastAsia="宋体" w:cs="宋体"/>
      <w:color w:val="000000"/>
      <w:sz w:val="24"/>
      <w:szCs w:val="24"/>
      <w:lang w:val="en-US" w:eastAsia="zh-CN" w:bidi="ar-SA"/>
    </w:rPr>
  </w:style>
  <w:style w:type="paragraph" w:customStyle="1" w:styleId="3">
    <w:name w:val="1 表头"/>
    <w:basedOn w:val="1"/>
    <w:autoRedefine/>
    <w:qFormat/>
    <w:uiPriority w:val="0"/>
    <w:pPr>
      <w:adjustRightInd w:val="0"/>
      <w:snapToGrid w:val="0"/>
      <w:spacing w:line="240" w:lineRule="auto"/>
      <w:ind w:firstLine="0" w:firstLineChars="0"/>
      <w:jc w:val="center"/>
    </w:pPr>
    <w:rPr>
      <w:b/>
      <w:color w:val="000000"/>
      <w:sz w:val="21"/>
      <w:szCs w:val="21"/>
    </w:rPr>
  </w:style>
  <w:style w:type="paragraph" w:styleId="8">
    <w:name w:val="Normal Indent"/>
    <w:basedOn w:val="1"/>
    <w:autoRedefine/>
    <w:qFormat/>
    <w:uiPriority w:val="0"/>
    <w:pPr>
      <w:ind w:firstLine="420" w:firstLineChars="200"/>
    </w:pPr>
  </w:style>
  <w:style w:type="paragraph" w:styleId="9">
    <w:name w:val="caption"/>
    <w:basedOn w:val="1"/>
    <w:next w:val="1"/>
    <w:autoRedefine/>
    <w:qFormat/>
    <w:uiPriority w:val="0"/>
    <w:rPr>
      <w:b/>
    </w:rPr>
  </w:style>
  <w:style w:type="paragraph" w:styleId="10">
    <w:name w:val="annotation text"/>
    <w:basedOn w:val="1"/>
    <w:autoRedefine/>
    <w:qFormat/>
    <w:uiPriority w:val="0"/>
    <w:pPr>
      <w:jc w:val="left"/>
    </w:pPr>
  </w:style>
  <w:style w:type="paragraph" w:styleId="11">
    <w:name w:val="Body Text"/>
    <w:basedOn w:val="1"/>
    <w:autoRedefine/>
    <w:qFormat/>
    <w:uiPriority w:val="1"/>
    <w:rPr>
      <w:rFonts w:ascii="宋体" w:hAnsi="宋体"/>
      <w:szCs w:val="24"/>
    </w:rPr>
  </w:style>
  <w:style w:type="paragraph" w:styleId="12">
    <w:name w:val="Body Text Indent"/>
    <w:basedOn w:val="1"/>
    <w:next w:val="7"/>
    <w:autoRedefine/>
    <w:qFormat/>
    <w:uiPriority w:val="0"/>
    <w:pPr>
      <w:spacing w:after="120"/>
      <w:ind w:left="420" w:leftChars="200"/>
    </w:pPr>
  </w:style>
  <w:style w:type="paragraph" w:styleId="13">
    <w:name w:val="List Bullet 5"/>
    <w:basedOn w:val="1"/>
    <w:autoRedefine/>
    <w:qFormat/>
    <w:uiPriority w:val="0"/>
    <w:pPr>
      <w:numPr>
        <w:ilvl w:val="0"/>
        <w:numId w:val="1"/>
      </w:numPr>
    </w:pPr>
  </w:style>
  <w:style w:type="paragraph" w:styleId="14">
    <w:name w:val="footer"/>
    <w:basedOn w:val="1"/>
    <w:autoRedefine/>
    <w:qFormat/>
    <w:uiPriority w:val="0"/>
    <w:pPr>
      <w:tabs>
        <w:tab w:val="center" w:pos="4153"/>
        <w:tab w:val="right" w:pos="8306"/>
      </w:tabs>
      <w:snapToGrid w:val="0"/>
      <w:jc w:val="left"/>
    </w:pPr>
    <w:rPr>
      <w:sz w:val="18"/>
    </w:rPr>
  </w:style>
  <w:style w:type="paragraph" w:styleId="15">
    <w:name w:val="header"/>
    <w:basedOn w:val="1"/>
    <w:next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next w:val="1"/>
    <w:autoRedefine/>
    <w:qFormat/>
    <w:uiPriority w:val="0"/>
  </w:style>
  <w:style w:type="paragraph" w:styleId="17">
    <w:name w:val="List"/>
    <w:basedOn w:val="1"/>
    <w:next w:val="1"/>
    <w:autoRedefine/>
    <w:qFormat/>
    <w:uiPriority w:val="0"/>
    <w:pPr>
      <w:widowControl w:val="0"/>
      <w:overflowPunct w:val="0"/>
      <w:autoSpaceDE w:val="0"/>
      <w:autoSpaceDN w:val="0"/>
      <w:adjustRightInd w:val="0"/>
      <w:snapToGrid w:val="0"/>
      <w:spacing w:line="360" w:lineRule="atLeast"/>
      <w:ind w:left="0" w:firstLine="0" w:firstLineChars="0"/>
      <w:jc w:val="center"/>
    </w:pPr>
    <w:rPr>
      <w:rFonts w:ascii="Times New Roman" w:hAnsi="Times New Roman" w:eastAsia="宋体" w:cs="Times New Roman"/>
      <w:kern w:val="2"/>
      <w:sz w:val="21"/>
      <w:szCs w:val="24"/>
      <w:lang w:val="en-US" w:eastAsia="zh-CN" w:bidi="ar-SA"/>
    </w:rPr>
  </w:style>
  <w:style w:type="paragraph" w:styleId="18">
    <w:name w:val="Body Text 2"/>
    <w:basedOn w:val="1"/>
    <w:autoRedefine/>
    <w:qFormat/>
    <w:uiPriority w:val="0"/>
    <w:pPr>
      <w:spacing w:after="120" w:afterLines="0" w:line="480" w:lineRule="auto"/>
    </w:pPr>
    <w:rPr>
      <w:rFonts w:eastAsia="仿宋_GB2312"/>
    </w:rPr>
  </w:style>
  <w:style w:type="paragraph" w:styleId="19">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20">
    <w:name w:val="Body Text First Indent"/>
    <w:basedOn w:val="11"/>
    <w:next w:val="12"/>
    <w:autoRedefine/>
    <w:qFormat/>
    <w:uiPriority w:val="0"/>
    <w:pPr>
      <w:ind w:firstLine="420" w:firstLineChars="100"/>
    </w:pPr>
  </w:style>
  <w:style w:type="paragraph" w:styleId="21">
    <w:name w:val="Body Text First Indent 2"/>
    <w:basedOn w:val="12"/>
    <w:next w:val="20"/>
    <w:autoRedefine/>
    <w:qFormat/>
    <w:uiPriority w:val="0"/>
    <w:pPr>
      <w:widowControl w:val="0"/>
      <w:autoSpaceDE/>
      <w:autoSpaceDN/>
      <w:adjustRightInd/>
      <w:spacing w:after="120" w:line="240" w:lineRule="auto"/>
      <w:ind w:left="420" w:leftChars="200" w:firstLine="420" w:firstLineChars="200"/>
      <w:jc w:val="both"/>
      <w:textAlignment w:val="auto"/>
    </w:pPr>
    <w:rPr>
      <w:kern w:val="2"/>
      <w:sz w:val="21"/>
      <w:szCs w:val="24"/>
      <w:lang w:eastAsia="zh-CN" w:bidi="ar-SA"/>
    </w:rPr>
  </w:style>
  <w:style w:type="table" w:styleId="23">
    <w:name w:val="Table Grid"/>
    <w:basedOn w:val="2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Hyperlink"/>
    <w:basedOn w:val="24"/>
    <w:autoRedefine/>
    <w:qFormat/>
    <w:uiPriority w:val="0"/>
    <w:rPr>
      <w:color w:val="0000FF"/>
      <w:u w:val="single"/>
    </w:rPr>
  </w:style>
  <w:style w:type="paragraph" w:customStyle="1" w:styleId="26">
    <w:name w:val="纯文本1"/>
    <w:autoRedefine/>
    <w:qFormat/>
    <w:uiPriority w:val="0"/>
    <w:pPr>
      <w:widowControl w:val="0"/>
      <w:tabs>
        <w:tab w:val="left" w:pos="1845"/>
      </w:tabs>
      <w:spacing w:line="240" w:lineRule="exact"/>
      <w:jc w:val="center"/>
    </w:pPr>
    <w:rPr>
      <w:rFonts w:ascii="Calibri" w:hAnsi="Calibri" w:eastAsia="宋体" w:cs="Times New Roman"/>
      <w:kern w:val="2"/>
      <w:sz w:val="18"/>
      <w:szCs w:val="24"/>
      <w:lang w:val="en-US" w:eastAsia="zh-CN" w:bidi="ar-SA"/>
    </w:rPr>
  </w:style>
  <w:style w:type="paragraph" w:customStyle="1" w:styleId="27">
    <w:name w:val="表格内"/>
    <w:basedOn w:val="1"/>
    <w:autoRedefine/>
    <w:qFormat/>
    <w:uiPriority w:val="0"/>
    <w:pPr>
      <w:spacing w:line="360" w:lineRule="exact"/>
      <w:jc w:val="center"/>
    </w:pPr>
    <w:rPr>
      <w:snapToGrid w:val="0"/>
      <w:szCs w:val="21"/>
    </w:rPr>
  </w:style>
  <w:style w:type="paragraph" w:customStyle="1" w:styleId="28">
    <w:name w:val="表格内容1"/>
    <w:basedOn w:val="1"/>
    <w:autoRedefine/>
    <w:qFormat/>
    <w:uiPriority w:val="0"/>
    <w:pPr>
      <w:widowControl/>
      <w:spacing w:line="240" w:lineRule="auto"/>
      <w:ind w:firstLine="0" w:firstLineChars="0"/>
      <w:jc w:val="center"/>
    </w:pPr>
    <w:rPr>
      <w:kern w:val="0"/>
      <w:sz w:val="21"/>
      <w:szCs w:val="21"/>
      <w:lang w:eastAsia="en-US" w:bidi="en-US"/>
    </w:rPr>
  </w:style>
  <w:style w:type="paragraph" w:styleId="29">
    <w:name w:val="List Paragraph"/>
    <w:basedOn w:val="1"/>
    <w:autoRedefine/>
    <w:qFormat/>
    <w:uiPriority w:val="99"/>
    <w:pPr>
      <w:ind w:firstLine="420" w:firstLineChars="200"/>
    </w:pPr>
  </w:style>
  <w:style w:type="paragraph" w:customStyle="1" w:styleId="30">
    <w:name w:val="表格1"/>
    <w:basedOn w:val="1"/>
    <w:autoRedefine/>
    <w:qFormat/>
    <w:uiPriority w:val="0"/>
    <w:pPr>
      <w:adjustRightInd w:val="0"/>
      <w:snapToGrid w:val="0"/>
      <w:jc w:val="center"/>
    </w:pPr>
    <w:rPr>
      <w:rFonts w:ascii="Times New Roman" w:hAnsi="Times New Roman" w:eastAsia="方正仿宋_GBK"/>
      <w:color w:val="000000"/>
      <w:kern w:val="0"/>
      <w:szCs w:val="24"/>
    </w:rPr>
  </w:style>
  <w:style w:type="paragraph" w:customStyle="1" w:styleId="31">
    <w:name w:val="表格"/>
    <w:basedOn w:val="1"/>
    <w:next w:val="1"/>
    <w:autoRedefine/>
    <w:qFormat/>
    <w:uiPriority w:val="0"/>
    <w:pPr>
      <w:widowControl w:val="0"/>
      <w:spacing w:after="0" w:line="240" w:lineRule="auto"/>
      <w:ind w:firstLine="0" w:firstLineChars="0"/>
      <w:jc w:val="center"/>
    </w:pPr>
    <w:rPr>
      <w:rFonts w:ascii="Times New Roman" w:hAnsi="Times New Roman" w:eastAsia="宋体" w:cstheme="minorBidi"/>
      <w:kern w:val="2"/>
      <w:sz w:val="21"/>
      <w:szCs w:val="21"/>
    </w:rPr>
  </w:style>
  <w:style w:type="paragraph" w:customStyle="1" w:styleId="32">
    <w:name w:val="表格文字"/>
    <w:basedOn w:val="1"/>
    <w:next w:val="1"/>
    <w:autoRedefine/>
    <w:qFormat/>
    <w:uiPriority w:val="0"/>
    <w:pPr>
      <w:tabs>
        <w:tab w:val="center" w:pos="1053"/>
      </w:tabs>
      <w:adjustRightInd/>
      <w:spacing w:line="360" w:lineRule="exact"/>
      <w:ind w:firstLine="0" w:firstLineChars="0"/>
      <w:jc w:val="center"/>
    </w:pPr>
    <w:rPr>
      <w:rFonts w:ascii="宋体" w:hAnsi="宋体"/>
      <w:kern w:val="21"/>
      <w:sz w:val="21"/>
      <w:szCs w:val="21"/>
    </w:rPr>
  </w:style>
  <w:style w:type="paragraph" w:customStyle="1" w:styleId="33">
    <w:name w:val="正文A"/>
    <w:basedOn w:val="34"/>
    <w:autoRedefine/>
    <w:qFormat/>
    <w:uiPriority w:val="0"/>
    <w:pPr>
      <w:spacing w:line="500" w:lineRule="exact"/>
      <w:ind w:firstLine="200" w:firstLineChars="200"/>
    </w:pPr>
    <w:rPr>
      <w:rFonts w:ascii="Times New Roman" w:hAnsi="Times New Roman" w:cs="Times New Roman"/>
      <w:kern w:val="0"/>
      <w:sz w:val="24"/>
      <w:szCs w:val="24"/>
      <w:lang w:val="zh-CN" w:eastAsia="zh-CN"/>
    </w:rPr>
  </w:style>
  <w:style w:type="paragraph" w:customStyle="1" w:styleId="34">
    <w:name w:val="正文!!!!!!!!!!!"/>
    <w:basedOn w:val="35"/>
    <w:autoRedefine/>
    <w:qFormat/>
    <w:uiPriority w:val="0"/>
    <w:pPr>
      <w:ind w:firstLine="480"/>
    </w:pPr>
    <w:rPr>
      <w:rFonts w:ascii="Times New Roman" w:hAnsi="Times New Roman" w:eastAsia="宋体" w:cs="Times New Roman"/>
    </w:rPr>
  </w:style>
  <w:style w:type="paragraph" w:customStyle="1" w:styleId="35">
    <w:name w:val="正文 楷体"/>
    <w:basedOn w:val="1"/>
    <w:autoRedefine/>
    <w:qFormat/>
    <w:uiPriority w:val="0"/>
    <w:pPr>
      <w:spacing w:line="500" w:lineRule="exact"/>
      <w:ind w:firstLine="200" w:firstLineChars="200"/>
    </w:pPr>
    <w:rPr>
      <w:rFonts w:ascii="楷体_GB2312" w:hAnsi="楷体_GB2312" w:eastAsia="楷体_GB2312" w:cs="宋体"/>
      <w:sz w:val="24"/>
      <w:szCs w:val="24"/>
    </w:rPr>
  </w:style>
  <w:style w:type="character" w:customStyle="1" w:styleId="36">
    <w:name w:val="font51"/>
    <w:basedOn w:val="24"/>
    <w:autoRedefine/>
    <w:qFormat/>
    <w:uiPriority w:val="0"/>
    <w:rPr>
      <w:rFonts w:hint="eastAsia" w:ascii="宋体" w:hAnsi="宋体" w:eastAsia="宋体" w:cs="宋体"/>
      <w:color w:val="000000"/>
      <w:sz w:val="21"/>
      <w:szCs w:val="21"/>
      <w:u w:val="none"/>
    </w:rPr>
  </w:style>
  <w:style w:type="character" w:customStyle="1" w:styleId="37">
    <w:name w:val="font21"/>
    <w:basedOn w:val="24"/>
    <w:autoRedefine/>
    <w:qFormat/>
    <w:uiPriority w:val="0"/>
    <w:rPr>
      <w:rFonts w:hint="default" w:ascii="Times New Roman" w:hAnsi="Times New Roman" w:cs="Times New Roman"/>
      <w:color w:val="000000"/>
      <w:sz w:val="21"/>
      <w:szCs w:val="21"/>
      <w:u w:val="none"/>
    </w:rPr>
  </w:style>
  <w:style w:type="character" w:customStyle="1" w:styleId="38">
    <w:name w:val="font11"/>
    <w:basedOn w:val="24"/>
    <w:autoRedefine/>
    <w:qFormat/>
    <w:uiPriority w:val="0"/>
    <w:rPr>
      <w:rFonts w:hint="eastAsia" w:ascii="宋体" w:hAnsi="宋体" w:eastAsia="宋体" w:cs="宋体"/>
      <w:color w:val="000000"/>
      <w:sz w:val="16"/>
      <w:szCs w:val="16"/>
      <w:u w:val="none"/>
    </w:rPr>
  </w:style>
  <w:style w:type="character" w:customStyle="1" w:styleId="39">
    <w:name w:val="font41"/>
    <w:basedOn w:val="24"/>
    <w:autoRedefine/>
    <w:qFormat/>
    <w:uiPriority w:val="0"/>
    <w:rPr>
      <w:rFonts w:hint="eastAsia" w:ascii="宋体" w:hAnsi="宋体" w:eastAsia="宋体" w:cs="宋体"/>
      <w:color w:val="000000"/>
      <w:sz w:val="16"/>
      <w:szCs w:val="16"/>
      <w:u w:val="none"/>
    </w:rPr>
  </w:style>
  <w:style w:type="character" w:customStyle="1" w:styleId="40">
    <w:name w:val="font01"/>
    <w:basedOn w:val="24"/>
    <w:autoRedefine/>
    <w:qFormat/>
    <w:uiPriority w:val="0"/>
    <w:rPr>
      <w:rFonts w:hint="default" w:ascii="Times New Roman" w:hAnsi="Times New Roman" w:cs="Times New Roman"/>
      <w:color w:val="000000"/>
      <w:sz w:val="21"/>
      <w:szCs w:val="21"/>
      <w:u w:val="none"/>
      <w:vertAlign w:val="subscript"/>
    </w:rPr>
  </w:style>
  <w:style w:type="table" w:customStyle="1" w:styleId="41">
    <w:name w:val="Table Normal"/>
    <w:autoRedefine/>
    <w:semiHidden/>
    <w:unhideWhenUsed/>
    <w:qFormat/>
    <w:uiPriority w:val="0"/>
    <w:tblPr>
      <w:tblCellMar>
        <w:top w:w="0" w:type="dxa"/>
        <w:left w:w="0" w:type="dxa"/>
        <w:bottom w:w="0" w:type="dxa"/>
        <w:right w:w="0" w:type="dxa"/>
      </w:tblCellMar>
    </w:tblPr>
  </w:style>
  <w:style w:type="paragraph" w:customStyle="1" w:styleId="42">
    <w:name w:val="Table Text"/>
    <w:basedOn w:val="1"/>
    <w:autoRedefine/>
    <w:semiHidden/>
    <w:qFormat/>
    <w:uiPriority w:val="0"/>
    <w:rPr>
      <w:rFonts w:ascii="微软雅黑" w:hAnsi="微软雅黑" w:eastAsia="微软雅黑" w:cs="微软雅黑"/>
      <w:sz w:val="22"/>
      <w:szCs w:val="22"/>
      <w:lang w:val="en-US" w:eastAsia="en-US" w:bidi="ar-SA"/>
    </w:rPr>
  </w:style>
  <w:style w:type="paragraph" w:customStyle="1" w:styleId="43">
    <w:name w:val="表头A"/>
    <w:basedOn w:val="44"/>
    <w:autoRedefine/>
    <w:qFormat/>
    <w:uiPriority w:val="0"/>
    <w:pPr>
      <w:spacing w:line="400" w:lineRule="exact"/>
      <w:ind w:firstLine="0"/>
    </w:pPr>
    <w:rPr>
      <w:rFonts w:ascii="Times New Roman" w:hAnsi="Times New Roman" w:eastAsia="宋体" w:cs="Times New Roman"/>
    </w:rPr>
  </w:style>
  <w:style w:type="paragraph" w:customStyle="1" w:styleId="44">
    <w:name w:val="表头"/>
    <w:basedOn w:val="8"/>
    <w:next w:val="1"/>
    <w:autoRedefine/>
    <w:qFormat/>
    <w:uiPriority w:val="0"/>
    <w:pPr>
      <w:spacing w:line="500" w:lineRule="exact"/>
      <w:jc w:val="center"/>
    </w:pPr>
    <w:rPr>
      <w:rFonts w:ascii="楷体_GB2312" w:hAnsi="楷体_GB2312" w:eastAsia="楷体_GB2312" w:cs="楷体_GB2312"/>
      <w:b/>
      <w:sz w:val="24"/>
      <w:szCs w:val="24"/>
    </w:rPr>
  </w:style>
  <w:style w:type="paragraph" w:customStyle="1" w:styleId="45">
    <w:name w:val="表内字"/>
    <w:basedOn w:val="1"/>
    <w:autoRedefine/>
    <w:qFormat/>
    <w:uiPriority w:val="0"/>
    <w:pPr>
      <w:jc w:val="center"/>
    </w:pPr>
    <w:rPr>
      <w:kern w:val="0"/>
      <w:szCs w:val="24"/>
    </w:rPr>
  </w:style>
  <w:style w:type="paragraph" w:customStyle="1" w:styleId="46">
    <w:name w:val="表格中字"/>
    <w:autoRedefine/>
    <w:qFormat/>
    <w:uiPriority w:val="0"/>
    <w:pPr>
      <w:widowControl w:val="0"/>
      <w:overflowPunct w:val="0"/>
      <w:autoSpaceDE w:val="0"/>
      <w:autoSpaceDN w:val="0"/>
      <w:adjustRightInd w:val="0"/>
      <w:snapToGrid w:val="0"/>
      <w:spacing w:line="300" w:lineRule="atLeast"/>
      <w:jc w:val="center"/>
      <w:textAlignment w:val="baseline"/>
    </w:pPr>
    <w:rPr>
      <w:rFonts w:ascii="Times New Roman" w:hAnsi="Times New Roman" w:eastAsia="宋体" w:cs="Times New Roman"/>
      <w:sz w:val="21"/>
      <w:lang w:val="en-US" w:eastAsia="zh-CN" w:bidi="ar-SA"/>
    </w:rPr>
  </w:style>
  <w:style w:type="paragraph" w:customStyle="1" w:styleId="47">
    <w:name w:val="1.危废库"/>
    <w:basedOn w:val="1"/>
    <w:qFormat/>
    <w:uiPriority w:val="0"/>
    <w:pPr>
      <w:spacing w:line="360" w:lineRule="auto"/>
      <w:ind w:firstLine="480" w:firstLineChars="200"/>
    </w:pPr>
    <w:rPr>
      <w:rFonts w:ascii="Times New Roman" w:hAnsi="Times New Roman" w:eastAsia="宋体" w:cs="Times New Roman"/>
      <w:snapToGrid w:val="0"/>
      <w:color w:val="000000"/>
      <w:kern w:val="0"/>
      <w:sz w:val="24"/>
    </w:rPr>
  </w:style>
  <w:style w:type="paragraph" w:customStyle="1" w:styleId="48">
    <w:name w:val="表中文字"/>
    <w:basedOn w:val="49"/>
    <w:next w:val="1"/>
    <w:autoRedefine/>
    <w:qFormat/>
    <w:uiPriority w:val="0"/>
    <w:pPr>
      <w:spacing w:line="360" w:lineRule="exact"/>
      <w:ind w:firstLine="0" w:firstLineChars="0"/>
      <w:jc w:val="center"/>
    </w:pPr>
    <w:rPr>
      <w:rFonts w:ascii="Times New Roman" w:hAnsi="Times New Roman" w:eastAsia="宋体"/>
      <w:sz w:val="21"/>
    </w:rPr>
  </w:style>
  <w:style w:type="paragraph" w:customStyle="1" w:styleId="49">
    <w:name w:val="环评正文"/>
    <w:basedOn w:val="1"/>
    <w:qFormat/>
    <w:uiPriority w:val="0"/>
    <w:pPr>
      <w:spacing w:line="360" w:lineRule="auto"/>
      <w:ind w:firstLine="480" w:firstLineChars="200"/>
    </w:pPr>
    <w:rPr>
      <w:rFonts w:hAnsi="宋体"/>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9.wmf"/><Relationship Id="rId24" Type="http://schemas.openxmlformats.org/officeDocument/2006/relationships/image" Target="media/image8.png"/><Relationship Id="rId23" Type="http://schemas.openxmlformats.org/officeDocument/2006/relationships/image" Target="media/image7.png"/><Relationship Id="rId22" Type="http://schemas.openxmlformats.org/officeDocument/2006/relationships/image" Target="media/image6.jpeg"/><Relationship Id="rId21" Type="http://schemas.openxmlformats.org/officeDocument/2006/relationships/image" Target="media/image5.jpeg"/><Relationship Id="rId20" Type="http://schemas.openxmlformats.org/officeDocument/2006/relationships/image" Target="media/image4.jpeg"/><Relationship Id="rId2" Type="http://schemas.openxmlformats.org/officeDocument/2006/relationships/settings" Target="settings.xml"/><Relationship Id="rId19" Type="http://schemas.openxmlformats.org/officeDocument/2006/relationships/image" Target="media/image3.jpeg"/><Relationship Id="rId18" Type="http://schemas.openxmlformats.org/officeDocument/2006/relationships/image" Target="media/image2.jpeg"/><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header" Target="header4.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92</Pages>
  <Words>21999</Words>
  <Characters>23401</Characters>
  <Lines>0</Lines>
  <Paragraphs>0</Paragraphs>
  <TotalTime>15</TotalTime>
  <ScaleCrop>false</ScaleCrop>
  <LinksUpToDate>false</LinksUpToDate>
  <CharactersWithSpaces>23503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2023-11-29T11:53:00Z</dcterms:created>
  <dc:creator>Alessandra＊</dc:creator>
  <cp:lastModifiedBy>小麦啾</cp:lastModifiedBy>
  <dcterms:modified xsi:type="dcterms:W3CDTF">2026-01-15T03:38:20Z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FC38557FB6CD4ABC95BCC9017101ACF3_13</vt:lpwstr>
  </property>
  <property fmtid="{D5CDD505-2E9C-101B-9397-08002B2CF9AE}" pid="4" name="KSOTemplateDocerSaveRecord">
    <vt:lpwstr>eyJoZGlkIjoiM2Q5NDlmNDc3N2ZkYzk3ZGJmOTUwNTM0Mzc5MTVlNDMiLCJ1c2VySWQiOiIzMjQ5NjUzODcifQ==</vt:lpwstr>
  </property>
</Properties>
</file>